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Washington, D.C. 20549</w:t>
      </w:r>
    </w:p>
    <w:p>
      <w:pPr>
        <w:spacing w:after="0" w:line="45" w:lineRule="exact"/>
        <w:rPr>
          <w:sz w:val="24"/>
          <w:szCs w:val="24"/>
          <w:color w:val="auto"/>
        </w:rPr>
      </w:pPr>
    </w:p>
    <w:p>
      <w:pPr>
        <w:jc w:val="center"/>
        <w:ind w:right="-19"/>
        <w:spacing w:after="0"/>
        <w:rPr>
          <w:sz w:val="20"/>
          <w:szCs w:val="20"/>
          <w:color w:val="auto"/>
        </w:rPr>
      </w:pPr>
      <w:r>
        <w:rPr>
          <w:rFonts w:ascii="Calibri" w:cs="Calibri" w:eastAsia="Calibri" w:hAnsi="Calibri"/>
          <w:sz w:val="23"/>
          <w:szCs w:val="23"/>
          <w:b w:val="1"/>
          <w:bCs w:val="1"/>
          <w:color w:val="auto"/>
        </w:rPr>
        <w:t>Form 10-K</w:t>
      </w:r>
    </w:p>
    <w:p>
      <w:pPr>
        <w:spacing w:after="0" w:line="55" w:lineRule="exact"/>
        <w:rPr>
          <w:sz w:val="24"/>
          <w:szCs w:val="24"/>
          <w:color w:val="auto"/>
        </w:rPr>
      </w:pPr>
    </w:p>
    <w:p>
      <w:pPr>
        <w:ind w:left="3980" w:right="3520" w:hanging="3959"/>
        <w:spacing w:after="0" w:line="245" w:lineRule="auto"/>
        <w:tabs>
          <w:tab w:leader="none" w:pos="59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b w:val="1"/>
          <w:bCs w:val="1"/>
          <w:color w:val="auto"/>
        </w:rPr>
        <w:t>ANNUAL REPORT PURSUANT TO SECTION 13 OR 15(d) OF THE SECURITIES EXCHANGE ACT OF 1934 For the fscal year ended September 30, 2023</w:t>
      </w:r>
    </w:p>
    <w:p>
      <w:pPr>
        <w:spacing w:after="0" w:line="31" w:lineRule="exact"/>
        <w:rPr>
          <w:sz w:val="24"/>
          <w:szCs w:val="24"/>
          <w:color w:val="auto"/>
        </w:rPr>
      </w:pPr>
    </w:p>
    <w:p>
      <w:pPr>
        <w:jc w:val="center"/>
        <w:ind w:right="-19"/>
        <w:spacing w:after="0"/>
        <w:rPr>
          <w:sz w:val="20"/>
          <w:szCs w:val="20"/>
          <w:color w:val="auto"/>
        </w:rPr>
      </w:pPr>
      <w:r>
        <w:rPr>
          <w:rFonts w:ascii="Calibri" w:cs="Calibri" w:eastAsia="Calibri" w:hAnsi="Calibri"/>
          <w:sz w:val="14"/>
          <w:szCs w:val="14"/>
          <w:b w:val="1"/>
          <w:bCs w:val="1"/>
          <w:color w:val="auto"/>
        </w:rPr>
        <w:t>or</w:t>
      </w:r>
    </w:p>
    <w:p>
      <w:pPr>
        <w:spacing w:after="0" w:line="47" w:lineRule="exact"/>
        <w:rPr>
          <w:sz w:val="24"/>
          <w:szCs w:val="24"/>
          <w:color w:val="auto"/>
        </w:rPr>
      </w:pPr>
    </w:p>
    <w:p>
      <w:pPr>
        <w:ind w:left="600" w:hanging="579"/>
        <w:spacing w:after="0"/>
        <w:tabs>
          <w:tab w:leader="none" w:pos="600" w:val="left"/>
        </w:tabs>
        <w:numPr>
          <w:ilvl w:val="0"/>
          <w:numId w:val="2"/>
        </w:numPr>
        <w:rPr>
          <w:rFonts w:ascii="MS PGothic" w:cs="MS PGothic" w:eastAsia="MS PGothic" w:hAnsi="MS PGothic"/>
          <w:sz w:val="18"/>
          <w:szCs w:val="18"/>
          <w:color w:val="auto"/>
        </w:rPr>
      </w:pPr>
      <w:r>
        <w:rPr>
          <w:rFonts w:ascii="Calibri" w:cs="Calibri" w:eastAsia="Calibri" w:hAnsi="Calibri"/>
          <w:sz w:val="18"/>
          <w:szCs w:val="18"/>
          <w:b w:val="1"/>
          <w:bCs w:val="1"/>
          <w:color w:val="auto"/>
        </w:rPr>
        <w:t>TRANSITION REPORT PURSUANT TO SECTION 13 OR 15(d) OF THE SECURITIES EXCHANGE ACT OF 1934</w:t>
      </w:r>
    </w:p>
    <w:p>
      <w:pPr>
        <w:spacing w:after="0" w:line="10" w:lineRule="exact"/>
        <w:rPr>
          <w:sz w:val="24"/>
          <w:szCs w:val="24"/>
          <w:color w:val="auto"/>
        </w:rPr>
      </w:pPr>
    </w:p>
    <w:p>
      <w:pPr>
        <w:jc w:val="right"/>
        <w:ind w:right="4460"/>
        <w:spacing w:after="0"/>
        <w:tabs>
          <w:tab w:leader="none" w:pos="4580" w:val="left"/>
        </w:tabs>
        <w:rPr>
          <w:sz w:val="20"/>
          <w:szCs w:val="20"/>
          <w:color w:val="auto"/>
        </w:rPr>
      </w:pPr>
      <w:r>
        <w:rPr>
          <w:rFonts w:ascii="Calibri" w:cs="Calibri" w:eastAsia="Calibri" w:hAnsi="Calibri"/>
          <w:sz w:val="18"/>
          <w:szCs w:val="18"/>
          <w:b w:val="1"/>
          <w:bCs w:val="1"/>
          <w:color w:val="auto"/>
        </w:rPr>
        <w:t>For the transiton period from</w:t>
      </w:r>
      <w:r>
        <w:rPr>
          <w:sz w:val="20"/>
          <w:szCs w:val="20"/>
          <w:color w:val="auto"/>
        </w:rPr>
        <w:tab/>
      </w:r>
      <w:r>
        <w:rPr>
          <w:rFonts w:ascii="Calibri" w:cs="Calibri" w:eastAsia="Calibri" w:hAnsi="Calibri"/>
          <w:sz w:val="15"/>
          <w:szCs w:val="15"/>
          <w:b w:val="1"/>
          <w:bCs w:val="1"/>
          <w:color w:val="auto"/>
        </w:rPr>
        <w:t>to</w:t>
      </w:r>
    </w:p>
    <w:p>
      <w:pPr>
        <w:spacing w:after="0" w:line="37" w:lineRule="exact"/>
        <w:rPr>
          <w:sz w:val="24"/>
          <w:szCs w:val="24"/>
          <w:color w:val="auto"/>
        </w:rPr>
      </w:pPr>
    </w:p>
    <w:p>
      <w:pPr>
        <w:jc w:val="right"/>
        <w:ind w:right="4440"/>
        <w:spacing w:after="0"/>
        <w:rPr>
          <w:sz w:val="20"/>
          <w:szCs w:val="20"/>
          <w:color w:val="auto"/>
        </w:rPr>
      </w:pPr>
      <w:r>
        <w:rPr>
          <w:rFonts w:ascii="Calibri" w:cs="Calibri" w:eastAsia="Calibri" w:hAnsi="Calibri"/>
          <w:sz w:val="18"/>
          <w:szCs w:val="18"/>
          <w:b w:val="1"/>
          <w:bCs w:val="1"/>
          <w:color w:val="auto"/>
        </w:rPr>
        <w:t>Commission File Number 1-5667</w:t>
      </w:r>
    </w:p>
    <w:p>
      <w:pPr>
        <w:spacing w:after="0" w:line="9" w:lineRule="exact"/>
        <w:rPr>
          <w:sz w:val="24"/>
          <w:szCs w:val="24"/>
          <w:color w:val="auto"/>
        </w:rPr>
      </w:pPr>
    </w:p>
    <w:tbl>
      <w:tblPr>
        <w:tblLayout w:type="fixed"/>
        <w:tblInd w:w="1460" w:type="dxa"/>
        <w:tblCellMar>
          <w:top w:w="0" w:type="dxa"/>
          <w:left w:w="0" w:type="dxa"/>
          <w:bottom w:w="0" w:type="dxa"/>
          <w:right w:w="0" w:type="dxa"/>
        </w:tblCellMar>
      </w:tblPr>
      <w:tr>
        <w:trPr>
          <w:trHeight w:val="354"/>
        </w:trPr>
        <w:tc>
          <w:tcPr>
            <w:tcW w:w="6180" w:type="dxa"/>
            <w:vAlign w:val="bottom"/>
          </w:tcPr>
          <w:p>
            <w:pPr>
              <w:jc w:val="center"/>
              <w:ind w:left="2043"/>
              <w:spacing w:after="0"/>
              <w:rPr>
                <w:sz w:val="20"/>
                <w:szCs w:val="20"/>
                <w:color w:val="auto"/>
              </w:rPr>
            </w:pPr>
            <w:r>
              <w:rPr>
                <w:rFonts w:ascii="Calibri" w:cs="Calibri" w:eastAsia="Calibri" w:hAnsi="Calibri"/>
                <w:sz w:val="29"/>
                <w:szCs w:val="29"/>
                <w:b w:val="1"/>
                <w:bCs w:val="1"/>
                <w:color w:val="auto"/>
              </w:rPr>
              <w:t>Cabot Corporaton</w:t>
            </w:r>
          </w:p>
        </w:tc>
        <w:tc>
          <w:tcPr>
            <w:tcW w:w="1440" w:type="dxa"/>
            <w:vAlign w:val="bottom"/>
          </w:tcPr>
          <w:p>
            <w:pPr>
              <w:spacing w:after="0"/>
              <w:rPr>
                <w:sz w:val="24"/>
                <w:szCs w:val="24"/>
                <w:color w:val="auto"/>
              </w:rPr>
            </w:pPr>
          </w:p>
        </w:tc>
      </w:tr>
      <w:tr>
        <w:trPr>
          <w:trHeight w:val="271"/>
        </w:trPr>
        <w:tc>
          <w:tcPr>
            <w:tcW w:w="6180" w:type="dxa"/>
            <w:vAlign w:val="bottom"/>
          </w:tcPr>
          <w:p>
            <w:pPr>
              <w:jc w:val="center"/>
              <w:ind w:left="2063"/>
              <w:spacing w:after="0"/>
              <w:rPr>
                <w:sz w:val="20"/>
                <w:szCs w:val="20"/>
                <w:color w:val="auto"/>
              </w:rPr>
            </w:pPr>
            <w:r>
              <w:rPr>
                <w:rFonts w:ascii="Calibri" w:cs="Calibri" w:eastAsia="Calibri" w:hAnsi="Calibri"/>
                <w:sz w:val="18"/>
                <w:szCs w:val="18"/>
                <w:i w:val="1"/>
                <w:iCs w:val="1"/>
                <w:color w:val="auto"/>
                <w:w w:val="98"/>
              </w:rPr>
              <w:t>(Exact name of Registrant as specifed in its Charter)</w:t>
            </w:r>
          </w:p>
        </w:tc>
        <w:tc>
          <w:tcPr>
            <w:tcW w:w="1440" w:type="dxa"/>
            <w:vAlign w:val="bottom"/>
          </w:tcPr>
          <w:p>
            <w:pPr>
              <w:spacing w:after="0"/>
              <w:rPr>
                <w:sz w:val="23"/>
                <w:szCs w:val="23"/>
                <w:color w:val="auto"/>
              </w:rPr>
            </w:pPr>
          </w:p>
        </w:tc>
      </w:tr>
      <w:tr>
        <w:trPr>
          <w:trHeight w:val="283"/>
        </w:trPr>
        <w:tc>
          <w:tcPr>
            <w:tcW w:w="6180" w:type="dxa"/>
            <w:vAlign w:val="bottom"/>
          </w:tcPr>
          <w:p>
            <w:pPr>
              <w:jc w:val="center"/>
              <w:ind w:right="3363"/>
              <w:spacing w:after="0"/>
              <w:rPr>
                <w:sz w:val="20"/>
                <w:szCs w:val="20"/>
                <w:color w:val="auto"/>
              </w:rPr>
            </w:pPr>
            <w:r>
              <w:rPr>
                <w:rFonts w:ascii="Calibri" w:cs="Calibri" w:eastAsia="Calibri" w:hAnsi="Calibri"/>
                <w:sz w:val="18"/>
                <w:szCs w:val="18"/>
                <w:b w:val="1"/>
                <w:bCs w:val="1"/>
                <w:color w:val="auto"/>
                <w:w w:val="95"/>
              </w:rPr>
              <w:t>Delaware</w:t>
            </w:r>
          </w:p>
        </w:tc>
        <w:tc>
          <w:tcPr>
            <w:tcW w:w="1440" w:type="dxa"/>
            <w:vAlign w:val="bottom"/>
          </w:tcPr>
          <w:p>
            <w:pPr>
              <w:jc w:val="right"/>
              <w:ind w:right="130"/>
              <w:spacing w:after="0"/>
              <w:rPr>
                <w:sz w:val="20"/>
                <w:szCs w:val="20"/>
                <w:color w:val="auto"/>
              </w:rPr>
            </w:pPr>
            <w:r>
              <w:rPr>
                <w:rFonts w:ascii="Calibri" w:cs="Calibri" w:eastAsia="Calibri" w:hAnsi="Calibri"/>
                <w:sz w:val="18"/>
                <w:szCs w:val="18"/>
                <w:b w:val="1"/>
                <w:bCs w:val="1"/>
                <w:color w:val="auto"/>
              </w:rPr>
              <w:t>04-2271897</w:t>
            </w:r>
          </w:p>
        </w:tc>
      </w:tr>
      <w:tr>
        <w:trPr>
          <w:trHeight w:val="243"/>
        </w:trPr>
        <w:tc>
          <w:tcPr>
            <w:tcW w:w="6180" w:type="dxa"/>
            <w:vAlign w:val="bottom"/>
          </w:tcPr>
          <w:p>
            <w:pPr>
              <w:jc w:val="center"/>
              <w:ind w:right="3363"/>
              <w:spacing w:after="0"/>
              <w:rPr>
                <w:sz w:val="20"/>
                <w:szCs w:val="20"/>
                <w:color w:val="auto"/>
              </w:rPr>
            </w:pPr>
            <w:r>
              <w:rPr>
                <w:rFonts w:ascii="Calibri" w:cs="Calibri" w:eastAsia="Calibri" w:hAnsi="Calibri"/>
                <w:sz w:val="18"/>
                <w:szCs w:val="18"/>
                <w:i w:val="1"/>
                <w:iCs w:val="1"/>
                <w:color w:val="auto"/>
                <w:w w:val="99"/>
              </w:rPr>
              <w:t>(State or other jurisdicton of</w:t>
            </w:r>
          </w:p>
        </w:tc>
        <w:tc>
          <w:tcPr>
            <w:tcW w:w="1440" w:type="dxa"/>
            <w:vAlign w:val="bottom"/>
          </w:tcPr>
          <w:p>
            <w:pPr>
              <w:jc w:val="center"/>
              <w:ind w:left="50"/>
              <w:spacing w:after="0"/>
              <w:rPr>
                <w:sz w:val="20"/>
                <w:szCs w:val="20"/>
                <w:color w:val="auto"/>
              </w:rPr>
            </w:pPr>
            <w:r>
              <w:rPr>
                <w:rFonts w:ascii="Calibri" w:cs="Calibri" w:eastAsia="Calibri" w:hAnsi="Calibri"/>
                <w:sz w:val="18"/>
                <w:szCs w:val="18"/>
                <w:i w:val="1"/>
                <w:iCs w:val="1"/>
                <w:color w:val="auto"/>
                <w:w w:val="96"/>
              </w:rPr>
              <w:t>(I.R.S. Employer</w:t>
            </w:r>
          </w:p>
        </w:tc>
      </w:tr>
      <w:tr>
        <w:trPr>
          <w:trHeight w:val="216"/>
        </w:trPr>
        <w:tc>
          <w:tcPr>
            <w:tcW w:w="6180" w:type="dxa"/>
            <w:vAlign w:val="bottom"/>
          </w:tcPr>
          <w:p>
            <w:pPr>
              <w:jc w:val="center"/>
              <w:ind w:right="3383"/>
              <w:spacing w:after="0" w:line="216" w:lineRule="exact"/>
              <w:rPr>
                <w:sz w:val="20"/>
                <w:szCs w:val="20"/>
                <w:color w:val="auto"/>
              </w:rPr>
            </w:pPr>
            <w:r>
              <w:rPr>
                <w:rFonts w:ascii="Calibri" w:cs="Calibri" w:eastAsia="Calibri" w:hAnsi="Calibri"/>
                <w:sz w:val="18"/>
                <w:szCs w:val="18"/>
                <w:i w:val="1"/>
                <w:iCs w:val="1"/>
                <w:color w:val="auto"/>
              </w:rPr>
              <w:t>incorporaton or organizaton)</w:t>
            </w:r>
          </w:p>
        </w:tc>
        <w:tc>
          <w:tcPr>
            <w:tcW w:w="1440" w:type="dxa"/>
            <w:vAlign w:val="bottom"/>
          </w:tcPr>
          <w:p>
            <w:pPr>
              <w:jc w:val="center"/>
              <w:ind w:left="70"/>
              <w:spacing w:after="0" w:line="216" w:lineRule="exact"/>
              <w:rPr>
                <w:sz w:val="20"/>
                <w:szCs w:val="20"/>
                <w:color w:val="auto"/>
              </w:rPr>
            </w:pPr>
            <w:r>
              <w:rPr>
                <w:rFonts w:ascii="Calibri" w:cs="Calibri" w:eastAsia="Calibri" w:hAnsi="Calibri"/>
                <w:sz w:val="18"/>
                <w:szCs w:val="18"/>
                <w:i w:val="1"/>
                <w:iCs w:val="1"/>
                <w:color w:val="auto"/>
              </w:rPr>
              <w:t>Identfcaton No.)</w:t>
            </w:r>
          </w:p>
        </w:tc>
      </w:tr>
      <w:tr>
        <w:trPr>
          <w:trHeight w:val="324"/>
        </w:trPr>
        <w:tc>
          <w:tcPr>
            <w:tcW w:w="6180" w:type="dxa"/>
            <w:vAlign w:val="bottom"/>
          </w:tcPr>
          <w:p>
            <w:pPr>
              <w:jc w:val="center"/>
              <w:ind w:right="3363"/>
              <w:spacing w:after="0"/>
              <w:rPr>
                <w:sz w:val="20"/>
                <w:szCs w:val="20"/>
                <w:color w:val="auto"/>
              </w:rPr>
            </w:pPr>
            <w:r>
              <w:rPr>
                <w:rFonts w:ascii="Calibri" w:cs="Calibri" w:eastAsia="Calibri" w:hAnsi="Calibri"/>
                <w:sz w:val="18"/>
                <w:szCs w:val="18"/>
                <w:b w:val="1"/>
                <w:bCs w:val="1"/>
                <w:color w:val="auto"/>
                <w:w w:val="97"/>
              </w:rPr>
              <w:t>Two Seaport Lane, Suite 1400</w:t>
            </w:r>
          </w:p>
        </w:tc>
        <w:tc>
          <w:tcPr>
            <w:tcW w:w="1440" w:type="dxa"/>
            <w:vAlign w:val="bottom"/>
          </w:tcPr>
          <w:p>
            <w:pPr>
              <w:spacing w:after="0"/>
              <w:rPr>
                <w:sz w:val="24"/>
                <w:szCs w:val="24"/>
                <w:color w:val="auto"/>
              </w:rPr>
            </w:pPr>
          </w:p>
        </w:tc>
      </w:tr>
      <w:tr>
        <w:trPr>
          <w:trHeight w:val="243"/>
        </w:trPr>
        <w:tc>
          <w:tcPr>
            <w:tcW w:w="6180" w:type="dxa"/>
            <w:vAlign w:val="bottom"/>
          </w:tcPr>
          <w:p>
            <w:pPr>
              <w:jc w:val="center"/>
              <w:ind w:right="3383"/>
              <w:spacing w:after="0"/>
              <w:rPr>
                <w:sz w:val="20"/>
                <w:szCs w:val="20"/>
                <w:color w:val="auto"/>
              </w:rPr>
            </w:pPr>
            <w:r>
              <w:rPr>
                <w:rFonts w:ascii="Calibri" w:cs="Calibri" w:eastAsia="Calibri" w:hAnsi="Calibri"/>
                <w:sz w:val="18"/>
                <w:szCs w:val="18"/>
                <w:b w:val="1"/>
                <w:bCs w:val="1"/>
                <w:color w:val="auto"/>
              </w:rPr>
              <w:t>Boston, Massachusets</w:t>
            </w:r>
          </w:p>
        </w:tc>
        <w:tc>
          <w:tcPr>
            <w:tcW w:w="1440" w:type="dxa"/>
            <w:vAlign w:val="bottom"/>
          </w:tcPr>
          <w:p>
            <w:pPr>
              <w:jc w:val="right"/>
              <w:ind w:right="330"/>
              <w:spacing w:after="0"/>
              <w:rPr>
                <w:sz w:val="20"/>
                <w:szCs w:val="20"/>
                <w:color w:val="auto"/>
              </w:rPr>
            </w:pPr>
            <w:r>
              <w:rPr>
                <w:rFonts w:ascii="Calibri" w:cs="Calibri" w:eastAsia="Calibri" w:hAnsi="Calibri"/>
                <w:sz w:val="18"/>
                <w:szCs w:val="18"/>
                <w:b w:val="1"/>
                <w:bCs w:val="1"/>
                <w:color w:val="auto"/>
              </w:rPr>
              <w:t>02210</w:t>
            </w:r>
          </w:p>
        </w:tc>
      </w:tr>
      <w:tr>
        <w:trPr>
          <w:trHeight w:val="243"/>
        </w:trPr>
        <w:tc>
          <w:tcPr>
            <w:tcW w:w="6180" w:type="dxa"/>
            <w:vAlign w:val="bottom"/>
          </w:tcPr>
          <w:p>
            <w:pPr>
              <w:jc w:val="center"/>
              <w:ind w:right="3363"/>
              <w:spacing w:after="0"/>
              <w:rPr>
                <w:sz w:val="20"/>
                <w:szCs w:val="20"/>
                <w:color w:val="auto"/>
              </w:rPr>
            </w:pPr>
            <w:r>
              <w:rPr>
                <w:rFonts w:ascii="Calibri" w:cs="Calibri" w:eastAsia="Calibri" w:hAnsi="Calibri"/>
                <w:sz w:val="18"/>
                <w:szCs w:val="18"/>
                <w:i w:val="1"/>
                <w:iCs w:val="1"/>
                <w:color w:val="auto"/>
              </w:rPr>
              <w:t>(Address of Principal Executve Ofces)</w:t>
            </w:r>
          </w:p>
        </w:tc>
        <w:tc>
          <w:tcPr>
            <w:tcW w:w="1440" w:type="dxa"/>
            <w:vAlign w:val="bottom"/>
          </w:tcPr>
          <w:p>
            <w:pPr>
              <w:jc w:val="center"/>
              <w:ind w:left="70"/>
              <w:spacing w:after="0"/>
              <w:rPr>
                <w:sz w:val="20"/>
                <w:szCs w:val="20"/>
                <w:color w:val="auto"/>
              </w:rPr>
            </w:pPr>
            <w:r>
              <w:rPr>
                <w:rFonts w:ascii="Calibri" w:cs="Calibri" w:eastAsia="Calibri" w:hAnsi="Calibri"/>
                <w:sz w:val="18"/>
                <w:szCs w:val="18"/>
                <w:i w:val="1"/>
                <w:iCs w:val="1"/>
                <w:color w:val="auto"/>
                <w:w w:val="98"/>
              </w:rPr>
              <w:t>(Zip Code)</w:t>
            </w:r>
          </w:p>
        </w:tc>
      </w:tr>
    </w:tbl>
    <w:p>
      <w:pPr>
        <w:spacing w:after="0" w:line="91" w:lineRule="exact"/>
        <w:rPr>
          <w:sz w:val="24"/>
          <w:szCs w:val="24"/>
          <w:color w:val="auto"/>
        </w:rPr>
      </w:pPr>
    </w:p>
    <w:p>
      <w:pPr>
        <w:ind w:left="3160"/>
        <w:spacing w:after="0"/>
        <w:rPr>
          <w:sz w:val="20"/>
          <w:szCs w:val="20"/>
          <w:color w:val="auto"/>
        </w:rPr>
      </w:pPr>
      <w:r>
        <w:rPr>
          <w:rFonts w:ascii="Calibri" w:cs="Calibri" w:eastAsia="Calibri" w:hAnsi="Calibri"/>
          <w:sz w:val="18"/>
          <w:szCs w:val="18"/>
          <w:b w:val="1"/>
          <w:bCs w:val="1"/>
          <w:color w:val="auto"/>
        </w:rPr>
        <w:t>Registrant’s telephone number, including area code: (617) 345-0100</w:t>
      </w:r>
    </w:p>
    <w:p>
      <w:pPr>
        <w:ind w:left="520"/>
        <w:spacing w:after="0" w:line="231" w:lineRule="auto"/>
        <w:rPr>
          <w:sz w:val="20"/>
          <w:szCs w:val="20"/>
          <w:color w:val="auto"/>
        </w:rPr>
      </w:pPr>
      <w:r>
        <w:rPr>
          <w:rFonts w:ascii="Calibri" w:cs="Calibri" w:eastAsia="Calibri" w:hAnsi="Calibri"/>
          <w:sz w:val="17"/>
          <w:szCs w:val="17"/>
          <w:color w:val="auto"/>
        </w:rPr>
        <w:t>Securites registered pursuant to Secton 12(b) of the Securites Exchange Act of 1934:</w:t>
      </w:r>
    </w:p>
    <w:p>
      <w:pPr>
        <w:spacing w:after="0" w:line="3" w:lineRule="exact"/>
        <w:rPr>
          <w:sz w:val="24"/>
          <w:szCs w:val="24"/>
          <w:color w:val="auto"/>
        </w:rPr>
      </w:pPr>
    </w:p>
    <w:tbl>
      <w:tblPr>
        <w:tblLayout w:type="fixed"/>
        <w:tblInd w:w="470" w:type="dxa"/>
        <w:tblCellMar>
          <w:top w:w="0" w:type="dxa"/>
          <w:left w:w="0" w:type="dxa"/>
          <w:bottom w:w="0" w:type="dxa"/>
          <w:right w:w="0" w:type="dxa"/>
        </w:tblCellMar>
      </w:tblPr>
      <w:tr>
        <w:trPr>
          <w:trHeight w:val="213"/>
        </w:trPr>
        <w:tc>
          <w:tcPr>
            <w:tcW w:w="4100" w:type="dxa"/>
            <w:vAlign w:val="bottom"/>
            <w:tcBorders>
              <w:top w:val="single" w:sz="8" w:color="auto"/>
              <w:left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w w:val="98"/>
              </w:rPr>
              <w:t>Trading symbol(s)</w:t>
            </w:r>
          </w:p>
        </w:tc>
        <w:tc>
          <w:tcPr>
            <w:tcW w:w="408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color w:val="auto"/>
              </w:rPr>
              <w:t>Name of each exchange on which registered</w:t>
            </w:r>
          </w:p>
        </w:tc>
      </w:tr>
      <w:tr>
        <w:trPr>
          <w:trHeight w:val="144"/>
        </w:trPr>
        <w:tc>
          <w:tcPr>
            <w:tcW w:w="4100" w:type="dxa"/>
            <w:vAlign w:val="bottom"/>
            <w:tcBorders>
              <w:left w:val="single" w:sz="8" w:color="auto"/>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4080" w:type="dxa"/>
            <w:vAlign w:val="bottom"/>
            <w:tcBorders>
              <w:bottom w:val="single" w:sz="8" w:color="auto"/>
              <w:right w:val="single" w:sz="8" w:color="auto"/>
            </w:tcBorders>
          </w:tcPr>
          <w:p>
            <w:pPr>
              <w:spacing w:after="0"/>
              <w:rPr>
                <w:sz w:val="12"/>
                <w:szCs w:val="12"/>
                <w:color w:val="auto"/>
              </w:rPr>
            </w:pPr>
          </w:p>
        </w:tc>
      </w:tr>
      <w:tr>
        <w:trPr>
          <w:trHeight w:val="173"/>
        </w:trPr>
        <w:tc>
          <w:tcPr>
            <w:tcW w:w="4100" w:type="dxa"/>
            <w:vAlign w:val="bottom"/>
            <w:tcBorders>
              <w:left w:val="single" w:sz="8" w:color="auto"/>
              <w:right w:val="single" w:sz="8" w:color="auto"/>
            </w:tcBorders>
          </w:tcPr>
          <w:p>
            <w:pPr>
              <w:jc w:val="center"/>
              <w:spacing w:after="0" w:line="174" w:lineRule="exact"/>
              <w:rPr>
                <w:sz w:val="20"/>
                <w:szCs w:val="20"/>
                <w:color w:val="auto"/>
              </w:rPr>
            </w:pPr>
            <w:r>
              <w:rPr>
                <w:rFonts w:ascii="Calibri" w:cs="Calibri" w:eastAsia="Calibri" w:hAnsi="Calibri"/>
                <w:sz w:val="16"/>
                <w:szCs w:val="16"/>
                <w:color w:val="auto"/>
              </w:rPr>
              <w:t>Common Stock, $1 par value per share</w:t>
            </w:r>
          </w:p>
        </w:tc>
        <w:tc>
          <w:tcPr>
            <w:tcW w:w="206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6"/>
                <w:szCs w:val="16"/>
                <w:color w:val="auto"/>
              </w:rPr>
              <w:t>CBT</w:t>
            </w:r>
          </w:p>
        </w:tc>
        <w:tc>
          <w:tcPr>
            <w:tcW w:w="408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6"/>
                <w:szCs w:val="16"/>
                <w:color w:val="auto"/>
                <w:w w:val="99"/>
              </w:rPr>
              <w:t>The New York Stock Exchange</w:t>
            </w:r>
          </w:p>
        </w:tc>
      </w:tr>
      <w:tr>
        <w:trPr>
          <w:trHeight w:val="33"/>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bl>
    <w:p>
      <w:pPr>
        <w:ind w:left="520"/>
        <w:spacing w:after="0"/>
        <w:rPr>
          <w:sz w:val="20"/>
          <w:szCs w:val="20"/>
          <w:color w:val="auto"/>
        </w:rPr>
      </w:pPr>
      <w:r>
        <w:rPr>
          <w:rFonts w:ascii="Calibri" w:cs="Calibri" w:eastAsia="Calibri" w:hAnsi="Calibri"/>
          <w:sz w:val="18"/>
          <w:szCs w:val="18"/>
          <w:color w:val="auto"/>
        </w:rPr>
        <w:t>Securites registered pursuant to Secton 12(g) of the Securites Exchange Act of 1934: None.</w:t>
      </w:r>
    </w:p>
    <w:p>
      <w:pPr>
        <w:spacing w:after="0" w:line="37" w:lineRule="exact"/>
        <w:rPr>
          <w:sz w:val="24"/>
          <w:szCs w:val="24"/>
          <w:color w:val="auto"/>
        </w:rPr>
      </w:pPr>
    </w:p>
    <w:p>
      <w:pPr>
        <w:ind w:left="520"/>
        <w:spacing w:after="0"/>
        <w:rPr>
          <w:sz w:val="20"/>
          <w:szCs w:val="20"/>
          <w:color w:val="auto"/>
        </w:rPr>
      </w:pPr>
      <w:r>
        <w:rPr>
          <w:rFonts w:ascii="Calibri" w:cs="Calibri" w:eastAsia="Calibri" w:hAnsi="Calibri"/>
          <w:sz w:val="18"/>
          <w:szCs w:val="18"/>
          <w:color w:val="auto"/>
        </w:rPr>
        <w:t>Indicate by check mark if the Registrant is a well-known seasoned issuer, as defned in Rule 405 of the Securites Act.</w:t>
      </w:r>
    </w:p>
    <w:p>
      <w:pPr>
        <w:ind w:left="740"/>
        <w:spacing w:after="0" w:line="220" w:lineRule="exact"/>
        <w:tabs>
          <w:tab w:leader="none" w:pos="1360" w:val="left"/>
        </w:tabs>
        <w:rPr>
          <w:sz w:val="20"/>
          <w:szCs w:val="20"/>
          <w:color w:val="auto"/>
        </w:rPr>
      </w:pPr>
      <w:r>
        <w:rPr>
          <w:rFonts w:ascii="Calibri" w:cs="Calibri" w:eastAsia="Calibri" w:hAnsi="Calibri"/>
          <w:sz w:val="18"/>
          <w:szCs w:val="18"/>
          <w:color w:val="auto"/>
        </w:rPr>
        <w:t xml:space="preserve">Yes </w:t>
      </w:r>
      <w:r>
        <w:rPr>
          <w:rFonts w:ascii="MS PGothic" w:cs="MS PGothic" w:eastAsia="MS PGothic" w:hAnsi="MS PGothic"/>
          <w:sz w:val="18"/>
          <w:szCs w:val="18"/>
          <w:color w:val="auto"/>
        </w:rPr>
        <w:t>☒</w:t>
      </w:r>
      <w:r>
        <w:rPr>
          <w:rFonts w:ascii="Calibri" w:cs="Calibri" w:eastAsia="Calibri" w:hAnsi="Calibri"/>
          <w:sz w:val="18"/>
          <w:szCs w:val="18"/>
          <w:color w:val="auto"/>
        </w:rPr>
        <w:tab/>
        <w:t xml:space="preserve">No </w:t>
      </w:r>
      <w:r>
        <w:rPr>
          <w:rFonts w:ascii="MS PGothic" w:cs="MS PGothic" w:eastAsia="MS PGothic" w:hAnsi="MS PGothic"/>
          <w:sz w:val="18"/>
          <w:szCs w:val="18"/>
          <w:color w:val="auto"/>
        </w:rPr>
        <w:t>☐</w:t>
      </w:r>
    </w:p>
    <w:p>
      <w:pPr>
        <w:spacing w:after="0" w:line="6" w:lineRule="exact"/>
        <w:rPr>
          <w:sz w:val="24"/>
          <w:szCs w:val="24"/>
          <w:color w:val="auto"/>
        </w:rPr>
      </w:pPr>
    </w:p>
    <w:p>
      <w:pPr>
        <w:ind w:left="520"/>
        <w:spacing w:after="0"/>
        <w:rPr>
          <w:sz w:val="20"/>
          <w:szCs w:val="20"/>
          <w:color w:val="auto"/>
        </w:rPr>
      </w:pPr>
      <w:r>
        <w:rPr>
          <w:rFonts w:ascii="Calibri" w:cs="Calibri" w:eastAsia="Calibri" w:hAnsi="Calibri"/>
          <w:sz w:val="18"/>
          <w:szCs w:val="18"/>
          <w:color w:val="auto"/>
        </w:rPr>
        <w:t>Indicate by check mark if the Registrant is not required to fle reports pursuant to Secton 13 or Secton 15(d) of the Act.</w:t>
      </w:r>
    </w:p>
    <w:p>
      <w:pPr>
        <w:ind w:left="740"/>
        <w:spacing w:after="0" w:line="220" w:lineRule="exact"/>
        <w:tabs>
          <w:tab w:leader="none" w:pos="1360" w:val="left"/>
        </w:tabs>
        <w:rPr>
          <w:sz w:val="20"/>
          <w:szCs w:val="20"/>
          <w:color w:val="auto"/>
        </w:rPr>
      </w:pPr>
      <w:r>
        <w:rPr>
          <w:rFonts w:ascii="Calibri" w:cs="Calibri" w:eastAsia="Calibri" w:hAnsi="Calibri"/>
          <w:sz w:val="18"/>
          <w:szCs w:val="18"/>
          <w:color w:val="auto"/>
        </w:rPr>
        <w:t xml:space="preserve">Yes </w:t>
      </w:r>
      <w:r>
        <w:rPr>
          <w:rFonts w:ascii="MS PGothic" w:cs="MS PGothic" w:eastAsia="MS PGothic" w:hAnsi="MS PGothic"/>
          <w:sz w:val="18"/>
          <w:szCs w:val="18"/>
          <w:color w:val="auto"/>
        </w:rPr>
        <w:t>☐</w:t>
      </w:r>
      <w:r>
        <w:rPr>
          <w:rFonts w:ascii="Calibri" w:cs="Calibri" w:eastAsia="Calibri" w:hAnsi="Calibri"/>
          <w:sz w:val="18"/>
          <w:szCs w:val="18"/>
          <w:color w:val="auto"/>
        </w:rPr>
        <w:tab/>
        <w:t xml:space="preserve">No </w:t>
      </w:r>
      <w:r>
        <w:rPr>
          <w:rFonts w:ascii="MS PGothic" w:cs="MS PGothic" w:eastAsia="MS PGothic" w:hAnsi="MS PGothic"/>
          <w:sz w:val="18"/>
          <w:szCs w:val="18"/>
          <w:color w:val="auto"/>
        </w:rPr>
        <w:t>☒</w:t>
      </w:r>
    </w:p>
    <w:p>
      <w:pPr>
        <w:spacing w:after="0" w:line="51" w:lineRule="exact"/>
        <w:rPr>
          <w:sz w:val="24"/>
          <w:szCs w:val="24"/>
          <w:color w:val="auto"/>
        </w:rPr>
      </w:pPr>
    </w:p>
    <w:p>
      <w:pPr>
        <w:ind w:firstLine="509"/>
        <w:spacing w:after="0" w:line="233" w:lineRule="exact"/>
        <w:rPr>
          <w:sz w:val="20"/>
          <w:szCs w:val="20"/>
          <w:color w:val="auto"/>
        </w:rPr>
      </w:pPr>
      <w:r>
        <w:rPr>
          <w:rFonts w:ascii="Calibri" w:cs="Calibri" w:eastAsia="Calibri" w:hAnsi="Calibri"/>
          <w:sz w:val="18"/>
          <w:szCs w:val="18"/>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8"/>
          <w:szCs w:val="18"/>
          <w:color w:val="auto"/>
        </w:rPr>
        <w:t>☒</w:t>
      </w:r>
      <w:r>
        <w:rPr>
          <w:rFonts w:ascii="Calibri" w:cs="Calibri" w:eastAsia="Calibri" w:hAnsi="Calibri"/>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80" w:firstLine="509"/>
        <w:spacing w:after="0" w:line="229" w:lineRule="exact"/>
        <w:rPr>
          <w:sz w:val="20"/>
          <w:szCs w:val="20"/>
          <w:color w:val="auto"/>
        </w:rPr>
      </w:pPr>
      <w:r>
        <w:rPr>
          <w:rFonts w:ascii="Calibri" w:cs="Calibri" w:eastAsia="Calibri" w:hAnsi="Calibri"/>
          <w:sz w:val="18"/>
          <w:szCs w:val="18"/>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8"/>
          <w:szCs w:val="18"/>
          <w:color w:val="auto"/>
        </w:rPr>
        <w:t>☒</w:t>
      </w:r>
      <w:r>
        <w:rPr>
          <w:rFonts w:ascii="Calibri" w:cs="Calibri" w:eastAsia="Calibri" w:hAnsi="Calibri"/>
          <w:sz w:val="18"/>
          <w:szCs w:val="18"/>
          <w:color w:val="auto"/>
        </w:rPr>
        <w:t xml:space="preserve"> No </w:t>
      </w:r>
      <w:r>
        <w:rPr>
          <w:rFonts w:ascii="MS PGothic" w:cs="MS PGothic" w:eastAsia="MS PGothic" w:hAnsi="MS PGothic"/>
          <w:sz w:val="18"/>
          <w:szCs w:val="18"/>
          <w:color w:val="auto"/>
        </w:rPr>
        <w:t>☐</w:t>
      </w:r>
    </w:p>
    <w:p>
      <w:pPr>
        <w:spacing w:after="0" w:line="5" w:lineRule="exact"/>
        <w:rPr>
          <w:sz w:val="24"/>
          <w:szCs w:val="24"/>
          <w:color w:val="auto"/>
        </w:rPr>
      </w:pPr>
    </w:p>
    <w:p>
      <w:pPr>
        <w:jc w:val="both"/>
        <w:ind w:right="140" w:firstLine="509"/>
        <w:spacing w:after="0" w:line="235" w:lineRule="auto"/>
        <w:rPr>
          <w:sz w:val="20"/>
          <w:szCs w:val="20"/>
          <w:color w:val="auto"/>
        </w:rPr>
      </w:pPr>
      <w:r>
        <w:rPr>
          <w:rFonts w:ascii="Calibri" w:cs="Calibri" w:eastAsia="Calibri" w:hAnsi="Calibri"/>
          <w:sz w:val="18"/>
          <w:szCs w:val="18"/>
          <w:color w:val="auto"/>
        </w:rPr>
        <w:t>Indicate by check mark whether the Registrant is a large accelerated fler, an accelerated fler, a non-accelerated fler, a smaller reportng company, or an emerging growth company. See defnitons of “large accelerated fler,” “accelerated fler”, “smaller reportng company”, and “emerging growth company” in Rule 12b-2 of the Exchange Act.</w:t>
      </w:r>
    </w:p>
    <w:p>
      <w:pPr>
        <w:spacing w:after="0" w:line="3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000" w:type="dxa"/>
            <w:vAlign w:val="bottom"/>
          </w:tcPr>
          <w:p>
            <w:pPr>
              <w:spacing w:after="0"/>
              <w:rPr>
                <w:sz w:val="20"/>
                <w:szCs w:val="20"/>
                <w:color w:val="auto"/>
              </w:rPr>
            </w:pPr>
            <w:r>
              <w:rPr>
                <w:rFonts w:ascii="Calibri" w:cs="Calibri" w:eastAsia="Calibri" w:hAnsi="Calibri"/>
                <w:sz w:val="18"/>
                <w:szCs w:val="18"/>
                <w:color w:val="auto"/>
              </w:rPr>
              <w:t>Large accelerated fler</w:t>
            </w:r>
          </w:p>
        </w:tc>
        <w:tc>
          <w:tcPr>
            <w:tcW w:w="34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880"/>
              <w:spacing w:after="0"/>
              <w:rPr>
                <w:sz w:val="20"/>
                <w:szCs w:val="20"/>
                <w:color w:val="auto"/>
              </w:rPr>
            </w:pPr>
            <w:r>
              <w:rPr>
                <w:rFonts w:ascii="Calibri" w:cs="Calibri" w:eastAsia="Calibri" w:hAnsi="Calibri"/>
                <w:sz w:val="18"/>
                <w:szCs w:val="18"/>
                <w:color w:val="auto"/>
              </w:rPr>
              <w:t>Accelerated fler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1"/>
        </w:trPr>
        <w:tc>
          <w:tcPr>
            <w:tcW w:w="2000" w:type="dxa"/>
            <w:vAlign w:val="bottom"/>
          </w:tcPr>
          <w:p>
            <w:pPr>
              <w:spacing w:after="0"/>
              <w:rPr>
                <w:sz w:val="20"/>
                <w:szCs w:val="20"/>
                <w:color w:val="auto"/>
              </w:rPr>
            </w:pPr>
            <w:r>
              <w:rPr>
                <w:rFonts w:ascii="Calibri" w:cs="Calibri" w:eastAsia="Calibri" w:hAnsi="Calibri"/>
                <w:sz w:val="18"/>
                <w:szCs w:val="18"/>
                <w:color w:val="auto"/>
              </w:rPr>
              <w:t>Non-accelerated fler</w:t>
            </w:r>
          </w:p>
        </w:tc>
        <w:tc>
          <w:tcPr>
            <w:tcW w:w="34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880"/>
              <w:spacing w:after="0"/>
              <w:rPr>
                <w:sz w:val="20"/>
                <w:szCs w:val="20"/>
                <w:color w:val="auto"/>
              </w:rPr>
            </w:pPr>
            <w:r>
              <w:rPr>
                <w:rFonts w:ascii="Calibri" w:cs="Calibri" w:eastAsia="Calibri" w:hAnsi="Calibri"/>
                <w:sz w:val="18"/>
                <w:szCs w:val="18"/>
                <w:color w:val="auto"/>
              </w:rPr>
              <w:t>Smaller reportng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140" w:type="dxa"/>
            <w:vAlign w:val="bottom"/>
          </w:tcPr>
          <w:p>
            <w:pPr>
              <w:ind w:left="2880"/>
              <w:spacing w:after="0"/>
              <w:rPr>
                <w:sz w:val="20"/>
                <w:szCs w:val="20"/>
                <w:color w:val="auto"/>
              </w:rPr>
            </w:pPr>
            <w:r>
              <w:rPr>
                <w:rFonts w:ascii="Calibri" w:cs="Calibri" w:eastAsia="Calibri" w:hAnsi="Calibri"/>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80" w:firstLine="509"/>
        <w:spacing w:after="0" w:line="237" w:lineRule="exact"/>
        <w:rPr>
          <w:sz w:val="20"/>
          <w:szCs w:val="20"/>
          <w:color w:val="auto"/>
        </w:rPr>
      </w:pPr>
      <w:r>
        <w:rPr>
          <w:rFonts w:ascii="Calibri" w:cs="Calibri" w:eastAsia="Calibri" w:hAnsi="Calibri"/>
          <w:sz w:val="18"/>
          <w:szCs w:val="18"/>
          <w:color w:val="auto"/>
        </w:rPr>
        <w:t xml:space="preserve">If an emerging growth company, indicate by checkmark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ind w:right="60" w:firstLine="509"/>
        <w:spacing w:after="0" w:line="229" w:lineRule="exact"/>
        <w:rPr>
          <w:sz w:val="20"/>
          <w:szCs w:val="20"/>
          <w:color w:val="auto"/>
        </w:rPr>
      </w:pPr>
      <w:r>
        <w:rPr>
          <w:rFonts w:ascii="Calibri" w:cs="Calibri" w:eastAsia="Calibri" w:hAnsi="Calibri"/>
          <w:sz w:val="18"/>
          <w:szCs w:val="18"/>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8"/>
          <w:szCs w:val="18"/>
          <w:color w:val="auto"/>
        </w:rPr>
        <w:t>☒</w:t>
      </w:r>
    </w:p>
    <w:p>
      <w:pPr>
        <w:spacing w:after="0" w:line="5" w:lineRule="exact"/>
        <w:rPr>
          <w:sz w:val="24"/>
          <w:szCs w:val="24"/>
          <w:color w:val="auto"/>
        </w:rPr>
      </w:pPr>
    </w:p>
    <w:p>
      <w:pPr>
        <w:ind w:right="180" w:firstLine="509"/>
        <w:spacing w:after="0" w:line="241" w:lineRule="exact"/>
        <w:rPr>
          <w:sz w:val="20"/>
          <w:szCs w:val="20"/>
          <w:color w:val="auto"/>
        </w:rPr>
      </w:pPr>
      <w:r>
        <w:rPr>
          <w:rFonts w:ascii="Calibri" w:cs="Calibri" w:eastAsia="Calibri" w:hAnsi="Calibri"/>
          <w:sz w:val="18"/>
          <w:szCs w:val="18"/>
          <w:color w:val="auto"/>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8"/>
          <w:szCs w:val="18"/>
          <w:color w:val="auto"/>
        </w:rPr>
        <w:t>☐</w:t>
      </w:r>
    </w:p>
    <w:p>
      <w:pPr>
        <w:spacing w:after="0" w:line="1" w:lineRule="exact"/>
        <w:rPr>
          <w:sz w:val="24"/>
          <w:szCs w:val="24"/>
          <w:color w:val="auto"/>
        </w:rPr>
      </w:pPr>
    </w:p>
    <w:p>
      <w:pPr>
        <w:ind w:right="280" w:firstLine="509"/>
        <w:spacing w:after="0" w:line="237" w:lineRule="exact"/>
        <w:rPr>
          <w:sz w:val="20"/>
          <w:szCs w:val="20"/>
          <w:color w:val="auto"/>
        </w:rPr>
      </w:pPr>
      <w:r>
        <w:rPr>
          <w:rFonts w:ascii="Calibri" w:cs="Calibri" w:eastAsia="Calibri" w:hAnsi="Calibri"/>
          <w:sz w:val="18"/>
          <w:szCs w:val="18"/>
          <w:color w:val="auto"/>
        </w:rPr>
        <w:t xml:space="preserve">Indicate by check mark whether any of those error correctons are restatements that required a recovery analysis of incentve‐based compensaton received by any of the registrant’s executve ofcers during the relevant recovery period pursuant to §240.10D‐1(b).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ind w:left="520"/>
        <w:spacing w:after="0"/>
        <w:rPr>
          <w:sz w:val="20"/>
          <w:szCs w:val="20"/>
          <w:color w:val="auto"/>
        </w:rPr>
      </w:pPr>
      <w:r>
        <w:rPr>
          <w:rFonts w:ascii="Calibri" w:cs="Calibri" w:eastAsia="Calibri" w:hAnsi="Calibri"/>
          <w:sz w:val="18"/>
          <w:szCs w:val="18"/>
          <w:color w:val="auto"/>
        </w:rPr>
        <w:t>Indicate by check mark whether the Registrant is a shell company (as defned in Rule 12b-2 of the Exchange Act).</w:t>
      </w:r>
    </w:p>
    <w:p>
      <w:pPr>
        <w:spacing w:after="0" w:line="24" w:lineRule="exact"/>
        <w:rPr>
          <w:sz w:val="20"/>
          <w:szCs w:val="20"/>
          <w:color w:val="auto"/>
        </w:rPr>
      </w:pPr>
    </w:p>
    <w:p>
      <w:pPr>
        <w:ind w:left="520"/>
        <w:spacing w:after="0" w:line="220" w:lineRule="exact"/>
        <w:tabs>
          <w:tab w:leader="none" w:pos="1140" w:val="left"/>
        </w:tabs>
        <w:rPr>
          <w:sz w:val="20"/>
          <w:szCs w:val="20"/>
          <w:color w:val="auto"/>
        </w:rPr>
      </w:pPr>
      <w:r>
        <w:rPr>
          <w:rFonts w:ascii="Calibri" w:cs="Calibri" w:eastAsia="Calibri" w:hAnsi="Calibri"/>
          <w:sz w:val="18"/>
          <w:szCs w:val="18"/>
          <w:color w:val="auto"/>
        </w:rPr>
        <w:t xml:space="preserve">Yes </w:t>
      </w:r>
      <w:r>
        <w:rPr>
          <w:rFonts w:ascii="MS PGothic" w:cs="MS PGothic" w:eastAsia="MS PGothic" w:hAnsi="MS PGothic"/>
          <w:sz w:val="18"/>
          <w:szCs w:val="18"/>
          <w:color w:val="auto"/>
        </w:rPr>
        <w:t>☐</w:t>
      </w:r>
      <w:r>
        <w:rPr>
          <w:rFonts w:ascii="Calibri" w:cs="Calibri" w:eastAsia="Calibri" w:hAnsi="Calibri"/>
          <w:sz w:val="18"/>
          <w:szCs w:val="18"/>
          <w:color w:val="auto"/>
        </w:rPr>
        <w:tab/>
        <w:t xml:space="preserve">No </w:t>
      </w:r>
      <w:r>
        <w:rPr>
          <w:rFonts w:ascii="MS PGothic" w:cs="MS PGothic" w:eastAsia="MS PGothic" w:hAnsi="MS PGothic"/>
          <w:sz w:val="18"/>
          <w:szCs w:val="18"/>
          <w:color w:val="auto"/>
        </w:rPr>
        <w:t>☒</w:t>
      </w:r>
    </w:p>
    <w:p>
      <w:pPr>
        <w:spacing w:after="0" w:line="5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of the last business day of the Registrant’s most recently completed second fscal quarter (March 31, 2023), the aggregate market value of the Registrant’s common stock held by non-afliates was $4,276,465,633. As of November 13, 2023, there were 55,309,058 shares of the Registrant’s common stock outstanding.</w:t>
      </w:r>
    </w:p>
    <w:p>
      <w:pPr>
        <w:spacing w:after="0" w:line="43"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Portons of the Registrant’s defnitve proxy statement for its 2024 Annual Meetng of Shareholders are incorporated by reference into Part III of this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53"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80" w:type="dxa"/>
            <w:vAlign w:val="bottom"/>
            <w:gridSpan w:val="14"/>
          </w:tcPr>
          <w:p>
            <w:pPr>
              <w:jc w:val="center"/>
              <w:ind w:right="3200"/>
              <w:spacing w:after="0"/>
              <w:rPr>
                <w:sz w:val="20"/>
                <w:szCs w:val="20"/>
                <w:color w:val="auto"/>
              </w:rPr>
            </w:pPr>
            <w:r>
              <w:rPr>
                <w:rFonts w:ascii="Calibri" w:cs="Calibri" w:eastAsia="Calibri" w:hAnsi="Calibri"/>
                <w:sz w:val="18"/>
                <w:szCs w:val="18"/>
                <w:b w:val="1"/>
                <w:bCs w:val="1"/>
                <w:color w:val="auto"/>
                <w:w w:val="96"/>
              </w:rPr>
              <w:t>TABLE OF CONTENTS</w:t>
            </w:r>
          </w:p>
        </w:tc>
        <w:tc>
          <w:tcPr>
            <w:tcW w:w="1220" w:type="dxa"/>
            <w:vAlign w:val="bottom"/>
          </w:tcPr>
          <w:p>
            <w:pPr>
              <w:spacing w:after="0"/>
              <w:rPr>
                <w:sz w:val="19"/>
                <w:szCs w:val="19"/>
                <w:color w:val="auto"/>
              </w:rPr>
            </w:pPr>
          </w:p>
        </w:tc>
      </w:tr>
      <w:tr>
        <w:trPr>
          <w:trHeight w:val="30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10"/>
          </w:tcPr>
          <w:p>
            <w:pPr>
              <w:jc w:val="center"/>
              <w:ind w:right="4180"/>
              <w:spacing w:after="0"/>
              <w:rPr>
                <w:sz w:val="20"/>
                <w:szCs w:val="20"/>
                <w:color w:val="auto"/>
              </w:rPr>
            </w:pPr>
            <w:r>
              <w:rPr>
                <w:rFonts w:ascii="Calibri" w:cs="Calibri" w:eastAsia="Calibri" w:hAnsi="Calibri"/>
                <w:sz w:val="18"/>
                <w:szCs w:val="18"/>
                <w:color w:val="auto"/>
                <w:w w:val="93"/>
              </w:rPr>
              <w:t>PART I</w:t>
            </w:r>
          </w:p>
        </w:tc>
        <w:tc>
          <w:tcPr>
            <w:tcW w:w="1220" w:type="dxa"/>
            <w:vAlign w:val="bottom"/>
          </w:tcPr>
          <w:p>
            <w:pPr>
              <w:spacing w:after="0"/>
              <w:rPr>
                <w:sz w:val="24"/>
                <w:szCs w:val="24"/>
                <w:color w:val="auto"/>
              </w:rPr>
            </w:pP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w:t>
            </w:r>
          </w:p>
        </w:tc>
        <w:tc>
          <w:tcPr>
            <w:tcW w:w="620" w:type="dxa"/>
            <w:vAlign w:val="bottom"/>
            <w:tcBorders>
              <w:bottom w:val="single" w:sz="8" w:color="0000EE"/>
            </w:tcBorders>
          </w:tcPr>
          <w:p>
            <w:pPr>
              <w:spacing w:after="0"/>
              <w:rPr>
                <w:sz w:val="20"/>
                <w:szCs w:val="20"/>
                <w:color w:val="auto"/>
              </w:rPr>
            </w:pPr>
            <w:r>
              <w:rPr>
                <w:rFonts w:ascii="Calibri" w:cs="Calibri" w:eastAsia="Calibri" w:hAnsi="Calibri"/>
                <w:sz w:val="18"/>
                <w:szCs w:val="18"/>
                <w:color w:val="auto"/>
                <w:w w:val="95"/>
              </w:rPr>
              <w:t>Business</w:t>
            </w:r>
          </w:p>
        </w:tc>
        <w:tc>
          <w:tcPr>
            <w:tcW w:w="3620" w:type="dxa"/>
            <w:vAlign w:val="bottom"/>
            <w:gridSpan w:val="15"/>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180" w:type="dxa"/>
            <w:vAlign w:val="bottom"/>
            <w:gridSpan w:val="9"/>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5</w:t>
            </w:r>
          </w:p>
        </w:tc>
      </w:tr>
      <w:tr>
        <w:trPr>
          <w:trHeight w:val="372"/>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1A.</w:t>
            </w:r>
          </w:p>
        </w:tc>
        <w:tc>
          <w:tcPr>
            <w:tcW w:w="8860" w:type="dxa"/>
            <w:vAlign w:val="bottom"/>
            <w:gridSpan w:val="26"/>
          </w:tcPr>
          <w:p>
            <w:pPr>
              <w:spacing w:after="0"/>
              <w:rPr>
                <w:sz w:val="20"/>
                <w:szCs w:val="20"/>
                <w:color w:val="auto"/>
              </w:rPr>
            </w:pPr>
            <w:r>
              <w:rPr>
                <w:rFonts w:ascii="Calibri" w:cs="Calibri" w:eastAsia="Calibri" w:hAnsi="Calibri"/>
                <w:sz w:val="18"/>
                <w:szCs w:val="18"/>
                <w:color w:val="auto"/>
              </w:rPr>
              <w:t>Risk Factors</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15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1B.</w:t>
            </w:r>
          </w:p>
        </w:tc>
        <w:tc>
          <w:tcPr>
            <w:tcW w:w="8860" w:type="dxa"/>
            <w:vAlign w:val="bottom"/>
            <w:gridSpan w:val="26"/>
          </w:tcPr>
          <w:p>
            <w:pPr>
              <w:spacing w:after="0"/>
              <w:rPr>
                <w:sz w:val="20"/>
                <w:szCs w:val="20"/>
                <w:color w:val="auto"/>
              </w:rPr>
            </w:pPr>
            <w:r>
              <w:rPr>
                <w:rFonts w:ascii="Calibri" w:cs="Calibri" w:eastAsia="Calibri" w:hAnsi="Calibri"/>
                <w:sz w:val="18"/>
                <w:szCs w:val="18"/>
                <w:color w:val="auto"/>
              </w:rPr>
              <w:t>Unresolved Staf Comments</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23</w:t>
            </w: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2.</w:t>
            </w:r>
          </w:p>
        </w:tc>
        <w:tc>
          <w:tcPr>
            <w:tcW w:w="740" w:type="dxa"/>
            <w:vAlign w:val="bottom"/>
            <w:tcBorders>
              <w:top w:val="single" w:sz="8" w:color="0000EE"/>
              <w:bottom w:val="single" w:sz="8" w:color="0000EE"/>
            </w:tcBorders>
            <w:gridSpan w:val="2"/>
          </w:tcPr>
          <w:p>
            <w:pPr>
              <w:spacing w:after="0"/>
              <w:rPr>
                <w:sz w:val="20"/>
                <w:szCs w:val="20"/>
                <w:color w:val="auto"/>
              </w:rPr>
            </w:pPr>
            <w:r>
              <w:rPr>
                <w:rFonts w:ascii="Calibri" w:cs="Calibri" w:eastAsia="Calibri" w:hAnsi="Calibri"/>
                <w:sz w:val="18"/>
                <w:szCs w:val="18"/>
                <w:color w:val="auto"/>
              </w:rPr>
              <w:t>Propertes</w:t>
            </w:r>
          </w:p>
        </w:tc>
        <w:tc>
          <w:tcPr>
            <w:tcW w:w="1240" w:type="dxa"/>
            <w:vAlign w:val="bottom"/>
            <w:tcBorders>
              <w:top w:val="single" w:sz="8" w:color="0000EE"/>
            </w:tcBorders>
            <w:gridSpan w:val="7"/>
          </w:tcPr>
          <w:p>
            <w:pPr>
              <w:spacing w:after="0"/>
              <w:rPr>
                <w:sz w:val="24"/>
                <w:szCs w:val="24"/>
                <w:color w:val="auto"/>
              </w:rPr>
            </w:pPr>
          </w:p>
        </w:tc>
        <w:tc>
          <w:tcPr>
            <w:tcW w:w="6880" w:type="dxa"/>
            <w:vAlign w:val="bottom"/>
            <w:gridSpan w:val="17"/>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23</w:t>
            </w: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3.</w:t>
            </w:r>
          </w:p>
        </w:tc>
        <w:tc>
          <w:tcPr>
            <w:tcW w:w="8860" w:type="dxa"/>
            <w:vAlign w:val="bottom"/>
            <w:gridSpan w:val="26"/>
          </w:tcPr>
          <w:p>
            <w:pPr>
              <w:spacing w:after="0"/>
              <w:rPr>
                <w:sz w:val="20"/>
                <w:szCs w:val="20"/>
                <w:color w:val="auto"/>
              </w:rPr>
            </w:pPr>
            <w:r>
              <w:rPr>
                <w:rFonts w:ascii="Calibri" w:cs="Calibri" w:eastAsia="Calibri" w:hAnsi="Calibri"/>
                <w:sz w:val="18"/>
                <w:szCs w:val="18"/>
                <w:color w:val="auto"/>
              </w:rPr>
              <w:t>Legal Proceedings</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25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4.</w:t>
            </w:r>
          </w:p>
        </w:tc>
        <w:tc>
          <w:tcPr>
            <w:tcW w:w="8860" w:type="dxa"/>
            <w:vAlign w:val="bottom"/>
            <w:gridSpan w:val="26"/>
          </w:tcPr>
          <w:p>
            <w:pPr>
              <w:spacing w:after="0"/>
              <w:rPr>
                <w:sz w:val="20"/>
                <w:szCs w:val="20"/>
                <w:color w:val="auto"/>
              </w:rPr>
            </w:pPr>
            <w:r>
              <w:rPr>
                <w:rFonts w:ascii="Calibri" w:cs="Calibri" w:eastAsia="Calibri" w:hAnsi="Calibri"/>
                <w:sz w:val="18"/>
                <w:szCs w:val="18"/>
                <w:color w:val="auto"/>
              </w:rPr>
              <w:t>Mine Safety Disclosures</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25</w:t>
            </w:r>
          </w:p>
        </w:tc>
      </w:tr>
      <w:tr>
        <w:trPr>
          <w:trHeight w:val="46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1"/>
          </w:tcPr>
          <w:p>
            <w:pPr>
              <w:jc w:val="center"/>
              <w:ind w:right="4160"/>
              <w:spacing w:after="0"/>
              <w:rPr>
                <w:sz w:val="20"/>
                <w:szCs w:val="20"/>
                <w:color w:val="auto"/>
              </w:rPr>
            </w:pPr>
            <w:r>
              <w:rPr>
                <w:rFonts w:ascii="Calibri" w:cs="Calibri" w:eastAsia="Calibri" w:hAnsi="Calibri"/>
                <w:sz w:val="18"/>
                <w:szCs w:val="18"/>
                <w:color w:val="auto"/>
                <w:w w:val="93"/>
              </w:rPr>
              <w:t>PART II</w:t>
            </w:r>
          </w:p>
        </w:tc>
        <w:tc>
          <w:tcPr>
            <w:tcW w:w="12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5.</w:t>
            </w:r>
          </w:p>
        </w:tc>
        <w:tc>
          <w:tcPr>
            <w:tcW w:w="7820" w:type="dxa"/>
            <w:vAlign w:val="bottom"/>
            <w:tcBorders>
              <w:bottom w:val="single" w:sz="8" w:color="0000EE"/>
            </w:tcBorders>
            <w:gridSpan w:val="25"/>
          </w:tcPr>
          <w:p>
            <w:pPr>
              <w:spacing w:after="0"/>
              <w:rPr>
                <w:sz w:val="20"/>
                <w:szCs w:val="20"/>
                <w:color w:val="auto"/>
              </w:rPr>
            </w:pPr>
            <w:r>
              <w:rPr>
                <w:rFonts w:ascii="Calibri" w:cs="Calibri" w:eastAsia="Calibri" w:hAnsi="Calibri"/>
                <w:sz w:val="18"/>
                <w:szCs w:val="18"/>
                <w:color w:val="auto"/>
                <w:w w:val="97"/>
              </w:rPr>
              <w:t>Market for Registrant’s Common Equity, Related Stockholder Maters and Issuer Purchases of Equity Securites</w:t>
            </w:r>
          </w:p>
        </w:tc>
        <w:tc>
          <w:tcPr>
            <w:tcW w:w="10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26</w:t>
            </w: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7.</w:t>
            </w:r>
          </w:p>
        </w:tc>
        <w:tc>
          <w:tcPr>
            <w:tcW w:w="8860" w:type="dxa"/>
            <w:vAlign w:val="bottom"/>
            <w:gridSpan w:val="26"/>
          </w:tcPr>
          <w:p>
            <w:pPr>
              <w:spacing w:after="0"/>
              <w:rPr>
                <w:sz w:val="20"/>
                <w:szCs w:val="20"/>
                <w:color w:val="auto"/>
              </w:rPr>
            </w:pPr>
            <w:r>
              <w:rPr>
                <w:rFonts w:ascii="Calibri" w:cs="Calibri" w:eastAsia="Calibri" w:hAnsi="Calibri"/>
                <w:sz w:val="18"/>
                <w:szCs w:val="18"/>
                <w:color w:val="auto"/>
              </w:rPr>
              <w:t>Management’s Discussion and Analysis of Financial Conditon and Results of Operatons</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28</w:t>
            </w: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7A.</w:t>
            </w:r>
          </w:p>
        </w:tc>
        <w:tc>
          <w:tcPr>
            <w:tcW w:w="4220" w:type="dxa"/>
            <w:vAlign w:val="bottom"/>
            <w:tcBorders>
              <w:top w:val="single" w:sz="8" w:color="0000EE"/>
              <w:bottom w:val="single" w:sz="8" w:color="0000EE"/>
            </w:tcBorders>
            <w:gridSpan w:val="15"/>
          </w:tcPr>
          <w:p>
            <w:pPr>
              <w:spacing w:after="0"/>
              <w:rPr>
                <w:sz w:val="20"/>
                <w:szCs w:val="20"/>
                <w:color w:val="auto"/>
              </w:rPr>
            </w:pPr>
            <w:r>
              <w:rPr>
                <w:rFonts w:ascii="Calibri" w:cs="Calibri" w:eastAsia="Calibri" w:hAnsi="Calibri"/>
                <w:sz w:val="18"/>
                <w:szCs w:val="18"/>
                <w:color w:val="auto"/>
                <w:w w:val="99"/>
              </w:rPr>
              <w:t>Quanttatve and Qualitatve Disclosures About Market Risk</w:t>
            </w:r>
          </w:p>
        </w:tc>
        <w:tc>
          <w:tcPr>
            <w:tcW w:w="2000" w:type="dxa"/>
            <w:vAlign w:val="bottom"/>
            <w:tcBorders>
              <w:top w:val="single" w:sz="8" w:color="0000EE"/>
            </w:tcBorders>
            <w:gridSpan w:val="7"/>
          </w:tcPr>
          <w:p>
            <w:pPr>
              <w:spacing w:after="0"/>
              <w:rPr>
                <w:sz w:val="24"/>
                <w:szCs w:val="24"/>
                <w:color w:val="auto"/>
              </w:rPr>
            </w:pPr>
          </w:p>
        </w:tc>
        <w:tc>
          <w:tcPr>
            <w:tcW w:w="2640" w:type="dxa"/>
            <w:vAlign w:val="bottom"/>
            <w:gridSpan w:val="4"/>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38</w:t>
            </w: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8.</w:t>
            </w:r>
          </w:p>
        </w:tc>
        <w:tc>
          <w:tcPr>
            <w:tcW w:w="3280" w:type="dxa"/>
            <w:vAlign w:val="bottom"/>
            <w:tcBorders>
              <w:bottom w:val="single" w:sz="8" w:color="0000EE"/>
            </w:tcBorders>
            <w:gridSpan w:val="12"/>
          </w:tcPr>
          <w:p>
            <w:pPr>
              <w:spacing w:after="0"/>
              <w:rPr>
                <w:sz w:val="20"/>
                <w:szCs w:val="20"/>
                <w:color w:val="auto"/>
              </w:rPr>
            </w:pPr>
            <w:r>
              <w:rPr>
                <w:rFonts w:ascii="Calibri" w:cs="Calibri" w:eastAsia="Calibri" w:hAnsi="Calibri"/>
                <w:sz w:val="18"/>
                <w:szCs w:val="18"/>
                <w:color w:val="auto"/>
                <w:w w:val="96"/>
              </w:rPr>
              <w:t>Financial Statements and Supplementary Data</w:t>
            </w:r>
          </w:p>
        </w:tc>
        <w:tc>
          <w:tcPr>
            <w:tcW w:w="5580" w:type="dxa"/>
            <w:vAlign w:val="bottom"/>
            <w:gridSpan w:val="14"/>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40</w:t>
            </w: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9.</w:t>
            </w:r>
          </w:p>
        </w:tc>
        <w:tc>
          <w:tcPr>
            <w:tcW w:w="8860" w:type="dxa"/>
            <w:vAlign w:val="bottom"/>
            <w:gridSpan w:val="26"/>
          </w:tcPr>
          <w:p>
            <w:pPr>
              <w:spacing w:after="0"/>
              <w:rPr>
                <w:sz w:val="20"/>
                <w:szCs w:val="20"/>
                <w:color w:val="auto"/>
              </w:rPr>
            </w:pPr>
            <w:r>
              <w:rPr>
                <w:rFonts w:ascii="Calibri" w:cs="Calibri" w:eastAsia="Calibri" w:hAnsi="Calibri"/>
                <w:sz w:val="18"/>
                <w:szCs w:val="18"/>
                <w:color w:val="auto"/>
              </w:rPr>
              <w:t>Changes in and Disagreements with Accountants on Accountng and Financial Disclosure</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83</w:t>
            </w: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9A.</w:t>
            </w:r>
          </w:p>
        </w:tc>
        <w:tc>
          <w:tcPr>
            <w:tcW w:w="6260" w:type="dxa"/>
            <w:vAlign w:val="bottom"/>
            <w:tcBorders>
              <w:top w:val="single" w:sz="8" w:color="0000EE"/>
            </w:tcBorders>
            <w:gridSpan w:val="23"/>
          </w:tcPr>
          <w:p>
            <w:pPr>
              <w:spacing w:after="0"/>
              <w:rPr>
                <w:sz w:val="20"/>
                <w:szCs w:val="20"/>
                <w:color w:val="auto"/>
              </w:rPr>
            </w:pPr>
            <w:r>
              <w:rPr>
                <w:rFonts w:ascii="Calibri" w:cs="Calibri" w:eastAsia="Calibri" w:hAnsi="Calibri"/>
                <w:sz w:val="18"/>
                <w:szCs w:val="18"/>
                <w:color w:val="auto"/>
              </w:rPr>
              <w:t>Controls and Procedures</w:t>
            </w:r>
          </w:p>
        </w:tc>
        <w:tc>
          <w:tcPr>
            <w:tcW w:w="2600" w:type="dxa"/>
            <w:vAlign w:val="bottom"/>
            <w:gridSpan w:val="3"/>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83</w:t>
            </w: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9B.</w:t>
            </w:r>
          </w:p>
        </w:tc>
        <w:tc>
          <w:tcPr>
            <w:tcW w:w="1300" w:type="dxa"/>
            <w:vAlign w:val="bottom"/>
            <w:tcBorders>
              <w:top w:val="single" w:sz="8" w:color="0000EE"/>
              <w:bottom w:val="single" w:sz="8" w:color="0000EE"/>
            </w:tcBorders>
            <w:gridSpan w:val="5"/>
          </w:tcPr>
          <w:p>
            <w:pPr>
              <w:spacing w:after="0"/>
              <w:rPr>
                <w:sz w:val="20"/>
                <w:szCs w:val="20"/>
                <w:color w:val="auto"/>
              </w:rPr>
            </w:pPr>
            <w:r>
              <w:rPr>
                <w:rFonts w:ascii="Calibri" w:cs="Calibri" w:eastAsia="Calibri" w:hAnsi="Calibri"/>
                <w:sz w:val="18"/>
                <w:szCs w:val="18"/>
                <w:color w:val="auto"/>
                <w:w w:val="98"/>
              </w:rPr>
              <w:t>Other Informaton</w:t>
            </w:r>
          </w:p>
        </w:tc>
        <w:tc>
          <w:tcPr>
            <w:tcW w:w="440" w:type="dxa"/>
            <w:vAlign w:val="bottom"/>
            <w:tcBorders>
              <w:top w:val="single" w:sz="8" w:color="0000EE"/>
            </w:tcBorders>
            <w:gridSpan w:val="3"/>
          </w:tcPr>
          <w:p>
            <w:pPr>
              <w:spacing w:after="0"/>
              <w:rPr>
                <w:sz w:val="24"/>
                <w:szCs w:val="24"/>
                <w:color w:val="auto"/>
              </w:rPr>
            </w:pPr>
          </w:p>
        </w:tc>
        <w:tc>
          <w:tcPr>
            <w:tcW w:w="7120" w:type="dxa"/>
            <w:vAlign w:val="bottom"/>
            <w:gridSpan w:val="18"/>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83</w:t>
            </w: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9C.</w:t>
            </w:r>
          </w:p>
        </w:tc>
        <w:tc>
          <w:tcPr>
            <w:tcW w:w="4740" w:type="dxa"/>
            <w:vAlign w:val="bottom"/>
            <w:tcBorders>
              <w:bottom w:val="single" w:sz="8" w:color="0000EE"/>
            </w:tcBorders>
            <w:gridSpan w:val="20"/>
          </w:tcPr>
          <w:p>
            <w:pPr>
              <w:spacing w:after="0"/>
              <w:rPr>
                <w:sz w:val="20"/>
                <w:szCs w:val="20"/>
                <w:color w:val="auto"/>
              </w:rPr>
            </w:pPr>
            <w:r>
              <w:rPr>
                <w:rFonts w:ascii="Calibri" w:cs="Calibri" w:eastAsia="Calibri" w:hAnsi="Calibri"/>
                <w:sz w:val="18"/>
                <w:szCs w:val="18"/>
                <w:color w:val="auto"/>
                <w:w w:val="98"/>
              </w:rPr>
              <w:t>Disclosure Regarding Foreign Jurisdictons that Prevent Inspectons</w:t>
            </w:r>
          </w:p>
        </w:tc>
        <w:tc>
          <w:tcPr>
            <w:tcW w:w="4120" w:type="dxa"/>
            <w:vAlign w:val="bottom"/>
            <w:gridSpan w:val="6"/>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83</w:t>
            </w:r>
          </w:p>
        </w:tc>
      </w:tr>
      <w:tr>
        <w:trPr>
          <w:trHeight w:val="46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60" w:type="dxa"/>
            <w:vAlign w:val="bottom"/>
            <w:gridSpan w:val="12"/>
          </w:tcPr>
          <w:p>
            <w:pPr>
              <w:jc w:val="center"/>
              <w:ind w:right="4120"/>
              <w:spacing w:after="0"/>
              <w:rPr>
                <w:sz w:val="20"/>
                <w:szCs w:val="20"/>
                <w:color w:val="auto"/>
              </w:rPr>
            </w:pPr>
            <w:r>
              <w:rPr>
                <w:rFonts w:ascii="Calibri" w:cs="Calibri" w:eastAsia="Calibri" w:hAnsi="Calibri"/>
                <w:sz w:val="18"/>
                <w:szCs w:val="18"/>
                <w:color w:val="auto"/>
                <w:w w:val="96"/>
              </w:rPr>
              <w:t>PART III</w:t>
            </w:r>
          </w:p>
        </w:tc>
        <w:tc>
          <w:tcPr>
            <w:tcW w:w="1220" w:type="dxa"/>
            <w:vAlign w:val="bottom"/>
          </w:tcPr>
          <w:p>
            <w:pPr>
              <w:spacing w:after="0"/>
              <w:rPr>
                <w:sz w:val="24"/>
                <w:szCs w:val="24"/>
                <w:color w:val="auto"/>
              </w:rPr>
            </w:pP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10.</w:t>
            </w:r>
          </w:p>
        </w:tc>
        <w:tc>
          <w:tcPr>
            <w:tcW w:w="4220" w:type="dxa"/>
            <w:vAlign w:val="bottom"/>
            <w:gridSpan w:val="15"/>
          </w:tcPr>
          <w:p>
            <w:pPr>
              <w:spacing w:after="0"/>
              <w:rPr>
                <w:sz w:val="20"/>
                <w:szCs w:val="20"/>
                <w:color w:val="auto"/>
              </w:rPr>
            </w:pPr>
            <w:r>
              <w:rPr>
                <w:rFonts w:ascii="Calibri" w:cs="Calibri" w:eastAsia="Calibri" w:hAnsi="Calibri"/>
                <w:sz w:val="18"/>
                <w:szCs w:val="18"/>
                <w:color w:val="auto"/>
              </w:rPr>
              <w:t>Directors, Executve Ofcers and Corporate Governance</w:t>
            </w:r>
          </w:p>
        </w:tc>
        <w:tc>
          <w:tcPr>
            <w:tcW w:w="500" w:type="dxa"/>
            <w:vAlign w:val="bottom"/>
            <w:tcBorders>
              <w:top w:val="single" w:sz="8" w:color="0000EE"/>
            </w:tcBorders>
            <w:gridSpan w:val="4"/>
          </w:tcPr>
          <w:p>
            <w:pPr>
              <w:spacing w:after="0"/>
              <w:rPr>
                <w:sz w:val="24"/>
                <w:szCs w:val="24"/>
                <w:color w:val="auto"/>
              </w:rPr>
            </w:pPr>
          </w:p>
        </w:tc>
        <w:tc>
          <w:tcPr>
            <w:tcW w:w="4140" w:type="dxa"/>
            <w:vAlign w:val="bottom"/>
            <w:gridSpan w:val="7"/>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84</w:t>
            </w: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11.</w:t>
            </w:r>
          </w:p>
        </w:tc>
        <w:tc>
          <w:tcPr>
            <w:tcW w:w="3940" w:type="dxa"/>
            <w:vAlign w:val="bottom"/>
            <w:tcBorders>
              <w:top w:val="single" w:sz="8" w:color="0000EE"/>
            </w:tcBorders>
            <w:gridSpan w:val="13"/>
          </w:tcPr>
          <w:p>
            <w:pPr>
              <w:spacing w:after="0"/>
              <w:rPr>
                <w:sz w:val="20"/>
                <w:szCs w:val="20"/>
                <w:color w:val="auto"/>
              </w:rPr>
            </w:pPr>
            <w:r>
              <w:rPr>
                <w:rFonts w:ascii="Calibri" w:cs="Calibri" w:eastAsia="Calibri" w:hAnsi="Calibri"/>
                <w:sz w:val="18"/>
                <w:szCs w:val="18"/>
                <w:color w:val="auto"/>
              </w:rPr>
              <w:t>Executve Compensaton</w:t>
            </w:r>
          </w:p>
        </w:tc>
        <w:tc>
          <w:tcPr>
            <w:tcW w:w="4920" w:type="dxa"/>
            <w:vAlign w:val="bottom"/>
            <w:gridSpan w:val="13"/>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84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12.</w:t>
            </w:r>
          </w:p>
        </w:tc>
        <w:tc>
          <w:tcPr>
            <w:tcW w:w="7120" w:type="dxa"/>
            <w:vAlign w:val="bottom"/>
            <w:tcBorders>
              <w:bottom w:val="single" w:sz="8" w:color="0000EE"/>
            </w:tcBorders>
            <w:gridSpan w:val="24"/>
          </w:tcPr>
          <w:p>
            <w:pPr>
              <w:spacing w:after="0"/>
              <w:rPr>
                <w:sz w:val="20"/>
                <w:szCs w:val="20"/>
                <w:color w:val="auto"/>
              </w:rPr>
            </w:pPr>
            <w:r>
              <w:rPr>
                <w:rFonts w:ascii="Calibri" w:cs="Calibri" w:eastAsia="Calibri" w:hAnsi="Calibri"/>
                <w:sz w:val="18"/>
                <w:szCs w:val="18"/>
                <w:color w:val="auto"/>
                <w:w w:val="98"/>
              </w:rPr>
              <w:t>Security Ownership of Certain Benefcial Owners and Management and Related Stockholder Maters</w:t>
            </w:r>
          </w:p>
        </w:tc>
        <w:tc>
          <w:tcPr>
            <w:tcW w:w="1740" w:type="dxa"/>
            <w:vAlign w:val="bottom"/>
            <w:gridSpan w:val="2"/>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84</w:t>
            </w: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13</w:t>
            </w:r>
            <w:r>
              <w:rPr>
                <w:rFonts w:ascii="Calibri" w:cs="Calibri" w:eastAsia="Calibri" w:hAnsi="Calibri"/>
                <w:sz w:val="18"/>
                <w:szCs w:val="18"/>
                <w:color w:val="auto"/>
              </w:rPr>
              <w:t>.</w:t>
            </w:r>
          </w:p>
        </w:tc>
        <w:tc>
          <w:tcPr>
            <w:tcW w:w="8860" w:type="dxa"/>
            <w:vAlign w:val="bottom"/>
            <w:gridSpan w:val="26"/>
          </w:tcPr>
          <w:p>
            <w:pPr>
              <w:spacing w:after="0"/>
              <w:rPr>
                <w:sz w:val="20"/>
                <w:szCs w:val="20"/>
                <w:color w:val="auto"/>
              </w:rPr>
            </w:pPr>
            <w:r>
              <w:rPr>
                <w:rFonts w:ascii="Calibri" w:cs="Calibri" w:eastAsia="Calibri" w:hAnsi="Calibri"/>
                <w:sz w:val="18"/>
                <w:szCs w:val="18"/>
                <w:color w:val="auto"/>
              </w:rPr>
              <w:t>Certain Relatonships and Related Transactons, and Director Independence</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84</w:t>
            </w: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14.</w:t>
            </w:r>
          </w:p>
        </w:tc>
        <w:tc>
          <w:tcPr>
            <w:tcW w:w="5340" w:type="dxa"/>
            <w:vAlign w:val="bottom"/>
            <w:tcBorders>
              <w:top w:val="single" w:sz="8" w:color="0000EE"/>
            </w:tcBorders>
            <w:gridSpan w:val="21"/>
          </w:tcPr>
          <w:p>
            <w:pPr>
              <w:spacing w:after="0"/>
              <w:rPr>
                <w:sz w:val="20"/>
                <w:szCs w:val="20"/>
                <w:color w:val="auto"/>
              </w:rPr>
            </w:pPr>
            <w:r>
              <w:rPr>
                <w:rFonts w:ascii="Calibri" w:cs="Calibri" w:eastAsia="Calibri" w:hAnsi="Calibri"/>
                <w:sz w:val="18"/>
                <w:szCs w:val="18"/>
                <w:color w:val="auto"/>
              </w:rPr>
              <w:t>Principal Accountng Fees and Services</w:t>
            </w:r>
          </w:p>
        </w:tc>
        <w:tc>
          <w:tcPr>
            <w:tcW w:w="3520" w:type="dxa"/>
            <w:vAlign w:val="bottom"/>
            <w:gridSpan w:val="5"/>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84</w:t>
            </w:r>
          </w:p>
        </w:tc>
      </w:tr>
      <w:tr>
        <w:trPr>
          <w:trHeight w:val="46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bottom w:val="single" w:sz="8" w:color="0000EE"/>
            </w:tcBorders>
            <w:gridSpan w:val="6"/>
          </w:tcPr>
          <w:p>
            <w:pPr>
              <w:jc w:val="center"/>
              <w:spacing w:after="0"/>
              <w:rPr>
                <w:sz w:val="20"/>
                <w:szCs w:val="20"/>
                <w:color w:val="auto"/>
              </w:rPr>
            </w:pPr>
            <w:r>
              <w:rPr>
                <w:rFonts w:ascii="Calibri" w:cs="Calibri" w:eastAsia="Calibri" w:hAnsi="Calibri"/>
                <w:sz w:val="18"/>
                <w:szCs w:val="18"/>
                <w:color w:val="auto"/>
                <w:w w:val="94"/>
              </w:rPr>
              <w:t>PART IV</w:t>
            </w:r>
          </w:p>
        </w:tc>
        <w:tc>
          <w:tcPr>
            <w:tcW w:w="4120" w:type="dxa"/>
            <w:vAlign w:val="bottom"/>
            <w:gridSpan w:val="6"/>
          </w:tcPr>
          <w:p>
            <w:pPr>
              <w:spacing w:after="0"/>
              <w:rPr>
                <w:sz w:val="24"/>
                <w:szCs w:val="24"/>
                <w:color w:val="auto"/>
              </w:rPr>
            </w:pPr>
          </w:p>
        </w:tc>
        <w:tc>
          <w:tcPr>
            <w:tcW w:w="1220" w:type="dxa"/>
            <w:vAlign w:val="bottom"/>
          </w:tcPr>
          <w:p>
            <w:pPr>
              <w:spacing w:after="0"/>
              <w:rPr>
                <w:sz w:val="24"/>
                <w:szCs w:val="24"/>
                <w:color w:val="auto"/>
              </w:rPr>
            </w:pP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15.</w:t>
            </w:r>
          </w:p>
        </w:tc>
        <w:tc>
          <w:tcPr>
            <w:tcW w:w="2800" w:type="dxa"/>
            <w:vAlign w:val="bottom"/>
            <w:tcBorders>
              <w:bottom w:val="single" w:sz="8" w:color="0000EE"/>
            </w:tcBorders>
            <w:gridSpan w:val="11"/>
          </w:tcPr>
          <w:p>
            <w:pPr>
              <w:spacing w:after="0"/>
              <w:rPr>
                <w:sz w:val="20"/>
                <w:szCs w:val="20"/>
                <w:color w:val="auto"/>
              </w:rPr>
            </w:pPr>
            <w:r>
              <w:rPr>
                <w:rFonts w:ascii="Calibri" w:cs="Calibri" w:eastAsia="Calibri" w:hAnsi="Calibri"/>
                <w:sz w:val="18"/>
                <w:szCs w:val="18"/>
                <w:color w:val="auto"/>
                <w:w w:val="96"/>
              </w:rPr>
              <w:t>Exhibits, Financial Statement Schedules</w:t>
            </w:r>
          </w:p>
        </w:tc>
        <w:tc>
          <w:tcPr>
            <w:tcW w:w="6060" w:type="dxa"/>
            <w:vAlign w:val="bottom"/>
            <w:gridSpan w:val="15"/>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85</w:t>
            </w: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ITEM 16.</w:t>
            </w:r>
          </w:p>
        </w:tc>
        <w:tc>
          <w:tcPr>
            <w:tcW w:w="8860" w:type="dxa"/>
            <w:vAlign w:val="bottom"/>
            <w:gridSpan w:val="26"/>
          </w:tcPr>
          <w:p>
            <w:pPr>
              <w:spacing w:after="0"/>
              <w:rPr>
                <w:sz w:val="20"/>
                <w:szCs w:val="20"/>
                <w:color w:val="auto"/>
              </w:rPr>
            </w:pPr>
            <w:r>
              <w:rPr>
                <w:rFonts w:ascii="Calibri" w:cs="Calibri" w:eastAsia="Calibri" w:hAnsi="Calibri"/>
                <w:sz w:val="18"/>
                <w:szCs w:val="18"/>
                <w:color w:val="auto"/>
              </w:rPr>
              <w:t>Form 10-K Summary</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88</w:t>
            </w:r>
          </w:p>
        </w:tc>
      </w:tr>
      <w:tr>
        <w:trPr>
          <w:trHeight w:val="385"/>
        </w:trPr>
        <w:tc>
          <w:tcPr>
            <w:tcW w:w="11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Signatures</w:t>
            </w: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89</w:t>
            </w:r>
          </w:p>
        </w:tc>
      </w:tr>
      <w:tr>
        <w:trPr>
          <w:trHeight w:val="672"/>
        </w:trPr>
        <w:tc>
          <w:tcPr>
            <w:tcW w:w="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680" w:type="dxa"/>
            <w:vAlign w:val="bottom"/>
            <w:gridSpan w:val="17"/>
          </w:tcPr>
          <w:p>
            <w:pPr>
              <w:jc w:val="center"/>
              <w:ind w:left="4170"/>
              <w:spacing w:after="0"/>
              <w:rPr>
                <w:sz w:val="20"/>
                <w:szCs w:val="20"/>
                <w:color w:val="auto"/>
              </w:rPr>
            </w:pPr>
            <w:r>
              <w:rPr>
                <w:rFonts w:ascii="Calibri" w:cs="Calibri" w:eastAsia="Calibri" w:hAnsi="Calibri"/>
                <w:sz w:val="18"/>
                <w:szCs w:val="18"/>
                <w:color w:val="auto"/>
              </w:rPr>
              <w:t>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39"/>
        </w:trPr>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 w:name="page4"/>
    <w:bookmarkEnd w:id="3"/>
    <w:p>
      <w:pPr>
        <w:jc w:val="center"/>
        <w:ind w:right="-19"/>
        <w:spacing w:after="0"/>
        <w:rPr>
          <w:sz w:val="20"/>
          <w:szCs w:val="20"/>
          <w:color w:val="auto"/>
        </w:rPr>
      </w:pPr>
      <w:r>
        <w:rPr>
          <w:rFonts w:ascii="Calibri" w:cs="Calibri" w:eastAsia="Calibri" w:hAnsi="Calibri"/>
          <w:sz w:val="18"/>
          <w:szCs w:val="18"/>
          <w:b w:val="1"/>
          <w:bCs w:val="1"/>
          <w:color w:val="auto"/>
        </w:rPr>
        <w:t>Informaton Relatng to Forward-Looking Statements</w:t>
      </w:r>
    </w:p>
    <w:p>
      <w:pPr>
        <w:spacing w:after="0" w:line="82" w:lineRule="exact"/>
        <w:rPr>
          <w:sz w:val="20"/>
          <w:szCs w:val="20"/>
          <w:color w:val="auto"/>
        </w:rPr>
      </w:pPr>
    </w:p>
    <w:p>
      <w:pPr>
        <w:ind w:right="40" w:firstLine="509"/>
        <w:spacing w:after="0" w:line="250" w:lineRule="auto"/>
        <w:rPr>
          <w:sz w:val="20"/>
          <w:szCs w:val="20"/>
          <w:color w:val="auto"/>
        </w:rPr>
      </w:pPr>
      <w:r>
        <w:rPr>
          <w:rFonts w:ascii="Calibri" w:cs="Calibri" w:eastAsia="Calibri" w:hAnsi="Calibri"/>
          <w:sz w:val="17"/>
          <w:szCs w:val="17"/>
          <w:color w:val="auto"/>
        </w:rPr>
        <w:t>This annual report on Form 10-K contains “forward-looking statements” under the Federal securites laws. These forward-looking statements address expectatons or projectons about the future, including our expectatons regarding our future business performance and overall prospects; segment and product line growth and the assumptons underlying our growth expectatons; demand for our products, customer destocking in our end markets and the short-term nature of customer cautous buying behavior, partcularly in our Performance Chemicals segment; research and development actvites; the recommencing of work on our Cilegon, Indonesia plant expansion for reinforcing carbons and the start-up of this facility; when we expect the conversion for batery applicatons at our site in Tianjin to be completed; our expectatons with respect to our new EMEA Technology Center in Münster, Germany; the extension of the compliance date for the installaton of technology controls at our facility in Ville Plate, Louisiana and the extension of the compliance date for the installaton of technology controls at our facility in Sarnia, Ontario; our 2025 Sustainability Goals; our ambitons for our EVOLVE® Sustainable Solutons technology platorm; the sufciency of our cash on hand, cash provided from operatons and cash available under our credit and commercial paper facilites to fund our cash requirements; antcipated capital spending, including environmental-related and technology controls capital expenditures; regulatory developments; our ability to manage workplace exposures to carbon nanotubes; cash requirements and uses of available cash, including future cash outlays associated with long-term contractual obligatons, contributons to employee beneft plans, environmental remediaton costs and future respirator liabilites and the tming of such outlays; exposure to interest rate and foreign exchange risk; future beneft plan payments we expect to make; future amortzaton expenses; our ability to recover deferred tax assets; our operatng tax rate; and the possible outcome of legal and environmental proceedings. From tme to tme, we also provide forward-looking statements in other materials we release to the public and in oral statements made by authorized ofcers.</w:t>
      </w:r>
    </w:p>
    <w:p>
      <w:pPr>
        <w:spacing w:after="0" w:line="79"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Forward-looking statements are not guarantees of future performance and are subject to risks, uncertaintes, potentally inaccurate assumptons, and other factors, some of which are beyond our control or difcult to predict. If known or unknown risks materialize, our actual results could difer materially from past results and from those expressed in the forward-looking statements. Important factors that could cause our actual results to difer materially from those expressed in our forward-looking statements are described in Item 1A in this report.</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undertake no obligaton to publicly update forward-looking statements, whether as a result of new informaton, future events or otherwise, except as required by law. Investors are advised, however, to consult any further disclosures we make on related subjects in our 10-Q and 8-K reports fled with the Securites and Exchange Commission (the “SEC”).</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4" w:name="page5"/>
    <w:bookmarkEnd w:id="4"/>
    <w:p>
      <w:pPr>
        <w:jc w:val="center"/>
        <w:ind w:right="-19"/>
        <w:spacing w:after="0"/>
        <w:rPr>
          <w:sz w:val="20"/>
          <w:szCs w:val="20"/>
          <w:color w:val="auto"/>
        </w:rPr>
      </w:pPr>
      <w:r>
        <w:rPr>
          <w:rFonts w:ascii="Calibri" w:cs="Calibri" w:eastAsia="Calibri" w:hAnsi="Calibri"/>
          <w:sz w:val="18"/>
          <w:szCs w:val="18"/>
          <w:b w:val="1"/>
          <w:bCs w:val="1"/>
          <w:color w:val="auto"/>
        </w:rPr>
        <w:t>PART I</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 </w:t>
      </w:r>
      <w:r>
        <w:rPr>
          <w:rFonts w:ascii="Calibri" w:cs="Calibri" w:eastAsia="Calibri" w:hAnsi="Calibri"/>
          <w:sz w:val="18"/>
          <w:szCs w:val="18"/>
          <w:b w:val="1"/>
          <w:bCs w:val="1"/>
          <w:i w:val="1"/>
          <w:iCs w:val="1"/>
          <w:color w:val="auto"/>
        </w:rPr>
        <w:t>Business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Cabot is a global specialty chemicals and performance materials company headquartered in Boston, Massachusets. Our principal products are reinforcing and specialty carbons, specialty compounds, conductve additves, carbon nanotubes, fumed metal oxides, inkjet colorants and aerogel. Cabot and its afliates have manufacturing facilites and operatons in the United States (“U.S.”) and over 20 other countries. Cabot’s business was founded in 1882 and incorporated in the State of Delaware in 1960. The terms “Cabot”, “Company”, “we”, and “our” as used in this report refer to Cabot Corporaton and its consolidated subsidiaries.</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early fscal 2022, we introduced our “Creatng for Tomorrow” growth strategy. This strategy is focused on investng for advantaged growth, developing innovatve products and processes that enable a beter future, and driving contnuous improvement in all we do. Our products are generally based on technical expertse and innovaton in one or more of our four core competencies: making and handling very fne partcles; modifying the surfaces of very fne partcles to alter their functonality; designing partcles to impart specifc propertes to a formulaton; and combining partcles with other ingredients to deliver a formulated performance intermediate or composite. We focus on creatng partcles, and formulatons of those partcles, with the compositon, morphology and surface functonalites to deliver the requisite performance to support our customers’ existng and emerging applicatons.</w:t>
      </w:r>
    </w:p>
    <w:p>
      <w:pPr>
        <w:spacing w:after="0" w:line="86"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Our business is currently organized into two reportable segments: Reinforcement Materials and Performance Chemicals. Our business segments are discussed in more detail later in this secton.</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Both of our segments operate globally, and a signifcant porton of our revenues and operatng profts is derived from operatons outside the U.S. In partcular, China contnues to be an important producer of tres and products for automotve applicatons and since we made our inital investment in China in 1988, we have increased our operatons in China to support increased demand for our products in China. In additon, a signifcant porton of batery manufacturers for electric vehicles are located in China, and, in the near term, we antcipate a material porton of the future growth of our Batery Materials product line to be derived from our business and operatons in China. We employ local management teams for our operatons in China, and our business model in China is predominantly to make and sell product in-country to established local and mult-natonal customers with operatons in China. In fscal 2023, sales in China across our segments consttuted approximately 25% of our revenues, and our property, plant and equipment located in China consttuted approximately 25% of our total property, plant and equipment as of September 30, 2023, as disclosed in Note T to our Consolidated Financial Statements. There are legal, operatonal and other risks associated with having substantal operatons in China, which are more fully described under the heading “Risk Factors”, including the risks described under the headings: “We are exposed to politcal or country risk inherent in doing business in some countries, including China”; “Informaton technology systems failures, data security breaches, cybersecurity atacks or network disruptons have harmed us in the past, and could compromise our informaton, disrupt our operatons and expose us to liability, which may adversely impact our operatons”; “The contnued protecton of patents, trade secrets and other proprietary intellectual property rights is important to our success”; “Negatve or uncertain worldwide or regional economic conditons or trade relatons, as well as regional conficts, may adversely impact our business” and “Our tax rate and other tax obligatons are dependent upon a number of factors, a change in any of which could impact our future tax rates and fnancial results”. Given the size of our current operatons in China and the future growth we antcipate from those operatons, if our ability to operate in China were to be constrained by legal, regulatory and operatonal risks, it could have a material negatve impact on our overall operatons and the value of our securites.</w:t>
      </w:r>
    </w:p>
    <w:p>
      <w:pPr>
        <w:spacing w:after="0" w:line="95"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internet address is www.cabotcorp.com. We make available free of charge on or through our website our annual reports on Form 10-K, quarterly reports on Form 10-Q, current reports on Form 8-K, and amendments to those reports fled or furnished pursuant to Secton 13(a) or 15(d) of the Securites Exchange Act of 1934 as soon as reasonably practcable afer electronically fling such material with, or furnishing it to, the SEC. Informaton appearing on our website is not a part of, and is not incorporated in, this Annual Report on Form 10-K.</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Reinforcement Materials</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Products</w:t>
      </w:r>
    </w:p>
    <w:p>
      <w:pPr>
        <w:spacing w:after="0" w:line="82" w:lineRule="exact"/>
        <w:rPr>
          <w:sz w:val="20"/>
          <w:szCs w:val="20"/>
          <w:color w:val="auto"/>
        </w:rPr>
      </w:pPr>
    </w:p>
    <w:p>
      <w:pPr>
        <w:jc w:val="both"/>
        <w:ind w:right="420" w:firstLine="509"/>
        <w:spacing w:after="0" w:line="254" w:lineRule="auto"/>
        <w:rPr>
          <w:sz w:val="20"/>
          <w:szCs w:val="20"/>
          <w:color w:val="auto"/>
        </w:rPr>
      </w:pPr>
      <w:r>
        <w:rPr>
          <w:rFonts w:ascii="Calibri" w:cs="Calibri" w:eastAsia="Calibri" w:hAnsi="Calibri"/>
          <w:sz w:val="17"/>
          <w:szCs w:val="17"/>
          <w:color w:val="auto"/>
        </w:rPr>
        <w:t>Carbon black is a form of elemental carbon that is manufactured in a highly controlled process to produce partcles and aggregates of varied size, structure and surface chemistry, resultng in many diferent performance characteristcs for a wide variety of applicatons. Reinforcing carbons (a class of carbon blacks manufactured by Cabot) are used to enhance the physical propertes of the systems and applicatons in which they are incorporated.</w:t>
      </w:r>
    </w:p>
    <w:p>
      <w:pPr>
        <w:spacing w:after="0" w:line="20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 w:name="page6"/>
    <w:bookmarkEnd w:id="5"/>
    <w:p>
      <w:pPr>
        <w:ind w:right="280" w:firstLine="509"/>
        <w:spacing w:after="0" w:line="235" w:lineRule="auto"/>
        <w:rPr>
          <w:sz w:val="20"/>
          <w:szCs w:val="20"/>
          <w:color w:val="auto"/>
        </w:rPr>
      </w:pPr>
      <w:r>
        <w:rPr>
          <w:rFonts w:ascii="Calibri" w:cs="Calibri" w:eastAsia="Calibri" w:hAnsi="Calibri"/>
          <w:sz w:val="18"/>
          <w:szCs w:val="18"/>
          <w:color w:val="auto"/>
        </w:rPr>
        <w:t>Our reinforcing carbons products are used in tres and industrial products. Reinforcing carbons have traditonally been used in the tre industry as a rubber reinforcing agent to increase tread durability and are also used as a performance additve to reduce rolling resistance and improve tracton. In industrial products such as hoses, belts, extruded profles and molded goods, reinforcing carbons are used to improve the physical performance of the product, including the product’s physical strength, fuid resistance, conductvity and resistvity.</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additon to our reinforcing carbons, we manufacture engineered elastomer composites (“E2C®”) solutons that are composites of reinforcing carbons and rubber made using our patented elastomer composites manufacturing process. These composites improve abrasion/wear resistance, reduce fatgue of rubber parts and reduce rolling resistance compared to reinforcing carbons/rubber compounds made entrely by conventonal rubber mix methods enabling rubber product manufacturers to reduce the need to make performance trade-ofs. The use of E2C®solutons enables our customers to produce beter performing tres, including giant of-the-road tres and on-road commercial tres, as well as other rubber products used in aggressive applicatons. Additonally, because E2C®solutons can be integrated into current product methods without additonal signifcant capital investment, and require fewer mixing stages, lower mixing temperatures and shorter mixing cycles than conventonal products, operatng and producton costs may be reduced. E2C® is one of our focus areas for growth, which we refer to as “growth vectors”.</w:t>
      </w:r>
    </w:p>
    <w:p>
      <w:pPr>
        <w:spacing w:after="0" w:line="88" w:lineRule="exact"/>
        <w:rPr>
          <w:sz w:val="20"/>
          <w:szCs w:val="20"/>
          <w:color w:val="auto"/>
        </w:rPr>
      </w:pPr>
    </w:p>
    <w:p>
      <w:pPr>
        <w:jc w:val="both"/>
        <w:ind w:right="100" w:firstLine="509"/>
        <w:spacing w:after="0" w:line="235" w:lineRule="auto"/>
        <w:rPr>
          <w:sz w:val="20"/>
          <w:szCs w:val="20"/>
          <w:color w:val="auto"/>
        </w:rPr>
      </w:pPr>
      <w:r>
        <w:rPr>
          <w:rFonts w:ascii="Calibri" w:cs="Calibri" w:eastAsia="Calibri" w:hAnsi="Calibri"/>
          <w:sz w:val="18"/>
          <w:szCs w:val="18"/>
          <w:color w:val="auto"/>
        </w:rPr>
        <w:t>In fscal 2023, we launched EVOLVE® Sustainable Solutons, our technology platorm focused on developing sustainable reinforcing carbons and other performance materials with reliable performance at industrial scale. Our ambiton under this platorm is to work with customers and technology partners to develop products across three sustainability categories: Renewable, Recovered and Reduced, meaning products made with renewable materials or materials recovered from end-of-life tres and/or using processes that result in reduced greenhouse gas emissions.</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Drivers of Demand and Sales and Customers</w:t>
      </w:r>
    </w:p>
    <w:p>
      <w:pPr>
        <w:spacing w:after="0" w:line="82" w:lineRule="exact"/>
        <w:rPr>
          <w:sz w:val="20"/>
          <w:szCs w:val="20"/>
          <w:color w:val="auto"/>
        </w:rPr>
      </w:pPr>
    </w:p>
    <w:p>
      <w:pPr>
        <w:ind w:right="80" w:firstLine="539"/>
        <w:spacing w:after="0" w:line="251" w:lineRule="auto"/>
        <w:rPr>
          <w:sz w:val="20"/>
          <w:szCs w:val="20"/>
          <w:color w:val="auto"/>
        </w:rPr>
      </w:pPr>
      <w:r>
        <w:rPr>
          <w:rFonts w:ascii="Calibri" w:cs="Calibri" w:eastAsia="Calibri" w:hAnsi="Calibri"/>
          <w:sz w:val="17"/>
          <w:szCs w:val="17"/>
          <w:color w:val="auto"/>
        </w:rPr>
        <w:t>Demand for our Reinforcement Materials products is largely driven by the growth and development of the tre and automotve industries. In additon to general global economic conditons, demand for reinforcing carbons in tres is mainly infuenced by the number of replacement and original equipment tres produced, which in turn is driven by (i) vehicle and driving trends, including the number of miles driven, and the number of vehicles produced and registered, (ii) changes in supply chain inventory levels to adapt to end-market demand, (iii) demand for high-performance tres, (iv) demand for larger tres and larger vehicles, such as trucks, buses, of-road vehicles used in agriculture, mining and similar vehicles, (v) consumer and industrial spending on new vehicles and (vi) changes in regulatory requirements impactng vehicle fuel efciency and tre regulatons. Demand for reinforcing carbons for industrial products is mainly infuenced by vehicle producton and design trends, constructon actvity and general industrial producton.</w:t>
      </w:r>
    </w:p>
    <w:p>
      <w:pPr>
        <w:spacing w:after="0" w:line="74" w:lineRule="exact"/>
        <w:rPr>
          <w:sz w:val="20"/>
          <w:szCs w:val="20"/>
          <w:color w:val="auto"/>
        </w:rPr>
      </w:pPr>
    </w:p>
    <w:p>
      <w:pPr>
        <w:ind w:right="160" w:firstLine="539"/>
        <w:spacing w:after="0" w:line="235" w:lineRule="auto"/>
        <w:rPr>
          <w:sz w:val="20"/>
          <w:szCs w:val="20"/>
          <w:color w:val="auto"/>
        </w:rPr>
      </w:pPr>
      <w:r>
        <w:rPr>
          <w:rFonts w:ascii="Calibri" w:cs="Calibri" w:eastAsia="Calibri" w:hAnsi="Calibri"/>
          <w:sz w:val="18"/>
          <w:szCs w:val="18"/>
          <w:color w:val="auto"/>
        </w:rPr>
        <w:t>Demand in the developed Western European, Japanese, and North American regions is mainly driven by demographic changes, customers’ high-quality requirements, stringent tre regulaton standards, changes in consumer preference (e.g., diferent tre sizes, model and powertrain types), and relatvely stable tre replacement demand. Demand in developing markets, such as China, Southeastern Asia, South America and Eastern Europe, is mainly driven by the growing middle class, rapid industrializaton, infrastructure spending and increasing car ownership trends. The growth in vehicle producton in turn drives demand for both original equipment tres and replacement tres in developing regions.</w:t>
      </w:r>
    </w:p>
    <w:p>
      <w:pPr>
        <w:spacing w:after="0" w:line="8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Sales of reinforcing carbons and E2C®solutons are made primarily by Cabot employees and secondarily through distributors and sales representatves. We typically “make and sell” in region, which, among other advantages, provides our customers a regional supply chain and typically reduces transportaton costs. Sales to fve major tre customers represent a material porton of Reinforcement Materials’ total net sales and operatng revenues. The loss of any of these customers, or a signifcant reducton in volumes sold to them, could have a material adverse efect on the segment.</w:t>
      </w:r>
    </w:p>
    <w:p>
      <w:pPr>
        <w:spacing w:after="0" w:line="84" w:lineRule="exact"/>
        <w:rPr>
          <w:sz w:val="20"/>
          <w:szCs w:val="20"/>
          <w:color w:val="auto"/>
        </w:rPr>
      </w:pPr>
    </w:p>
    <w:p>
      <w:pPr>
        <w:ind w:firstLine="509"/>
        <w:spacing w:after="0" w:line="232" w:lineRule="auto"/>
        <w:rPr>
          <w:sz w:val="20"/>
          <w:szCs w:val="20"/>
          <w:color w:val="auto"/>
        </w:rPr>
      </w:pPr>
      <w:r>
        <w:rPr>
          <w:rFonts w:ascii="Calibri" w:cs="Calibri" w:eastAsia="Calibri" w:hAnsi="Calibri"/>
          <w:sz w:val="17"/>
          <w:szCs w:val="17"/>
          <w:color w:val="auto"/>
        </w:rPr>
        <w:t>Under appropriate circumstances, we have entered into supply arrangements with certain customers, the typical duraton of which is one year. These arrangements typically provide for sales price adjustments to account for changes in relevant feedstock indices including natural gas and, in many cases, changes in other relevant costs (such as the cost of CO</w:t>
      </w:r>
      <w:r>
        <w:rPr>
          <w:rFonts w:ascii="Calibri" w:cs="Calibri" w:eastAsia="Calibri" w:hAnsi="Calibri"/>
          <w:sz w:val="23"/>
          <w:szCs w:val="23"/>
          <w:color w:val="auto"/>
          <w:vertAlign w:val="subscript"/>
        </w:rPr>
        <w:t>2</w:t>
      </w:r>
      <w:r>
        <w:rPr>
          <w:rFonts w:ascii="Calibri" w:cs="Calibri" w:eastAsia="Calibri" w:hAnsi="Calibri"/>
          <w:sz w:val="17"/>
          <w:szCs w:val="17"/>
          <w:color w:val="auto"/>
        </w:rPr>
        <w:t xml:space="preserve"> credits in Europe). In fscal 2023, approximately two-thirds of our reinforcing carbons volume was sold under these supply arrangements. The majority of the volumes sold under these arrangements are sold to customers in the Americas and Europe.</w:t>
      </w:r>
    </w:p>
    <w:p>
      <w:pPr>
        <w:spacing w:after="0" w:line="85" w:lineRule="exact"/>
        <w:rPr>
          <w:sz w:val="20"/>
          <w:szCs w:val="20"/>
          <w:color w:val="auto"/>
        </w:rPr>
      </w:pPr>
    </w:p>
    <w:p>
      <w:pPr>
        <w:jc w:val="both"/>
        <w:ind w:right="140" w:firstLine="509"/>
        <w:spacing w:after="0" w:line="235" w:lineRule="auto"/>
        <w:rPr>
          <w:sz w:val="20"/>
          <w:szCs w:val="20"/>
          <w:color w:val="auto"/>
        </w:rPr>
      </w:pPr>
      <w:r>
        <w:rPr>
          <w:rFonts w:ascii="Calibri" w:cs="Calibri" w:eastAsia="Calibri" w:hAnsi="Calibri"/>
          <w:sz w:val="18"/>
          <w:szCs w:val="18"/>
          <w:color w:val="auto"/>
        </w:rPr>
        <w:t>We licensed our patented elastomer composites manufacturing process to Manufacture Francaise des Pneumatques Michelin for their exclusive use in tre applicatons through fscal 2017, and for a period of limited exclusivity in tre applicatons through fscal 2019. As consideraton, we received quarterly royalty payments extending through calendar year 2022.</w:t>
      </w:r>
    </w:p>
    <w:p>
      <w:pPr>
        <w:spacing w:after="0" w:line="84" w:lineRule="exact"/>
        <w:rPr>
          <w:sz w:val="20"/>
          <w:szCs w:val="20"/>
          <w:color w:val="auto"/>
        </w:rPr>
      </w:pPr>
    </w:p>
    <w:p>
      <w:pPr>
        <w:jc w:val="both"/>
        <w:ind w:right="240" w:firstLine="509"/>
        <w:spacing w:after="0" w:line="235" w:lineRule="auto"/>
        <w:rPr>
          <w:sz w:val="20"/>
          <w:szCs w:val="20"/>
          <w:color w:val="auto"/>
        </w:rPr>
      </w:pPr>
      <w:r>
        <w:rPr>
          <w:rFonts w:ascii="Calibri" w:cs="Calibri" w:eastAsia="Calibri" w:hAnsi="Calibri"/>
          <w:sz w:val="18"/>
          <w:szCs w:val="18"/>
          <w:color w:val="auto"/>
        </w:rPr>
        <w:t>Much of the reinforcing carbons we sell is used in tres and automotve products and, therefore, our fnancial results may be afected by the cyclical nature of the automotve industry. However, a large porton of the market for our products is in replacement tres that historically has been less cyclical as demand for replacement tres is correlated to miles driven.</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6" w:name="page7"/>
    <w:bookmarkEnd w:id="6"/>
    <w:p>
      <w:pPr>
        <w:ind w:left="260"/>
        <w:spacing w:after="0"/>
        <w:rPr>
          <w:sz w:val="20"/>
          <w:szCs w:val="20"/>
          <w:color w:val="auto"/>
        </w:rPr>
      </w:pPr>
      <w:r>
        <w:rPr>
          <w:rFonts w:ascii="Calibri" w:cs="Calibri" w:eastAsia="Calibri" w:hAnsi="Calibri"/>
          <w:sz w:val="18"/>
          <w:szCs w:val="18"/>
          <w:b w:val="1"/>
          <w:bCs w:val="1"/>
          <w:i w:val="1"/>
          <w:iCs w:val="1"/>
          <w:color w:val="auto"/>
        </w:rPr>
        <w:t>Competton</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are one of the leading manufacturers of carbon black in the world. We compete in the sale of reinforcing carbons with four companies that operate globally and numerous other companies that operate regionally, a number of which export product outside their region of manufacture. Competton for our Reinforcement Materials products is based on product performance, quality, reliability, price, service, technical innovaton, sustainability performance, and logistcs. We believe our product diferentaton, technological leadership, global manufacturing presence, operatons and logistcs excellence, sustainability performance, and customer service provide us with a compettve advantage.</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Raw Materials</w:t>
      </w:r>
    </w:p>
    <w:p>
      <w:pPr>
        <w:spacing w:after="0" w:line="82" w:lineRule="exact"/>
        <w:rPr>
          <w:sz w:val="20"/>
          <w:szCs w:val="20"/>
          <w:color w:val="auto"/>
        </w:rPr>
      </w:pPr>
    </w:p>
    <w:p>
      <w:pPr>
        <w:jc w:val="both"/>
        <w:ind w:right="380" w:firstLine="509"/>
        <w:spacing w:after="0" w:line="235" w:lineRule="auto"/>
        <w:rPr>
          <w:sz w:val="20"/>
          <w:szCs w:val="20"/>
          <w:color w:val="auto"/>
        </w:rPr>
      </w:pPr>
      <w:r>
        <w:rPr>
          <w:rFonts w:ascii="Calibri" w:cs="Calibri" w:eastAsia="Calibri" w:hAnsi="Calibri"/>
          <w:sz w:val="18"/>
          <w:szCs w:val="18"/>
          <w:color w:val="auto"/>
        </w:rPr>
        <w:t>The principal raw material used in the manufacture of our reinforcing carbons is composed of residual heavy oils derived from petroleum refning operatons, the distllaton of coal tars, and the producton of ethylene throughout the world. Natural gas is also used in the producton of our reinforcing carbons. Raw materials are, in general, readily available and in adequate supply. Raw material costs generally are infuenced by the availability of various types of our feedstocks and natural gas, supply and demand of such raw materials and related transportaton costs.</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Operatons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own, or have a controlling interest in, and operate plants that produce reinforcing carbons in Argentna, Brazil, Canada, China, Colombia, the Czech Republic, France, Indonesia, Italy, Japan, Mexico, the Netherlands and the U.S. An equity afliate operates a reinforcing carbons plant in Venezuela. In additon, we have a 98% ownership interest in an entty that manufactures our E2C® products in Port Dickson, Malaysia.</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shows our ownership interest as of September 30, 2023 in operatons in which we own less than 100%: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20" w:type="dxa"/>
            <w:vAlign w:val="bottom"/>
          </w:tcPr>
          <w:p>
            <w:pPr>
              <w:ind w:left="20"/>
              <w:spacing w:after="0"/>
              <w:rPr>
                <w:sz w:val="20"/>
                <w:szCs w:val="20"/>
                <w:color w:val="auto"/>
              </w:rPr>
            </w:pPr>
            <w:r>
              <w:rPr>
                <w:rFonts w:ascii="Calibri" w:cs="Calibri" w:eastAsia="Calibri" w:hAnsi="Calibri"/>
                <w:sz w:val="18"/>
                <w:szCs w:val="18"/>
                <w:b w:val="1"/>
                <w:bCs w:val="1"/>
                <w:color w:val="auto"/>
              </w:rPr>
              <w:t>Locaton</w:t>
            </w:r>
          </w:p>
        </w:tc>
        <w:tc>
          <w:tcPr>
            <w:tcW w:w="220" w:type="dxa"/>
            <w:vAlign w:val="bottom"/>
          </w:tcPr>
          <w:p>
            <w:pPr>
              <w:spacing w:after="0"/>
              <w:rPr>
                <w:sz w:val="19"/>
                <w:szCs w:val="19"/>
                <w:color w:val="auto"/>
              </w:rPr>
            </w:pPr>
          </w:p>
        </w:tc>
        <w:tc>
          <w:tcPr>
            <w:tcW w:w="5500" w:type="dxa"/>
            <w:vAlign w:val="bottom"/>
            <w:gridSpan w:val="2"/>
          </w:tcPr>
          <w:p>
            <w:pPr>
              <w:ind w:left="20"/>
              <w:spacing w:after="0"/>
              <w:rPr>
                <w:sz w:val="20"/>
                <w:szCs w:val="20"/>
                <w:color w:val="auto"/>
              </w:rPr>
            </w:pPr>
            <w:r>
              <w:rPr>
                <w:rFonts w:ascii="Calibri" w:cs="Calibri" w:eastAsia="Calibri" w:hAnsi="Calibri"/>
                <w:sz w:val="18"/>
                <w:szCs w:val="18"/>
                <w:b w:val="1"/>
                <w:bCs w:val="1"/>
                <w:color w:val="auto"/>
              </w:rPr>
              <w:t>Percentage Interest</w:t>
            </w:r>
          </w:p>
        </w:tc>
      </w:tr>
      <w:tr>
        <w:trPr>
          <w:trHeight w:val="37"/>
        </w:trPr>
        <w:tc>
          <w:tcPr>
            <w:tcW w:w="55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r>
      <w:tr>
        <w:trPr>
          <w:trHeight w:val="208"/>
        </w:trPr>
        <w:tc>
          <w:tcPr>
            <w:tcW w:w="5520" w:type="dxa"/>
            <w:vAlign w:val="bottom"/>
          </w:tcPr>
          <w:p>
            <w:pPr>
              <w:ind w:left="20"/>
              <w:spacing w:after="0" w:line="208" w:lineRule="exact"/>
              <w:rPr>
                <w:sz w:val="20"/>
                <w:szCs w:val="20"/>
                <w:color w:val="auto"/>
              </w:rPr>
            </w:pPr>
            <w:r>
              <w:rPr>
                <w:rFonts w:ascii="Calibri" w:cs="Calibri" w:eastAsia="Calibri" w:hAnsi="Calibri"/>
                <w:sz w:val="18"/>
                <w:szCs w:val="18"/>
                <w:color w:val="auto"/>
              </w:rPr>
              <w:t>Shanghai, China</w:t>
            </w:r>
          </w:p>
        </w:tc>
        <w:tc>
          <w:tcPr>
            <w:tcW w:w="220" w:type="dxa"/>
            <w:vAlign w:val="bottom"/>
          </w:tcPr>
          <w:p>
            <w:pPr>
              <w:spacing w:after="0"/>
              <w:rPr>
                <w:sz w:val="18"/>
                <w:szCs w:val="18"/>
                <w:color w:val="auto"/>
              </w:rPr>
            </w:pPr>
          </w:p>
        </w:tc>
        <w:tc>
          <w:tcPr>
            <w:tcW w:w="340" w:type="dxa"/>
            <w:vAlign w:val="bottom"/>
          </w:tcPr>
          <w:p>
            <w:pPr>
              <w:ind w:left="20"/>
              <w:spacing w:after="0" w:line="208" w:lineRule="exact"/>
              <w:rPr>
                <w:sz w:val="20"/>
                <w:szCs w:val="20"/>
                <w:color w:val="auto"/>
              </w:rPr>
            </w:pPr>
            <w:r>
              <w:rPr>
                <w:rFonts w:ascii="Calibri" w:cs="Calibri" w:eastAsia="Calibri" w:hAnsi="Calibri"/>
                <w:sz w:val="18"/>
                <w:szCs w:val="18"/>
                <w:color w:val="auto"/>
                <w:w w:val="96"/>
              </w:rPr>
              <w:t>70%</w:t>
            </w:r>
          </w:p>
        </w:tc>
        <w:tc>
          <w:tcPr>
            <w:tcW w:w="5160" w:type="dxa"/>
            <w:vAlign w:val="bottom"/>
          </w:tcPr>
          <w:p>
            <w:pPr>
              <w:ind w:left="20"/>
              <w:spacing w:after="0" w:line="208" w:lineRule="exact"/>
              <w:rPr>
                <w:sz w:val="20"/>
                <w:szCs w:val="20"/>
                <w:color w:val="auto"/>
              </w:rPr>
            </w:pPr>
            <w:r>
              <w:rPr>
                <w:rFonts w:ascii="Calibri" w:cs="Calibri" w:eastAsia="Calibri" w:hAnsi="Calibri"/>
                <w:sz w:val="18"/>
                <w:szCs w:val="18"/>
                <w:color w:val="auto"/>
              </w:rPr>
              <w:t>(consolidated subsidiary)</w:t>
            </w:r>
          </w:p>
        </w:tc>
      </w:tr>
      <w:tr>
        <w:trPr>
          <w:trHeight w:val="234"/>
        </w:trPr>
        <w:tc>
          <w:tcPr>
            <w:tcW w:w="5520" w:type="dxa"/>
            <w:vAlign w:val="bottom"/>
          </w:tcPr>
          <w:p>
            <w:pPr>
              <w:ind w:left="20"/>
              <w:spacing w:after="0"/>
              <w:rPr>
                <w:sz w:val="20"/>
                <w:szCs w:val="20"/>
                <w:color w:val="auto"/>
              </w:rPr>
            </w:pPr>
            <w:r>
              <w:rPr>
                <w:rFonts w:ascii="Calibri" w:cs="Calibri" w:eastAsia="Calibri" w:hAnsi="Calibri"/>
                <w:sz w:val="18"/>
                <w:szCs w:val="18"/>
                <w:color w:val="auto"/>
              </w:rPr>
              <w:t>Tianjin, China</w:t>
            </w:r>
          </w:p>
        </w:tc>
        <w:tc>
          <w:tcPr>
            <w:tcW w:w="560" w:type="dxa"/>
            <w:vAlign w:val="bottom"/>
            <w:gridSpan w:val="2"/>
          </w:tcPr>
          <w:p>
            <w:pPr>
              <w:ind w:left="240"/>
              <w:spacing w:after="0"/>
              <w:rPr>
                <w:sz w:val="20"/>
                <w:szCs w:val="20"/>
                <w:color w:val="auto"/>
              </w:rPr>
            </w:pPr>
            <w:r>
              <w:rPr>
                <w:rFonts w:ascii="Calibri" w:cs="Calibri" w:eastAsia="Calibri" w:hAnsi="Calibri"/>
                <w:sz w:val="18"/>
                <w:szCs w:val="18"/>
                <w:color w:val="auto"/>
                <w:w w:val="96"/>
              </w:rPr>
              <w:t>70%</w:t>
            </w:r>
          </w:p>
        </w:tc>
        <w:tc>
          <w:tcPr>
            <w:tcW w:w="5160" w:type="dxa"/>
            <w:vAlign w:val="bottom"/>
          </w:tcPr>
          <w:p>
            <w:pPr>
              <w:ind w:left="20"/>
              <w:spacing w:after="0"/>
              <w:rPr>
                <w:sz w:val="20"/>
                <w:szCs w:val="20"/>
                <w:color w:val="auto"/>
              </w:rPr>
            </w:pPr>
            <w:r>
              <w:rPr>
                <w:rFonts w:ascii="Calibri" w:cs="Calibri" w:eastAsia="Calibri" w:hAnsi="Calibri"/>
                <w:sz w:val="18"/>
                <w:szCs w:val="18"/>
                <w:color w:val="auto"/>
              </w:rPr>
              <w:t>(consolidated subsidiary)</w:t>
            </w:r>
          </w:p>
        </w:tc>
      </w:tr>
      <w:tr>
        <w:trPr>
          <w:trHeight w:val="243"/>
        </w:trPr>
        <w:tc>
          <w:tcPr>
            <w:tcW w:w="5520" w:type="dxa"/>
            <w:vAlign w:val="bottom"/>
          </w:tcPr>
          <w:p>
            <w:pPr>
              <w:ind w:left="20"/>
              <w:spacing w:after="0"/>
              <w:rPr>
                <w:sz w:val="20"/>
                <w:szCs w:val="20"/>
                <w:color w:val="auto"/>
              </w:rPr>
            </w:pPr>
            <w:r>
              <w:rPr>
                <w:rFonts w:ascii="Calibri" w:cs="Calibri" w:eastAsia="Calibri" w:hAnsi="Calibri"/>
                <w:sz w:val="18"/>
                <w:szCs w:val="18"/>
                <w:color w:val="auto"/>
              </w:rPr>
              <w:t>Xingtai City, China</w:t>
            </w:r>
          </w:p>
        </w:tc>
        <w:tc>
          <w:tcPr>
            <w:tcW w:w="560" w:type="dxa"/>
            <w:vAlign w:val="bottom"/>
            <w:gridSpan w:val="2"/>
          </w:tcPr>
          <w:p>
            <w:pPr>
              <w:ind w:left="240"/>
              <w:spacing w:after="0"/>
              <w:rPr>
                <w:sz w:val="20"/>
                <w:szCs w:val="20"/>
                <w:color w:val="auto"/>
              </w:rPr>
            </w:pPr>
            <w:r>
              <w:rPr>
                <w:rFonts w:ascii="Calibri" w:cs="Calibri" w:eastAsia="Calibri" w:hAnsi="Calibri"/>
                <w:sz w:val="18"/>
                <w:szCs w:val="18"/>
                <w:color w:val="auto"/>
                <w:w w:val="96"/>
              </w:rPr>
              <w:t>60%</w:t>
            </w:r>
          </w:p>
        </w:tc>
        <w:tc>
          <w:tcPr>
            <w:tcW w:w="5160" w:type="dxa"/>
            <w:vAlign w:val="bottom"/>
          </w:tcPr>
          <w:p>
            <w:pPr>
              <w:ind w:left="20"/>
              <w:spacing w:after="0"/>
              <w:rPr>
                <w:sz w:val="20"/>
                <w:szCs w:val="20"/>
                <w:color w:val="auto"/>
              </w:rPr>
            </w:pPr>
            <w:r>
              <w:rPr>
                <w:rFonts w:ascii="Calibri" w:cs="Calibri" w:eastAsia="Calibri" w:hAnsi="Calibri"/>
                <w:sz w:val="18"/>
                <w:szCs w:val="18"/>
                <w:color w:val="auto"/>
              </w:rPr>
              <w:t>(consolidated subsidiary)</w:t>
            </w:r>
          </w:p>
        </w:tc>
      </w:tr>
      <w:tr>
        <w:trPr>
          <w:trHeight w:val="243"/>
        </w:trPr>
        <w:tc>
          <w:tcPr>
            <w:tcW w:w="5520" w:type="dxa"/>
            <w:vAlign w:val="bottom"/>
          </w:tcPr>
          <w:p>
            <w:pPr>
              <w:ind w:left="20"/>
              <w:spacing w:after="0"/>
              <w:rPr>
                <w:sz w:val="20"/>
                <w:szCs w:val="20"/>
                <w:color w:val="auto"/>
              </w:rPr>
            </w:pPr>
            <w:r>
              <w:rPr>
                <w:rFonts w:ascii="Calibri" w:cs="Calibri" w:eastAsia="Calibri" w:hAnsi="Calibri"/>
                <w:sz w:val="18"/>
                <w:szCs w:val="18"/>
                <w:color w:val="auto"/>
              </w:rPr>
              <w:t>Valasske Mezirici (Valmez), Czech Republic</w:t>
            </w:r>
          </w:p>
        </w:tc>
        <w:tc>
          <w:tcPr>
            <w:tcW w:w="560" w:type="dxa"/>
            <w:vAlign w:val="bottom"/>
            <w:gridSpan w:val="2"/>
          </w:tcPr>
          <w:p>
            <w:pPr>
              <w:ind w:left="240"/>
              <w:spacing w:after="0"/>
              <w:rPr>
                <w:sz w:val="20"/>
                <w:szCs w:val="20"/>
                <w:color w:val="auto"/>
              </w:rPr>
            </w:pPr>
            <w:r>
              <w:rPr>
                <w:rFonts w:ascii="Calibri" w:cs="Calibri" w:eastAsia="Calibri" w:hAnsi="Calibri"/>
                <w:sz w:val="18"/>
                <w:szCs w:val="18"/>
                <w:color w:val="auto"/>
                <w:w w:val="96"/>
              </w:rPr>
              <w:t>52%</w:t>
            </w:r>
          </w:p>
        </w:tc>
        <w:tc>
          <w:tcPr>
            <w:tcW w:w="5160" w:type="dxa"/>
            <w:vAlign w:val="bottom"/>
          </w:tcPr>
          <w:p>
            <w:pPr>
              <w:ind w:left="20"/>
              <w:spacing w:after="0"/>
              <w:rPr>
                <w:sz w:val="20"/>
                <w:szCs w:val="20"/>
                <w:color w:val="auto"/>
              </w:rPr>
            </w:pPr>
            <w:r>
              <w:rPr>
                <w:rFonts w:ascii="Calibri" w:cs="Calibri" w:eastAsia="Calibri" w:hAnsi="Calibri"/>
                <w:sz w:val="18"/>
                <w:szCs w:val="18"/>
                <w:color w:val="auto"/>
              </w:rPr>
              <w:t>(consolidated subsidiary)</w:t>
            </w:r>
          </w:p>
        </w:tc>
      </w:tr>
      <w:tr>
        <w:trPr>
          <w:trHeight w:val="243"/>
        </w:trPr>
        <w:tc>
          <w:tcPr>
            <w:tcW w:w="5520" w:type="dxa"/>
            <w:vAlign w:val="bottom"/>
          </w:tcPr>
          <w:p>
            <w:pPr>
              <w:ind w:left="20"/>
              <w:spacing w:after="0"/>
              <w:rPr>
                <w:sz w:val="20"/>
                <w:szCs w:val="20"/>
                <w:color w:val="auto"/>
              </w:rPr>
            </w:pPr>
            <w:r>
              <w:rPr>
                <w:rFonts w:ascii="Calibri" w:cs="Calibri" w:eastAsia="Calibri" w:hAnsi="Calibri"/>
                <w:sz w:val="18"/>
                <w:szCs w:val="18"/>
                <w:color w:val="auto"/>
              </w:rPr>
              <w:t>Cilegon, Indonesia</w:t>
            </w:r>
          </w:p>
        </w:tc>
        <w:tc>
          <w:tcPr>
            <w:tcW w:w="560" w:type="dxa"/>
            <w:vAlign w:val="bottom"/>
            <w:gridSpan w:val="2"/>
          </w:tcPr>
          <w:p>
            <w:pPr>
              <w:ind w:left="240"/>
              <w:spacing w:after="0"/>
              <w:rPr>
                <w:sz w:val="20"/>
                <w:szCs w:val="20"/>
                <w:color w:val="auto"/>
              </w:rPr>
            </w:pPr>
            <w:r>
              <w:rPr>
                <w:rFonts w:ascii="Calibri" w:cs="Calibri" w:eastAsia="Calibri" w:hAnsi="Calibri"/>
                <w:sz w:val="18"/>
                <w:szCs w:val="18"/>
                <w:color w:val="auto"/>
                <w:w w:val="96"/>
              </w:rPr>
              <w:t>98%</w:t>
            </w:r>
          </w:p>
        </w:tc>
        <w:tc>
          <w:tcPr>
            <w:tcW w:w="5160" w:type="dxa"/>
            <w:vAlign w:val="bottom"/>
          </w:tcPr>
          <w:p>
            <w:pPr>
              <w:ind w:left="20"/>
              <w:spacing w:after="0"/>
              <w:rPr>
                <w:sz w:val="20"/>
                <w:szCs w:val="20"/>
                <w:color w:val="auto"/>
              </w:rPr>
            </w:pPr>
            <w:r>
              <w:rPr>
                <w:rFonts w:ascii="Calibri" w:cs="Calibri" w:eastAsia="Calibri" w:hAnsi="Calibri"/>
                <w:sz w:val="18"/>
                <w:szCs w:val="18"/>
                <w:color w:val="auto"/>
              </w:rPr>
              <w:t>(consolidated subsidiary)</w:t>
            </w:r>
          </w:p>
        </w:tc>
      </w:tr>
      <w:tr>
        <w:trPr>
          <w:trHeight w:val="216"/>
        </w:trPr>
        <w:tc>
          <w:tcPr>
            <w:tcW w:w="5520" w:type="dxa"/>
            <w:vAlign w:val="bottom"/>
          </w:tcPr>
          <w:p>
            <w:pPr>
              <w:ind w:left="20"/>
              <w:spacing w:after="0" w:line="216" w:lineRule="exact"/>
              <w:rPr>
                <w:sz w:val="20"/>
                <w:szCs w:val="20"/>
                <w:color w:val="auto"/>
              </w:rPr>
            </w:pPr>
            <w:r>
              <w:rPr>
                <w:rFonts w:ascii="Calibri" w:cs="Calibri" w:eastAsia="Calibri" w:hAnsi="Calibri"/>
                <w:sz w:val="18"/>
                <w:szCs w:val="18"/>
                <w:color w:val="auto"/>
              </w:rPr>
              <w:t>Port Dickson, Malaysia</w:t>
            </w:r>
          </w:p>
        </w:tc>
        <w:tc>
          <w:tcPr>
            <w:tcW w:w="560" w:type="dxa"/>
            <w:vAlign w:val="bottom"/>
            <w:gridSpan w:val="2"/>
          </w:tcPr>
          <w:p>
            <w:pPr>
              <w:ind w:left="240"/>
              <w:spacing w:after="0" w:line="216" w:lineRule="exact"/>
              <w:rPr>
                <w:sz w:val="20"/>
                <w:szCs w:val="20"/>
                <w:color w:val="auto"/>
              </w:rPr>
            </w:pPr>
            <w:r>
              <w:rPr>
                <w:rFonts w:ascii="Calibri" w:cs="Calibri" w:eastAsia="Calibri" w:hAnsi="Calibri"/>
                <w:sz w:val="18"/>
                <w:szCs w:val="18"/>
                <w:color w:val="auto"/>
                <w:w w:val="96"/>
              </w:rPr>
              <w:t>98%</w:t>
            </w:r>
          </w:p>
        </w:tc>
        <w:tc>
          <w:tcPr>
            <w:tcW w:w="5160" w:type="dxa"/>
            <w:vAlign w:val="bottom"/>
          </w:tcPr>
          <w:p>
            <w:pPr>
              <w:ind w:left="20"/>
              <w:spacing w:after="0" w:line="216" w:lineRule="exact"/>
              <w:rPr>
                <w:sz w:val="20"/>
                <w:szCs w:val="20"/>
                <w:color w:val="auto"/>
              </w:rPr>
            </w:pPr>
            <w:r>
              <w:rPr>
                <w:rFonts w:ascii="Calibri" w:cs="Calibri" w:eastAsia="Calibri" w:hAnsi="Calibri"/>
                <w:sz w:val="18"/>
                <w:szCs w:val="18"/>
                <w:color w:val="auto"/>
              </w:rPr>
              <w:t>(consolidated subsidiary)</w:t>
            </w:r>
          </w:p>
        </w:tc>
      </w:tr>
      <w:tr>
        <w:trPr>
          <w:trHeight w:val="243"/>
        </w:trPr>
        <w:tc>
          <w:tcPr>
            <w:tcW w:w="5520" w:type="dxa"/>
            <w:vAlign w:val="bottom"/>
          </w:tcPr>
          <w:p>
            <w:pPr>
              <w:ind w:left="20"/>
              <w:spacing w:after="0"/>
              <w:rPr>
                <w:sz w:val="20"/>
                <w:szCs w:val="20"/>
                <w:color w:val="auto"/>
              </w:rPr>
            </w:pPr>
            <w:r>
              <w:rPr>
                <w:rFonts w:ascii="Calibri" w:cs="Calibri" w:eastAsia="Calibri" w:hAnsi="Calibri"/>
                <w:sz w:val="18"/>
                <w:szCs w:val="18"/>
                <w:color w:val="auto"/>
              </w:rPr>
              <w:t>Valencia, Venezuela</w:t>
            </w:r>
          </w:p>
        </w:tc>
        <w:tc>
          <w:tcPr>
            <w:tcW w:w="560" w:type="dxa"/>
            <w:vAlign w:val="bottom"/>
            <w:gridSpan w:val="2"/>
          </w:tcPr>
          <w:p>
            <w:pPr>
              <w:ind w:left="240"/>
              <w:spacing w:after="0"/>
              <w:rPr>
                <w:sz w:val="20"/>
                <w:szCs w:val="20"/>
                <w:color w:val="auto"/>
              </w:rPr>
            </w:pPr>
            <w:r>
              <w:rPr>
                <w:rFonts w:ascii="Calibri" w:cs="Calibri" w:eastAsia="Calibri" w:hAnsi="Calibri"/>
                <w:sz w:val="18"/>
                <w:szCs w:val="18"/>
                <w:color w:val="auto"/>
                <w:w w:val="96"/>
              </w:rPr>
              <w:t>49%</w:t>
            </w:r>
          </w:p>
        </w:tc>
        <w:tc>
          <w:tcPr>
            <w:tcW w:w="5160" w:type="dxa"/>
            <w:vAlign w:val="bottom"/>
          </w:tcPr>
          <w:p>
            <w:pPr>
              <w:ind w:left="20"/>
              <w:spacing w:after="0"/>
              <w:rPr>
                <w:sz w:val="20"/>
                <w:szCs w:val="20"/>
                <w:color w:val="auto"/>
              </w:rPr>
            </w:pPr>
            <w:r>
              <w:rPr>
                <w:rFonts w:ascii="Calibri" w:cs="Calibri" w:eastAsia="Calibri" w:hAnsi="Calibri"/>
                <w:sz w:val="18"/>
                <w:szCs w:val="18"/>
                <w:color w:val="auto"/>
              </w:rPr>
              <w:t>(equity afliate)</w:t>
            </w:r>
          </w:p>
        </w:tc>
      </w:tr>
    </w:tbl>
    <w:p>
      <w:pPr>
        <w:spacing w:after="0" w:line="312"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During fscal 2019, we began engineering work on an expansion of our Cilegon, Indonesia plant to add approximately 80,000 metric tons of capacity for reinforcing carbons to our network. In fscal 2020, afer a review of our capital allocaton priorites, we temporarily suspended further work on this expansion. We are restartng work on this project and antcipate this additonal capacity becoming available in fscal 2025.</w:t>
      </w:r>
    </w:p>
    <w:p>
      <w:pPr>
        <w:spacing w:after="0" w:line="84" w:lineRule="exact"/>
        <w:rPr>
          <w:sz w:val="20"/>
          <w:szCs w:val="20"/>
          <w:color w:val="auto"/>
        </w:rPr>
      </w:pPr>
    </w:p>
    <w:p>
      <w:pPr>
        <w:ind w:right="60" w:firstLine="539"/>
        <w:spacing w:after="0" w:line="235" w:lineRule="auto"/>
        <w:rPr>
          <w:sz w:val="20"/>
          <w:szCs w:val="20"/>
          <w:color w:val="auto"/>
        </w:rPr>
      </w:pPr>
      <w:r>
        <w:rPr>
          <w:rFonts w:ascii="Calibri" w:cs="Calibri" w:eastAsia="Calibri" w:hAnsi="Calibri"/>
          <w:sz w:val="18"/>
          <w:szCs w:val="18"/>
          <w:color w:val="auto"/>
        </w:rPr>
        <w:t>One of the main environmental challenges of a carbon black plant is the management of exhaust gas from producton processes. This exhaust gas contains a number of regulated pollutants, including carbon monoxide and sulfur compounds. Our most common method for controlling these gases is through combuston, which produces useable energy as a by-product. Currently, nine reinforcing carbons manufacturing sites and four reinforcing carbons/specialty carbons manufacturing sites have energy centers, which allow us to utlize these gases through some form of energy co-generaton, such as the sale or reuse of steam, gas or electricity. Depending on our capacity utlizaton, our energy centers generally reduce our manufacturing operatng costs. In additon, we generate revenues from our energy center sales.</w:t>
      </w:r>
    </w:p>
    <w:p>
      <w:pPr>
        <w:spacing w:after="0" w:line="8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Performance Chemicals</w:t>
      </w:r>
    </w:p>
    <w:p>
      <w:pPr>
        <w:spacing w:after="0" w:line="82"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In Performance Chemicals, we design, manufacture and sell materials that deliver performance in a broad range of customer applicatons across the automotve, constructon, infrastructure, inkjet printng, electronics, and consumer products sectors and in applicatons related to the generaton, transmission and storage of energy. In this reportng segment we combine our specialty carbons, specialty compounds, batery materials, fumed metal oxides, aerogel and inkjet product lines. Our focus areas for growth, which we refer to as “growth vectors”, include conductve additves and other materials for batery applicatons, and inkjet dispersions for post print corrugated packaging applicatons. The recent investments we have made for growth in this segment, including in respect of these specifc areas of focus, are described below under the heading “Operatons”.</w:t>
      </w:r>
    </w:p>
    <w:p>
      <w:pPr>
        <w:spacing w:after="0" w:line="21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7" w:name="page8"/>
    <w:bookmarkEnd w:id="7"/>
    <w:p>
      <w:pPr>
        <w:ind w:left="260"/>
        <w:spacing w:after="0"/>
        <w:rPr>
          <w:sz w:val="20"/>
          <w:szCs w:val="20"/>
          <w:color w:val="auto"/>
        </w:rPr>
      </w:pPr>
      <w:r>
        <w:rPr>
          <w:rFonts w:ascii="Calibri" w:cs="Calibri" w:eastAsia="Calibri" w:hAnsi="Calibri"/>
          <w:sz w:val="18"/>
          <w:szCs w:val="18"/>
          <w:b w:val="1"/>
          <w:bCs w:val="1"/>
          <w:i w:val="1"/>
          <w:iCs w:val="1"/>
          <w:color w:val="auto"/>
        </w:rPr>
        <w:t>Products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Carbon black is a form of elemental carbon that is manufactured in a highly controlled process to produce partcles and aggregates of varied structure and surface chemistry, resultng in many diferent performance characteristcs for a wide variety of applicatons.</w:t>
      </w:r>
    </w:p>
    <w:p>
      <w:pPr>
        <w:spacing w:after="0" w:line="83" w:lineRule="exact"/>
        <w:rPr>
          <w:sz w:val="20"/>
          <w:szCs w:val="20"/>
          <w:color w:val="auto"/>
        </w:rPr>
      </w:pPr>
    </w:p>
    <w:p>
      <w:pPr>
        <w:ind w:right="140" w:firstLine="509"/>
        <w:spacing w:after="0" w:line="254" w:lineRule="auto"/>
        <w:rPr>
          <w:sz w:val="20"/>
          <w:szCs w:val="20"/>
          <w:color w:val="auto"/>
        </w:rPr>
      </w:pPr>
      <w:r>
        <w:rPr>
          <w:rFonts w:ascii="Calibri" w:cs="Calibri" w:eastAsia="Calibri" w:hAnsi="Calibri"/>
          <w:sz w:val="17"/>
          <w:szCs w:val="17"/>
          <w:color w:val="auto"/>
        </w:rPr>
        <w:t>Our specialty carbons are used to impart color, provide rheology control, enhance conductvity and statc charge control, provide UV protecton, enhance mechanical propertes, and provide formulaton fexibility through surface treatment. These specialty carbon products are used in a wide variety of applicatons, such as plastcs, which applicatons represent the largest use for our products, inks, coatngs, adhesives, toners, bateries, and displays.</w:t>
      </w:r>
    </w:p>
    <w:p>
      <w:pPr>
        <w:spacing w:after="0" w:line="7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masterbatch and conductve compound products, which we refer to as “specialty compounds”, are formulatons derived from specialty carbons mixed with polymers and other additves. These products are generally used by plastc resin producers and converters in applicatons for the automotve, industrial, packaging, infrastructure, agriculture, consumer products, and electronics industries. As an alternatve to directly mixing specialty carbon blacks, these formulatons ofer greater ease of handling and help customers achieve their desired levels of dispersion and color and manage the additon of small doses of additves. In additon, our electrically conductve compound products generally are used to help ensure uniform conductve performance and reduce risks associated with electrostatc discharge in plastcs applicatons.</w:t>
      </w:r>
    </w:p>
    <w:p>
      <w:pPr>
        <w:spacing w:after="0" w:line="8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batery materials products include our conductve additves and fumed alumina, which are used principally in advanced lead acid and lithium-ion bateries used in electric vehicles. Our conductve additves consist of conductve carbons, carbon nanotubes and carbon nano structures, and blends of these materials, each of which ofers diferent levels of conductvity and formulaton fexibility for batery manufacturers to address performance (energy density, fast charging), cost and safety. In lithium-ion bateries, our conductve additves are used in both cathode and anode applicatons to increase energy density by providing a conductve network between actve materials. Fumed alumina is used to reduce cathode material and electrolyte decompositon and improve capacity retenton leading to longer batery cycle life.</w:t>
      </w:r>
    </w:p>
    <w:p>
      <w:pPr>
        <w:spacing w:after="0" w:line="86"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Fumed silica is an ultra-fne, high-purity partcle used as a reinforcing, thickening, abrasive, thixotropic, suspending or ant-caking agent in a wide variety of products for the automotve, constructon, microelectronics, bateries and consumer products industries. These products include adhesives, sealants, cosmetcs, bateries, inks, toners, silicone elastomers, coatngs, polishing slurries and pharmaceutcals. In additon to its batery applicatons discussed above, fumed alumina, also an ultra-fne, high-purity partcle, is used as an abrasive, absorbent or barrier agent in a variety of products, such as inkjet media, lightng, coatngs, cosmetcs and polishing slurries.</w:t>
      </w:r>
    </w:p>
    <w:p>
      <w:pPr>
        <w:spacing w:after="0" w:line="85"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color w:val="auto"/>
        </w:rPr>
        <w:t>Aerogel is a hydrophobic, silica-based partcle with a high surface area that is used in a variety of thermal insulaton and specialty chemical applicatons. In the building and constructon industry, the product is used in insulatve sprayable plasters and composite building products, as well as translucent skylight, window, wall and roof systems for insulatng eco-daylightng applicatons. In the specialty chemicals industry, the product is used to provide mate fnishing, insulatng and thickening propertes for use in a variety of applicatons including thermal runaway management for lithium-ion bateries.</w:t>
      </w:r>
    </w:p>
    <w:p>
      <w:pPr>
        <w:spacing w:after="0" w:line="85" w:lineRule="exact"/>
        <w:rPr>
          <w:sz w:val="20"/>
          <w:szCs w:val="20"/>
          <w:color w:val="auto"/>
        </w:rPr>
      </w:pPr>
    </w:p>
    <w:p>
      <w:pPr>
        <w:ind w:right="140" w:firstLine="509"/>
        <w:spacing w:after="0" w:line="251" w:lineRule="auto"/>
        <w:rPr>
          <w:sz w:val="20"/>
          <w:szCs w:val="20"/>
          <w:color w:val="auto"/>
        </w:rPr>
      </w:pPr>
      <w:r>
        <w:rPr>
          <w:rFonts w:ascii="Calibri" w:cs="Calibri" w:eastAsia="Calibri" w:hAnsi="Calibri"/>
          <w:sz w:val="17"/>
          <w:szCs w:val="17"/>
          <w:color w:val="auto"/>
        </w:rPr>
        <w:t>Our inkjet colorants are high-quality pigment-based black and color dispersions and inks. Our dispersions are based on our patented pigment surface modifcaton technology and polymer encapsulaton technology. The dispersions are used in aqueous inkjet inks to impart color, sharp print characteristcs and durability, while maintaining high printhead reliability. These products are used in various inkjet printng applicatons, including traditonal work-from-home and corporate ofce setngs, and, increasingly, in commercial and corrugated packaging, all of which require a high level of dispersibility and colloidal stability. Our inkjet inks, which utlize our pigment-based colorant dispersions, are used in the commercial printng segment for graphic arts.</w:t>
      </w:r>
    </w:p>
    <w:p>
      <w:pPr>
        <w:spacing w:after="0" w:line="71"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Drivers of Demand and Sales and Customers</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Our specialty carbons products have a wide variety of end-uses and demand is largely driven by the growth and development of the constructon and infrastructure, automotve, electronics and consumer products industries. Demand for our conductve additves for use in bateries is largely driven by the trend in electrifcaton of vehicles. Demand for fumed silica is mainly infuenced by trends in key markets for silicones, adhesives and coatngs applicatons, notably, structural adhesives for automobile light-weightng, epoxy bonding paste for wind turbines, high-performance coatngs and hybrid sealants for constructon and silicones for medical devices and the proliferaton of electronics. Demand for specialty compounds is mainly infuenced by growth and development of the automotve, infrastructure, consumer goods and electronic devices, packaging and agriculture industries.</w:t>
      </w:r>
    </w:p>
    <w:p>
      <w:pPr>
        <w:spacing w:after="0" w:line="86"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Demand for our inkjet colorants is mainly infuenced by developments in print media, pages printed in ofce and work-from-home environments, as well as press sales and utlizaton levels as digital aqueous pigment-based inks penetrate commercial and packaging applicatons historically served by analog printng methods.</w:t>
      </w:r>
    </w:p>
    <w:p>
      <w:pPr>
        <w:spacing w:after="0" w:line="84" w:lineRule="exact"/>
        <w:rPr>
          <w:sz w:val="20"/>
          <w:szCs w:val="20"/>
          <w:color w:val="auto"/>
        </w:rPr>
      </w:pPr>
    </w:p>
    <w:p>
      <w:pPr>
        <w:ind w:right="500" w:firstLine="509"/>
        <w:spacing w:after="0" w:line="235" w:lineRule="auto"/>
        <w:rPr>
          <w:sz w:val="20"/>
          <w:szCs w:val="20"/>
          <w:color w:val="auto"/>
        </w:rPr>
      </w:pPr>
      <w:r>
        <w:rPr>
          <w:rFonts w:ascii="Calibri" w:cs="Calibri" w:eastAsia="Calibri" w:hAnsi="Calibri"/>
          <w:sz w:val="18"/>
          <w:szCs w:val="18"/>
          <w:color w:val="auto"/>
        </w:rPr>
        <w:t>Sales of these products are made by Cabot employees and through distributors and sales representatves. In our specialty carbons and specialty compounds product lines, sales are generally to a broad number of customers. In our fumed metal oxides</w:t>
      </w:r>
    </w:p>
    <w:p>
      <w:pPr>
        <w:spacing w:after="0" w:line="21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8" w:name="page9"/>
    <w:bookmarkEnd w:id="8"/>
    <w:p>
      <w:pPr>
        <w:ind w:right="360"/>
        <w:spacing w:after="0" w:line="235" w:lineRule="auto"/>
        <w:rPr>
          <w:sz w:val="20"/>
          <w:szCs w:val="20"/>
          <w:color w:val="auto"/>
        </w:rPr>
      </w:pPr>
      <w:r>
        <w:rPr>
          <w:rFonts w:ascii="Calibri" w:cs="Calibri" w:eastAsia="Calibri" w:hAnsi="Calibri"/>
          <w:sz w:val="18"/>
          <w:szCs w:val="18"/>
          <w:color w:val="auto"/>
        </w:rPr>
        <w:t>product line, sales under contracts with fve customers account for approximately one-third of the revenue. In our batery materials product line, sales to three customers account for approximately 50% of revenue.</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Competton</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are a leading producer of the products we sell in this segment. We compete in the sale of carbon black with three companies that operate globally and numerous other companies that operate regionally, a number of which export product outside their region of manufacture. For batery applicatons, we compete primarily with two global companies that manufacture conductve carbons as well as a number of smaller regional manufacturers. For carbon nanotubes, we compete primarily with one Chinese-based company. For batery applicatons, we compete primarily with one manufacturer of fumed alumina that operates globally. For fumed silica, we compete with two companies with a global presence and several other companies that have a regional presence. For aerogel, we compete globally principally with one other company that produces aerogel products. We also compete with non-aerogel insulaton products manufactured by regional companies throughout the world. For specialty compounds, we compete with many regional companies and a small number of global companies. Our inkjet colorants and inks are designed to replace traditonal pigment dispersions and dyes used in inkjet printng applicatons. Compettve products for inkjet colorants are organic dyes and other dispersed pigments manufactured and marketed by large chemical companies and small independent producers.</w:t>
      </w:r>
    </w:p>
    <w:p>
      <w:pPr>
        <w:spacing w:after="0" w:line="89"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Competton for our Performance Chemicals products is based on product performance, quality, reliability, service, technical innovaton and price. We believe our product diferentaton, technological leadership, operatons excellence and customer service provide us with a compettve advantage.</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Raw Materials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Raw materials for our products are, in general, readily available and in adequate supply. The principal raw material used in the manufacture of our specialty carbons and conductve additves is composed of residual heavy oils derived from petroleum refning operatons, the distllaton of coal tars, and the producton of ethylene throughout the world. Natural gas is also used in the producton of our specialty carbons. As product purity is one of the most critcal requirements for conductve carbons, we obtain raw materials for those products from select key suppliers. Our raw material costs generally are infuenced by the availability of various types of our feedstocks and natural gas, supply and demand of such raw materials and related transportaton costs. Changes in certain of our raw material supplier’s operatng conditons could reduce the availability of certain very specialized feedstocks.</w:t>
      </w:r>
    </w:p>
    <w:p>
      <w:pPr>
        <w:spacing w:after="0" w:line="8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primary raw materials for our carbon nanotubes are catalysts that we synthesize and propylene. Raw materials for the producton of fumed silica are various chlorosilane feedstocks. We purchase feedstocks and for certain customers convert their feedstock to product on a fee-basis (so called “toll conversion”). We also purchase aluminum chloride as feedstock for the producton of fumed alumina. We have long-term procurement contracts or arrangements in place for the purchase of fumed silica feedstock primarily from fence-line partners, which we believe will enable us to meet our raw material requirements for the foreseeable future. In additon, we buy some raw materials in the spot market to help ensure fexibility and minimize costs. The principal raw materials for the producton of aerogel are silica sol and/or sodium silicate.</w:t>
      </w:r>
    </w:p>
    <w:p>
      <w:pPr>
        <w:spacing w:after="0" w:line="86"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primary raw materials used for our specialty compounds include carbon black, primarily sourced from our carbon black plants, prime and recycled thermoplastc resins and mineral fllers supplied from various sources. Raw materials for inkjet colorants include carbon black sourced from our carbon black plants, organic pigments and other treatng agents available from various sources. Raw materials for inkjet inks include pigment dispersions, solvents and other additves.</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Operatons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We own, or have a controlling interest in, and operate plants that produce specialty carbons primarily in China, the Netherlands and the U.S. We produce our conductve additves in China, and at our specialty carbon plants in the U.S. and in the Netherlands. We also own, or have a controlling interest in, manufacturing plants that produce fumed metal oxides in China, Germany, the United Kingdom (“U.K.”), and the U.S. and a manufacturing plant that produces aerogel in Frankfurt, Germany. An equity afliate operates a fumed metal oxides plant in India. Our specialty compounds are predominately produced in facilites that we own, or have a controlling interest in, located in Belgium, Canada, China and the United Arab Emirates. Our inkjet colorants and inks are manufactured at our facility in the U.S.</w:t>
      </w:r>
    </w:p>
    <w:p>
      <w:pPr>
        <w:spacing w:after="0" w:line="81"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shows our ownership interest as of September 30, 2023 in operatons in which we own less than 100%: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20" w:type="dxa"/>
            <w:vAlign w:val="bottom"/>
          </w:tcPr>
          <w:p>
            <w:pPr>
              <w:ind w:left="20"/>
              <w:spacing w:after="0"/>
              <w:rPr>
                <w:sz w:val="20"/>
                <w:szCs w:val="20"/>
                <w:color w:val="auto"/>
              </w:rPr>
            </w:pPr>
            <w:r>
              <w:rPr>
                <w:rFonts w:ascii="Calibri" w:cs="Calibri" w:eastAsia="Calibri" w:hAnsi="Calibri"/>
                <w:sz w:val="18"/>
                <w:szCs w:val="18"/>
                <w:b w:val="1"/>
                <w:bCs w:val="1"/>
                <w:color w:val="auto"/>
              </w:rPr>
              <w:t>Locaton</w:t>
            </w:r>
          </w:p>
        </w:tc>
        <w:tc>
          <w:tcPr>
            <w:tcW w:w="220" w:type="dxa"/>
            <w:vAlign w:val="bottom"/>
          </w:tcPr>
          <w:p>
            <w:pPr>
              <w:spacing w:after="0"/>
              <w:rPr>
                <w:sz w:val="19"/>
                <w:szCs w:val="19"/>
                <w:color w:val="auto"/>
              </w:rPr>
            </w:pPr>
          </w:p>
        </w:tc>
        <w:tc>
          <w:tcPr>
            <w:tcW w:w="5500" w:type="dxa"/>
            <w:vAlign w:val="bottom"/>
            <w:gridSpan w:val="2"/>
          </w:tcPr>
          <w:p>
            <w:pPr>
              <w:ind w:left="20"/>
              <w:spacing w:after="0"/>
              <w:rPr>
                <w:sz w:val="20"/>
                <w:szCs w:val="20"/>
                <w:color w:val="auto"/>
              </w:rPr>
            </w:pPr>
            <w:r>
              <w:rPr>
                <w:rFonts w:ascii="Calibri" w:cs="Calibri" w:eastAsia="Calibri" w:hAnsi="Calibri"/>
                <w:sz w:val="18"/>
                <w:szCs w:val="18"/>
                <w:b w:val="1"/>
                <w:bCs w:val="1"/>
                <w:color w:val="auto"/>
              </w:rPr>
              <w:t>Percentage Interest</w:t>
            </w:r>
          </w:p>
        </w:tc>
      </w:tr>
      <w:tr>
        <w:trPr>
          <w:trHeight w:val="37"/>
        </w:trPr>
        <w:tc>
          <w:tcPr>
            <w:tcW w:w="55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r>
      <w:tr>
        <w:trPr>
          <w:trHeight w:val="208"/>
        </w:trPr>
        <w:tc>
          <w:tcPr>
            <w:tcW w:w="5520" w:type="dxa"/>
            <w:vAlign w:val="bottom"/>
          </w:tcPr>
          <w:p>
            <w:pPr>
              <w:ind w:left="20"/>
              <w:spacing w:after="0" w:line="208" w:lineRule="exact"/>
              <w:rPr>
                <w:sz w:val="20"/>
                <w:szCs w:val="20"/>
                <w:color w:val="auto"/>
              </w:rPr>
            </w:pPr>
            <w:r>
              <w:rPr>
                <w:rFonts w:ascii="Calibri" w:cs="Calibri" w:eastAsia="Calibri" w:hAnsi="Calibri"/>
                <w:sz w:val="18"/>
                <w:szCs w:val="18"/>
                <w:color w:val="auto"/>
              </w:rPr>
              <w:t>Tianjin, China</w:t>
            </w:r>
          </w:p>
        </w:tc>
        <w:tc>
          <w:tcPr>
            <w:tcW w:w="220" w:type="dxa"/>
            <w:vAlign w:val="bottom"/>
          </w:tcPr>
          <w:p>
            <w:pPr>
              <w:spacing w:after="0"/>
              <w:rPr>
                <w:sz w:val="18"/>
                <w:szCs w:val="18"/>
                <w:color w:val="auto"/>
              </w:rPr>
            </w:pPr>
          </w:p>
        </w:tc>
        <w:tc>
          <w:tcPr>
            <w:tcW w:w="340" w:type="dxa"/>
            <w:vAlign w:val="bottom"/>
          </w:tcPr>
          <w:p>
            <w:pPr>
              <w:ind w:left="20"/>
              <w:spacing w:after="0" w:line="208" w:lineRule="exact"/>
              <w:rPr>
                <w:sz w:val="20"/>
                <w:szCs w:val="20"/>
                <w:color w:val="auto"/>
              </w:rPr>
            </w:pPr>
            <w:r>
              <w:rPr>
                <w:rFonts w:ascii="Calibri" w:cs="Calibri" w:eastAsia="Calibri" w:hAnsi="Calibri"/>
                <w:sz w:val="18"/>
                <w:szCs w:val="18"/>
                <w:color w:val="auto"/>
                <w:w w:val="96"/>
              </w:rPr>
              <w:t>90%</w:t>
            </w:r>
          </w:p>
        </w:tc>
        <w:tc>
          <w:tcPr>
            <w:tcW w:w="5160" w:type="dxa"/>
            <w:vAlign w:val="bottom"/>
          </w:tcPr>
          <w:p>
            <w:pPr>
              <w:ind w:left="20"/>
              <w:spacing w:after="0" w:line="208" w:lineRule="exact"/>
              <w:rPr>
                <w:sz w:val="20"/>
                <w:szCs w:val="20"/>
                <w:color w:val="auto"/>
              </w:rPr>
            </w:pPr>
            <w:r>
              <w:rPr>
                <w:rFonts w:ascii="Calibri" w:cs="Calibri" w:eastAsia="Calibri" w:hAnsi="Calibri"/>
                <w:sz w:val="18"/>
                <w:szCs w:val="18"/>
                <w:color w:val="auto"/>
              </w:rPr>
              <w:t>(consolidated subsidiary)</w:t>
            </w:r>
          </w:p>
        </w:tc>
      </w:tr>
      <w:tr>
        <w:trPr>
          <w:trHeight w:val="234"/>
        </w:trPr>
        <w:tc>
          <w:tcPr>
            <w:tcW w:w="5520" w:type="dxa"/>
            <w:vAlign w:val="bottom"/>
          </w:tcPr>
          <w:p>
            <w:pPr>
              <w:ind w:left="20"/>
              <w:spacing w:after="0"/>
              <w:rPr>
                <w:sz w:val="20"/>
                <w:szCs w:val="20"/>
                <w:color w:val="auto"/>
              </w:rPr>
            </w:pPr>
            <w:r>
              <w:rPr>
                <w:rFonts w:ascii="Calibri" w:cs="Calibri" w:eastAsia="Calibri" w:hAnsi="Calibri"/>
                <w:sz w:val="18"/>
                <w:szCs w:val="18"/>
                <w:color w:val="auto"/>
              </w:rPr>
              <w:t>Jiangxi Province, China</w:t>
            </w:r>
          </w:p>
        </w:tc>
        <w:tc>
          <w:tcPr>
            <w:tcW w:w="560" w:type="dxa"/>
            <w:vAlign w:val="bottom"/>
            <w:gridSpan w:val="2"/>
          </w:tcPr>
          <w:p>
            <w:pPr>
              <w:ind w:left="240"/>
              <w:spacing w:after="0"/>
              <w:rPr>
                <w:sz w:val="20"/>
                <w:szCs w:val="20"/>
                <w:color w:val="auto"/>
              </w:rPr>
            </w:pPr>
            <w:r>
              <w:rPr>
                <w:rFonts w:ascii="Calibri" w:cs="Calibri" w:eastAsia="Calibri" w:hAnsi="Calibri"/>
                <w:sz w:val="18"/>
                <w:szCs w:val="18"/>
                <w:color w:val="auto"/>
                <w:w w:val="96"/>
              </w:rPr>
              <w:t>90%</w:t>
            </w:r>
          </w:p>
        </w:tc>
        <w:tc>
          <w:tcPr>
            <w:tcW w:w="5160" w:type="dxa"/>
            <w:vAlign w:val="bottom"/>
          </w:tcPr>
          <w:p>
            <w:pPr>
              <w:ind w:left="20"/>
              <w:spacing w:after="0"/>
              <w:rPr>
                <w:sz w:val="20"/>
                <w:szCs w:val="20"/>
                <w:color w:val="auto"/>
              </w:rPr>
            </w:pPr>
            <w:r>
              <w:rPr>
                <w:rFonts w:ascii="Calibri" w:cs="Calibri" w:eastAsia="Calibri" w:hAnsi="Calibri"/>
                <w:sz w:val="18"/>
                <w:szCs w:val="18"/>
                <w:color w:val="auto"/>
              </w:rPr>
              <w:t>(consolidated subsidiary)</w:t>
            </w:r>
          </w:p>
        </w:tc>
      </w:tr>
      <w:tr>
        <w:trPr>
          <w:trHeight w:val="216"/>
        </w:trPr>
        <w:tc>
          <w:tcPr>
            <w:tcW w:w="5520" w:type="dxa"/>
            <w:vAlign w:val="bottom"/>
          </w:tcPr>
          <w:p>
            <w:pPr>
              <w:ind w:left="20"/>
              <w:spacing w:after="0" w:line="216" w:lineRule="exact"/>
              <w:rPr>
                <w:sz w:val="20"/>
                <w:szCs w:val="20"/>
                <w:color w:val="auto"/>
              </w:rPr>
            </w:pPr>
            <w:r>
              <w:rPr>
                <w:rFonts w:ascii="Calibri" w:cs="Calibri" w:eastAsia="Calibri" w:hAnsi="Calibri"/>
                <w:sz w:val="18"/>
                <w:szCs w:val="18"/>
                <w:color w:val="auto"/>
              </w:rPr>
              <w:t>Wuhai, China</w:t>
            </w:r>
          </w:p>
        </w:tc>
        <w:tc>
          <w:tcPr>
            <w:tcW w:w="560" w:type="dxa"/>
            <w:vAlign w:val="bottom"/>
            <w:gridSpan w:val="2"/>
          </w:tcPr>
          <w:p>
            <w:pPr>
              <w:ind w:left="240"/>
              <w:spacing w:after="0" w:line="216" w:lineRule="exact"/>
              <w:rPr>
                <w:sz w:val="20"/>
                <w:szCs w:val="20"/>
                <w:color w:val="auto"/>
              </w:rPr>
            </w:pPr>
            <w:r>
              <w:rPr>
                <w:rFonts w:ascii="Calibri" w:cs="Calibri" w:eastAsia="Calibri" w:hAnsi="Calibri"/>
                <w:sz w:val="18"/>
                <w:szCs w:val="18"/>
                <w:color w:val="auto"/>
                <w:w w:val="96"/>
              </w:rPr>
              <w:t>80%</w:t>
            </w:r>
          </w:p>
        </w:tc>
        <w:tc>
          <w:tcPr>
            <w:tcW w:w="5160" w:type="dxa"/>
            <w:vAlign w:val="bottom"/>
          </w:tcPr>
          <w:p>
            <w:pPr>
              <w:ind w:left="20"/>
              <w:spacing w:after="0" w:line="216" w:lineRule="exact"/>
              <w:rPr>
                <w:sz w:val="20"/>
                <w:szCs w:val="20"/>
                <w:color w:val="auto"/>
              </w:rPr>
            </w:pPr>
            <w:r>
              <w:rPr>
                <w:rFonts w:ascii="Calibri" w:cs="Calibri" w:eastAsia="Calibri" w:hAnsi="Calibri"/>
                <w:sz w:val="18"/>
                <w:szCs w:val="18"/>
                <w:color w:val="auto"/>
              </w:rPr>
              <w:t>(consolidated subsidiary)</w:t>
            </w:r>
          </w:p>
        </w:tc>
      </w:tr>
      <w:tr>
        <w:trPr>
          <w:trHeight w:val="243"/>
        </w:trPr>
        <w:tc>
          <w:tcPr>
            <w:tcW w:w="5520" w:type="dxa"/>
            <w:vAlign w:val="bottom"/>
          </w:tcPr>
          <w:p>
            <w:pPr>
              <w:ind w:left="20"/>
              <w:spacing w:after="0"/>
              <w:rPr>
                <w:sz w:val="20"/>
                <w:szCs w:val="20"/>
                <w:color w:val="auto"/>
              </w:rPr>
            </w:pPr>
            <w:r>
              <w:rPr>
                <w:rFonts w:ascii="Calibri" w:cs="Calibri" w:eastAsia="Calibri" w:hAnsi="Calibri"/>
                <w:sz w:val="18"/>
                <w:szCs w:val="18"/>
                <w:color w:val="auto"/>
              </w:rPr>
              <w:t>Metur Dam, India</w:t>
            </w:r>
          </w:p>
        </w:tc>
        <w:tc>
          <w:tcPr>
            <w:tcW w:w="560" w:type="dxa"/>
            <w:vAlign w:val="bottom"/>
            <w:gridSpan w:val="2"/>
          </w:tcPr>
          <w:p>
            <w:pPr>
              <w:ind w:left="240"/>
              <w:spacing w:after="0"/>
              <w:rPr>
                <w:sz w:val="20"/>
                <w:szCs w:val="20"/>
                <w:color w:val="auto"/>
              </w:rPr>
            </w:pPr>
            <w:r>
              <w:rPr>
                <w:rFonts w:ascii="Calibri" w:cs="Calibri" w:eastAsia="Calibri" w:hAnsi="Calibri"/>
                <w:sz w:val="18"/>
                <w:szCs w:val="18"/>
                <w:color w:val="auto"/>
                <w:w w:val="96"/>
              </w:rPr>
              <w:t>50%</w:t>
            </w:r>
          </w:p>
        </w:tc>
        <w:tc>
          <w:tcPr>
            <w:tcW w:w="5160" w:type="dxa"/>
            <w:vAlign w:val="bottom"/>
          </w:tcPr>
          <w:p>
            <w:pPr>
              <w:ind w:left="20"/>
              <w:spacing w:after="0"/>
              <w:rPr>
                <w:sz w:val="20"/>
                <w:szCs w:val="20"/>
                <w:color w:val="auto"/>
              </w:rPr>
            </w:pPr>
            <w:r>
              <w:rPr>
                <w:rFonts w:ascii="Calibri" w:cs="Calibri" w:eastAsia="Calibri" w:hAnsi="Calibri"/>
                <w:sz w:val="18"/>
                <w:szCs w:val="18"/>
                <w:color w:val="auto"/>
              </w:rPr>
              <w:t>(equity afliate)</w:t>
            </w:r>
          </w:p>
        </w:tc>
      </w:tr>
      <w:tr>
        <w:trPr>
          <w:trHeight w:val="661"/>
        </w:trPr>
        <w:tc>
          <w:tcPr>
            <w:tcW w:w="55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alibri" w:cs="Calibri" w:eastAsia="Calibri" w:hAnsi="Calibri"/>
                <w:sz w:val="18"/>
                <w:szCs w:val="18"/>
                <w:color w:val="auto"/>
              </w:rPr>
              <w:t>9</w:t>
            </w:r>
          </w:p>
        </w:tc>
        <w:tc>
          <w:tcPr>
            <w:tcW w:w="3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139"/>
        </w:trPr>
        <w:tc>
          <w:tcPr>
            <w:tcW w:w="55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51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 w:name="page10"/>
    <w:bookmarkEnd w:id="9"/>
    <w:p>
      <w:pPr>
        <w:ind w:right="220" w:firstLine="509"/>
        <w:spacing w:after="0" w:line="235" w:lineRule="auto"/>
        <w:rPr>
          <w:sz w:val="20"/>
          <w:szCs w:val="20"/>
          <w:color w:val="auto"/>
        </w:rPr>
      </w:pPr>
      <w:r>
        <w:rPr>
          <w:rFonts w:ascii="Calibri" w:cs="Calibri" w:eastAsia="Calibri" w:hAnsi="Calibri"/>
          <w:sz w:val="18"/>
          <w:szCs w:val="18"/>
          <w:color w:val="auto"/>
        </w:rPr>
        <w:t>Currently, four of our reinforcing carbons/specialty carbons manufacturing sites have energy centers. These are described above in the discussion of our Reinforcement Materials segment.</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Over the last several years, we have been investng for growth with a number of capacity expansion projects and other transactons, partcularly to increase manufacturing capacity for our specialty carbons and batery materials products. These investments include our purchase in 2022 from Tokai Carbon Group of its carbon black manufacturing facility in Tianjin, China where we contnue to make technical upgrades to convert certain manufacturing units to allow us to produce conductve additves. We expect to complete the conversion of the frst unit at the site in early fscal 2026. We intend to pace our investments in additonal batery materials manufacturing capacity to meet demand. Further, in fscal 2023, we established our EMEA Technology Center in Münster, Germany. We expect this will enable us to enhance our batery materials development capability and strengthen our technology collaboraton in Europe with other partcipants in the batery materials industry.</w:t>
      </w:r>
    </w:p>
    <w:p>
      <w:pPr>
        <w:spacing w:after="0" w:line="8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To meet the growing demand in the inkjet market for digital printng applicatons, in fscal 2023 we commenced operatons at a new producton line at our manufacturing plant in Haverhill, Massachusets, U.S., to increase our global capacity for aqueous pigment dispersions.</w:t>
      </w:r>
    </w:p>
    <w:p>
      <w:pPr>
        <w:spacing w:after="0" w:line="83"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our specialty compounds business, to meet antcipated demand we expanded our manufacturing capacity with a new specialty compounds unit at our reinforcing carbons plant in Cilegon, Indonesia, which was completed in fscal 2023.</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Patents and Trademarks</w:t>
      </w:r>
    </w:p>
    <w:p>
      <w:pPr>
        <w:spacing w:after="0" w:line="82" w:lineRule="exact"/>
        <w:rPr>
          <w:sz w:val="20"/>
          <w:szCs w:val="20"/>
          <w:color w:val="auto"/>
        </w:rPr>
      </w:pPr>
    </w:p>
    <w:p>
      <w:pPr>
        <w:ind w:right="160" w:firstLine="509"/>
        <w:spacing w:after="0" w:line="252" w:lineRule="auto"/>
        <w:rPr>
          <w:sz w:val="20"/>
          <w:szCs w:val="20"/>
          <w:color w:val="auto"/>
        </w:rPr>
      </w:pPr>
      <w:r>
        <w:rPr>
          <w:rFonts w:ascii="Calibri" w:cs="Calibri" w:eastAsia="Calibri" w:hAnsi="Calibri"/>
          <w:sz w:val="17"/>
          <w:szCs w:val="17"/>
          <w:color w:val="auto"/>
        </w:rPr>
        <w:t>We own and are a licensee of various patents, which expire at diferent tmes, covering many of our products as well as processes and product uses. Although the products made and sold under these patents and licenses are important to Cabot, the loss of any partcular patent or license would not materially afect our business, taken as a whole. We sell our products under a variety of trademarks we own and take reasonable measures to protect them. While our trademarks are important to Cabot, the loss of any one of our trademarks would not materially afect our business, taken as a whole.</w:t>
      </w:r>
    </w:p>
    <w:p>
      <w:pPr>
        <w:spacing w:after="0" w:line="6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Research and Development</w:t>
      </w:r>
    </w:p>
    <w:p>
      <w:pPr>
        <w:spacing w:after="0" w:line="82" w:lineRule="exact"/>
        <w:rPr>
          <w:sz w:val="20"/>
          <w:szCs w:val="20"/>
          <w:color w:val="auto"/>
        </w:rPr>
      </w:pPr>
    </w:p>
    <w:p>
      <w:pPr>
        <w:ind w:right="100" w:firstLine="539"/>
        <w:spacing w:after="0" w:line="252" w:lineRule="auto"/>
        <w:rPr>
          <w:sz w:val="20"/>
          <w:szCs w:val="20"/>
          <w:color w:val="auto"/>
        </w:rPr>
      </w:pPr>
      <w:r>
        <w:rPr>
          <w:rFonts w:ascii="Calibri" w:cs="Calibri" w:eastAsia="Calibri" w:hAnsi="Calibri"/>
          <w:sz w:val="17"/>
          <w:szCs w:val="17"/>
          <w:color w:val="auto"/>
        </w:rPr>
        <w:t>Our products are highly versatle and meet specifc performance requirements across many industries, creatng opportunites for innovaton. In fscal 2023, we spent approximately $57 million on technology development. Our R&amp;D actvites included those focused in the areas of conductve additves, inkjet dispersions and engineered elastomer composites. We are also focused on process innovaton across our product lines. We are investng in furthering our sustainability eforts across various areas in order to reduce waste, reduce emissions and utlize more sustainable material in our producton processes.</w:t>
      </w:r>
    </w:p>
    <w:p>
      <w:pPr>
        <w:spacing w:after="0" w:line="6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Seasonality</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businesses are generally not seasonal in nature, although we may experience some regional seasonal declines during holiday periods.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Human Capital Resources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Our success is realized through the engagement and commitment of our people. We believe that our globally distributed workforce positons us well to serve our broad customer base in the regions and geographies in which they operate. As of September 30, 2023, we had approximately 4,300 employees across our global network of ofce and manufacturing locatons, with 41% of our employees located in the Americas (61% of whom are in the United States), 33% in Asia Pacifc (76% of whom are in China), and 26% in Europe, Middle East and Africa (“EMEA”). Of this global employee populaton, 43% are employed in manufacturing roles.</w:t>
      </w:r>
    </w:p>
    <w:p>
      <w:pPr>
        <w:spacing w:after="0" w:line="85"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Our Management Executve Commitee (“Executve Commitee”) is comprised of our CEO and his nine direct reports who, collectvely, have management responsibility for our businesses and regional operatons, our fnancial, legal, safety, health, environment and sustainability, human resources, research and development, global business services and digital functons.</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Our primary human capital objectves are to atract, retain and develop the highest quality talent and ensure they feel safe, supported and empowered to do their best work. Accordingly, our management team places signifcant focus and atenton on maters concerning Cabot’s workforce – partcularly in the areas of diversity, talent, engagement, retenton and development, total rewards, and employee health and safety. These areas of focus are also represented in our 2025 Sustainability Goals, which include:</w:t>
      </w:r>
    </w:p>
    <w:p>
      <w:pPr>
        <w:spacing w:after="0" w:line="93"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fostering an environment where employees report high levels of inclusion and support for their professional development;</w:t>
      </w:r>
    </w:p>
    <w:p>
      <w:pPr>
        <w:spacing w:after="0" w:line="1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increasing diverse representaton in leadership and professional roles; and</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reducing injuries and frequency of signifcant process safety events by 50%.</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0" w:name="page11"/>
    <w:bookmarkEnd w:id="10"/>
    <w:p>
      <w:pPr>
        <w:ind w:left="520"/>
        <w:spacing w:after="0"/>
        <w:rPr>
          <w:sz w:val="20"/>
          <w:szCs w:val="20"/>
          <w:color w:val="auto"/>
        </w:rPr>
      </w:pPr>
      <w:r>
        <w:rPr>
          <w:rFonts w:ascii="Calibri" w:cs="Calibri" w:eastAsia="Calibri" w:hAnsi="Calibri"/>
          <w:sz w:val="18"/>
          <w:szCs w:val="18"/>
          <w:i w:val="1"/>
          <w:iCs w:val="1"/>
          <w:color w:val="auto"/>
        </w:rPr>
        <w:t>Diversity, Equity and Inclusion (DE&amp;I)</w:t>
      </w:r>
    </w:p>
    <w:p>
      <w:pPr>
        <w:spacing w:after="0" w:line="82"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In support of our commitment to foster a diverse and inclusive environment, in fscal 2023 we established DE&amp;I objectves which were factors that were considered in establishing the funding levels of our short-term incentve awards. These objectves were:</w:t>
      </w:r>
    </w:p>
    <w:p>
      <w:pPr>
        <w:spacing w:after="0" w:line="96" w:lineRule="exact"/>
        <w:rPr>
          <w:sz w:val="20"/>
          <w:szCs w:val="20"/>
          <w:color w:val="auto"/>
        </w:rPr>
      </w:pPr>
    </w:p>
    <w:p>
      <w:pPr>
        <w:ind w:left="900" w:right="100" w:hanging="383"/>
        <w:spacing w:after="0" w:line="235" w:lineRule="auto"/>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Demonstrate improvement in the percentage of job searches in which candidates from underrepresented groups (for this purpose, defned as women in all regions and in the U.S. defned as women and people of color) are interviewed. We saw a signifcant improvement during the fscal year.</w:t>
      </w:r>
    </w:p>
    <w:p>
      <w:pPr>
        <w:spacing w:after="0" w:line="16" w:lineRule="exact"/>
        <w:rPr>
          <w:rFonts w:ascii="Times New Roman" w:cs="Times New Roman" w:eastAsia="Times New Roman" w:hAnsi="Times New Roman"/>
          <w:sz w:val="18"/>
          <w:szCs w:val="18"/>
          <w:color w:val="auto"/>
        </w:rPr>
      </w:pPr>
    </w:p>
    <w:p>
      <w:pPr>
        <w:ind w:left="900" w:right="100" w:hanging="383"/>
        <w:spacing w:after="0" w:line="235" w:lineRule="auto"/>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Ensure strong pay equity is maintained by putng acton plans in place to address any pay inequites identfed through our global compensaton review process. As noted below, we maintained strong pay parity during the fscal year and have developed acton plans to address the small percentage of cases where pay inequity was found.</w:t>
      </w:r>
    </w:p>
    <w:p>
      <w:pPr>
        <w:spacing w:after="0" w:line="16" w:lineRule="exact"/>
        <w:rPr>
          <w:rFonts w:ascii="Times New Roman" w:cs="Times New Roman" w:eastAsia="Times New Roman" w:hAnsi="Times New Roman"/>
          <w:sz w:val="18"/>
          <w:szCs w:val="18"/>
          <w:color w:val="auto"/>
        </w:rPr>
      </w:pPr>
    </w:p>
    <w:p>
      <w:pPr>
        <w:ind w:left="900" w:right="660" w:hanging="383"/>
        <w:spacing w:after="0" w:line="235" w:lineRule="auto"/>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 all people managers to atend inclusive leadership training. We ended the fscal year with a 99.7% completon rate for all people managers.</w:t>
      </w:r>
    </w:p>
    <w:p>
      <w:pPr>
        <w:spacing w:after="0" w:line="218" w:lineRule="exact"/>
        <w:rPr>
          <w:sz w:val="20"/>
          <w:szCs w:val="20"/>
          <w:color w:val="auto"/>
        </w:rPr>
      </w:pPr>
    </w:p>
    <w:p>
      <w:pPr>
        <w:ind w:right="200" w:firstLine="436"/>
        <w:spacing w:after="0" w:line="254" w:lineRule="auto"/>
        <w:rPr>
          <w:sz w:val="20"/>
          <w:szCs w:val="20"/>
          <w:color w:val="auto"/>
        </w:rPr>
      </w:pPr>
      <w:r>
        <w:rPr>
          <w:rFonts w:ascii="Calibri" w:cs="Calibri" w:eastAsia="Calibri" w:hAnsi="Calibri"/>
          <w:sz w:val="17"/>
          <w:szCs w:val="17"/>
          <w:color w:val="auto"/>
        </w:rPr>
        <w:t>We also conducted our biennial global employee engagement survey, which included fve questons related to inclusion. Employees reported strong sentments of inclusion with scores across all questons either remaining stable or increasing. Additonally, we were pleased to receive external recogniton, being named to Newsweek's America’s Greatest Workplaces for Diversity 2023, based on an independent review of over 350,000 companies.</w:t>
      </w:r>
    </w:p>
    <w:p>
      <w:pPr>
        <w:spacing w:after="0" w:line="70" w:lineRule="exact"/>
        <w:rPr>
          <w:sz w:val="20"/>
          <w:szCs w:val="20"/>
          <w:color w:val="auto"/>
        </w:rPr>
      </w:pPr>
    </w:p>
    <w:p>
      <w:pPr>
        <w:ind w:right="360" w:firstLine="569"/>
        <w:spacing w:after="0" w:line="235" w:lineRule="auto"/>
        <w:rPr>
          <w:sz w:val="20"/>
          <w:szCs w:val="20"/>
          <w:color w:val="auto"/>
        </w:rPr>
      </w:pPr>
      <w:r>
        <w:rPr>
          <w:rFonts w:ascii="Calibri" w:cs="Calibri" w:eastAsia="Calibri" w:hAnsi="Calibri"/>
          <w:sz w:val="18"/>
          <w:szCs w:val="18"/>
          <w:color w:val="auto"/>
        </w:rPr>
        <w:t>Demographic informaton with respect to gender representaton among all Cabot employees and with respect to racial and ethnic representaton among Cabot employees located in the United States, as of September 30, 2023, is set forth in the tables below:</w:t>
      </w:r>
    </w:p>
    <w:p>
      <w:pPr>
        <w:spacing w:after="0" w:line="78" w:lineRule="exact"/>
        <w:rPr>
          <w:sz w:val="20"/>
          <w:szCs w:val="20"/>
          <w:color w:val="auto"/>
        </w:rPr>
      </w:pPr>
    </w:p>
    <w:p>
      <w:pPr>
        <w:ind w:left="580"/>
        <w:spacing w:after="0"/>
        <w:rPr>
          <w:sz w:val="20"/>
          <w:szCs w:val="20"/>
          <w:color w:val="auto"/>
        </w:rPr>
      </w:pPr>
      <w:r>
        <w:rPr>
          <w:rFonts w:ascii="Calibri" w:cs="Calibri" w:eastAsia="Calibri" w:hAnsi="Calibri"/>
          <w:sz w:val="18"/>
          <w:szCs w:val="18"/>
          <w:i w:val="1"/>
          <w:iCs w:val="1"/>
          <w:color w:val="auto"/>
        </w:rPr>
        <w:t>Gender Diversity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Calibri" w:cs="Calibri" w:eastAsia="Calibri" w:hAnsi="Calibri"/>
                <w:sz w:val="18"/>
                <w:szCs w:val="18"/>
                <w:b w:val="1"/>
                <w:bCs w:val="1"/>
                <w:color w:val="auto"/>
                <w:w w:val="94"/>
              </w:rPr>
              <w:t>Total</w:t>
            </w:r>
          </w:p>
        </w:tc>
      </w:tr>
      <w:tr>
        <w:trPr>
          <w:trHeight w:val="216"/>
        </w:trPr>
        <w:tc>
          <w:tcPr>
            <w:tcW w:w="4160" w:type="dxa"/>
            <w:vAlign w:val="bottom"/>
          </w:tcPr>
          <w:p>
            <w:pPr>
              <w:spacing w:after="0"/>
              <w:rPr>
                <w:sz w:val="18"/>
                <w:szCs w:val="18"/>
                <w:color w:val="auto"/>
              </w:rPr>
            </w:pPr>
          </w:p>
        </w:tc>
        <w:tc>
          <w:tcPr>
            <w:tcW w:w="1360" w:type="dxa"/>
            <w:vAlign w:val="bottom"/>
          </w:tcPr>
          <w:p>
            <w:pPr>
              <w:jc w:val="right"/>
              <w:ind w:right="410"/>
              <w:spacing w:after="0" w:line="216" w:lineRule="exact"/>
              <w:rPr>
                <w:sz w:val="20"/>
                <w:szCs w:val="20"/>
                <w:color w:val="auto"/>
              </w:rPr>
            </w:pPr>
            <w:r>
              <w:rPr>
                <w:rFonts w:ascii="Calibri" w:cs="Calibri" w:eastAsia="Calibri" w:hAnsi="Calibri"/>
                <w:sz w:val="18"/>
                <w:szCs w:val="18"/>
                <w:b w:val="1"/>
                <w:bCs w:val="1"/>
                <w:color w:val="auto"/>
              </w:rPr>
              <w:t>Male</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line="216" w:lineRule="exact"/>
              <w:rPr>
                <w:sz w:val="20"/>
                <w:szCs w:val="20"/>
                <w:color w:val="auto"/>
              </w:rPr>
            </w:pPr>
            <w:r>
              <w:rPr>
                <w:rFonts w:ascii="Calibri" w:cs="Calibri" w:eastAsia="Calibri" w:hAnsi="Calibri"/>
                <w:sz w:val="18"/>
                <w:szCs w:val="18"/>
                <w:b w:val="1"/>
                <w:bCs w:val="1"/>
                <w:color w:val="auto"/>
              </w:rPr>
              <w:t>% of total</w:t>
            </w:r>
          </w:p>
        </w:tc>
        <w:tc>
          <w:tcPr>
            <w:tcW w:w="1380" w:type="dxa"/>
            <w:vAlign w:val="bottom"/>
          </w:tcPr>
          <w:p>
            <w:pPr>
              <w:jc w:val="right"/>
              <w:ind w:right="330"/>
              <w:spacing w:after="0" w:line="216" w:lineRule="exact"/>
              <w:rPr>
                <w:sz w:val="20"/>
                <w:szCs w:val="20"/>
                <w:color w:val="auto"/>
              </w:rPr>
            </w:pPr>
            <w:r>
              <w:rPr>
                <w:rFonts w:ascii="Calibri" w:cs="Calibri" w:eastAsia="Calibri" w:hAnsi="Calibri"/>
                <w:sz w:val="18"/>
                <w:szCs w:val="18"/>
                <w:b w:val="1"/>
                <w:bCs w:val="1"/>
                <w:color w:val="auto"/>
              </w:rPr>
              <w:t>Female</w:t>
            </w:r>
          </w:p>
        </w:tc>
        <w:tc>
          <w:tcPr>
            <w:tcW w:w="100" w:type="dxa"/>
            <w:vAlign w:val="bottom"/>
          </w:tcPr>
          <w:p>
            <w:pPr>
              <w:spacing w:after="0"/>
              <w:rPr>
                <w:sz w:val="18"/>
                <w:szCs w:val="18"/>
                <w:color w:val="auto"/>
              </w:rPr>
            </w:pPr>
          </w:p>
        </w:tc>
        <w:tc>
          <w:tcPr>
            <w:tcW w:w="1280" w:type="dxa"/>
            <w:vAlign w:val="bottom"/>
            <w:gridSpan w:val="2"/>
          </w:tcPr>
          <w:p>
            <w:pPr>
              <w:jc w:val="right"/>
              <w:ind w:right="420"/>
              <w:spacing w:after="0" w:line="216" w:lineRule="exact"/>
              <w:rPr>
                <w:sz w:val="20"/>
                <w:szCs w:val="20"/>
                <w:color w:val="auto"/>
              </w:rPr>
            </w:pPr>
            <w:r>
              <w:rPr>
                <w:rFonts w:ascii="Calibri" w:cs="Calibri" w:eastAsia="Calibri" w:hAnsi="Calibri"/>
                <w:sz w:val="18"/>
                <w:szCs w:val="18"/>
                <w:b w:val="1"/>
                <w:bCs w:val="1"/>
                <w:color w:val="auto"/>
              </w:rPr>
              <w:t>% of total</w:t>
            </w:r>
          </w:p>
        </w:tc>
        <w:tc>
          <w:tcPr>
            <w:tcW w:w="1520" w:type="dxa"/>
            <w:vAlign w:val="bottom"/>
            <w:gridSpan w:val="2"/>
          </w:tcPr>
          <w:p>
            <w:pPr>
              <w:jc w:val="center"/>
              <w:ind w:right="120"/>
              <w:spacing w:after="0" w:line="216" w:lineRule="exact"/>
              <w:rPr>
                <w:sz w:val="20"/>
                <w:szCs w:val="20"/>
                <w:color w:val="auto"/>
              </w:rPr>
            </w:pPr>
            <w:r>
              <w:rPr>
                <w:rFonts w:ascii="Calibri" w:cs="Calibri" w:eastAsia="Calibri" w:hAnsi="Calibri"/>
                <w:sz w:val="18"/>
                <w:szCs w:val="18"/>
                <w:b w:val="1"/>
                <w:bCs w:val="1"/>
                <w:color w:val="auto"/>
                <w:w w:val="98"/>
              </w:rPr>
              <w:t>Employees</w:t>
            </w:r>
          </w:p>
        </w:tc>
      </w:tr>
      <w:tr>
        <w:trPr>
          <w:trHeight w:val="37"/>
        </w:trPr>
        <w:tc>
          <w:tcPr>
            <w:tcW w:w="416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41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Executve Commitee</w:t>
            </w:r>
          </w:p>
        </w:tc>
        <w:tc>
          <w:tcPr>
            <w:tcW w:w="13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w:t>
            </w:r>
          </w:p>
        </w:tc>
        <w:tc>
          <w:tcPr>
            <w:tcW w:w="1440" w:type="dxa"/>
            <w:vAlign w:val="bottom"/>
            <w:tcBorders>
              <w:bottom w:val="single" w:sz="8" w:color="CFF0FC"/>
            </w:tcBorders>
            <w:gridSpan w:val="3"/>
            <w:shd w:val="clear" w:color="auto" w:fill="CFF0FC"/>
          </w:tcPr>
          <w:p>
            <w:pPr>
              <w:jc w:val="right"/>
              <w:ind w:right="140"/>
              <w:spacing w:after="0" w:line="208" w:lineRule="exact"/>
              <w:rPr>
                <w:sz w:val="20"/>
                <w:szCs w:val="20"/>
                <w:color w:val="auto"/>
              </w:rPr>
            </w:pPr>
            <w:r>
              <w:rPr>
                <w:rFonts w:ascii="Calibri" w:cs="Calibri" w:eastAsia="Calibri" w:hAnsi="Calibri"/>
                <w:sz w:val="18"/>
                <w:szCs w:val="18"/>
                <w:color w:val="auto"/>
              </w:rPr>
              <w:t>70 %</w:t>
            </w:r>
          </w:p>
        </w:tc>
        <w:tc>
          <w:tcPr>
            <w:tcW w:w="13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w:t>
            </w:r>
          </w:p>
        </w:tc>
        <w:tc>
          <w:tcPr>
            <w:tcW w:w="1380" w:type="dxa"/>
            <w:vAlign w:val="bottom"/>
            <w:tcBorders>
              <w:bottom w:val="single" w:sz="8" w:color="CFF0FC"/>
            </w:tcBorders>
            <w:gridSpan w:val="3"/>
            <w:shd w:val="clear" w:color="auto" w:fill="CFF0FC"/>
          </w:tcPr>
          <w:p>
            <w:pPr>
              <w:jc w:val="right"/>
              <w:ind w:right="140"/>
              <w:spacing w:after="0" w:line="208" w:lineRule="exact"/>
              <w:rPr>
                <w:sz w:val="20"/>
                <w:szCs w:val="20"/>
                <w:color w:val="auto"/>
              </w:rPr>
            </w:pPr>
            <w:r>
              <w:rPr>
                <w:rFonts w:ascii="Calibri" w:cs="Calibri" w:eastAsia="Calibri" w:hAnsi="Calibri"/>
                <w:sz w:val="18"/>
                <w:szCs w:val="18"/>
                <w:color w:val="auto"/>
              </w:rPr>
              <w:t>30 %</w:t>
            </w: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160" w:type="dxa"/>
            <w:vAlign w:val="bottom"/>
          </w:tcPr>
          <w:p>
            <w:pPr>
              <w:ind w:left="20"/>
              <w:spacing w:after="0" w:line="215" w:lineRule="exact"/>
              <w:rPr>
                <w:sz w:val="20"/>
                <w:szCs w:val="20"/>
                <w:color w:val="auto"/>
              </w:rPr>
            </w:pPr>
            <w:r>
              <w:rPr>
                <w:rFonts w:ascii="Calibri" w:cs="Calibri" w:eastAsia="Calibri" w:hAnsi="Calibri"/>
                <w:sz w:val="18"/>
                <w:szCs w:val="18"/>
                <w:color w:val="auto"/>
              </w:rPr>
              <w:t>Management*</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584</w:t>
            </w:r>
          </w:p>
        </w:tc>
        <w:tc>
          <w:tcPr>
            <w:tcW w:w="144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73 %</w:t>
            </w: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219</w:t>
            </w:r>
          </w:p>
        </w:tc>
        <w:tc>
          <w:tcPr>
            <w:tcW w:w="138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27 %</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803</w:t>
            </w:r>
          </w:p>
        </w:tc>
        <w:tc>
          <w:tcPr>
            <w:tcW w:w="100" w:type="dxa"/>
            <w:vAlign w:val="bottom"/>
          </w:tcPr>
          <w:p>
            <w:pPr>
              <w:spacing w:after="0"/>
              <w:rPr>
                <w:sz w:val="18"/>
                <w:szCs w:val="18"/>
                <w:color w:val="auto"/>
              </w:rPr>
            </w:pPr>
          </w:p>
        </w:tc>
      </w:tr>
      <w:tr>
        <w:trPr>
          <w:trHeight w:val="28"/>
        </w:trPr>
        <w:tc>
          <w:tcPr>
            <w:tcW w:w="4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Professional Contributor</w:t>
            </w: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835</w:t>
            </w:r>
          </w:p>
        </w:tc>
        <w:tc>
          <w:tcPr>
            <w:tcW w:w="1440" w:type="dxa"/>
            <w:vAlign w:val="bottom"/>
            <w:tcBorders>
              <w:bottom w:val="single" w:sz="8" w:color="CFF0FC"/>
            </w:tcBorders>
            <w:gridSpan w:val="3"/>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71 %</w:t>
            </w:r>
          </w:p>
        </w:tc>
        <w:tc>
          <w:tcPr>
            <w:tcW w:w="13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339</w:t>
            </w:r>
          </w:p>
        </w:tc>
        <w:tc>
          <w:tcPr>
            <w:tcW w:w="1380" w:type="dxa"/>
            <w:vAlign w:val="bottom"/>
            <w:tcBorders>
              <w:bottom w:val="single" w:sz="8" w:color="CFF0FC"/>
            </w:tcBorders>
            <w:gridSpan w:val="3"/>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29 %</w:t>
            </w: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4160" w:type="dxa"/>
            <w:vAlign w:val="bottom"/>
          </w:tcPr>
          <w:p>
            <w:pPr>
              <w:ind w:left="20"/>
              <w:spacing w:after="0"/>
              <w:rPr>
                <w:sz w:val="20"/>
                <w:szCs w:val="20"/>
                <w:color w:val="auto"/>
              </w:rPr>
            </w:pPr>
            <w:r>
              <w:rPr>
                <w:rFonts w:ascii="Calibri" w:cs="Calibri" w:eastAsia="Calibri" w:hAnsi="Calibri"/>
                <w:sz w:val="18"/>
                <w:szCs w:val="18"/>
                <w:color w:val="auto"/>
              </w:rPr>
              <w:t>Hourly &amp; Associate Staf</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1,831</w:t>
            </w:r>
          </w:p>
        </w:tc>
        <w:tc>
          <w:tcPr>
            <w:tcW w:w="1440" w:type="dxa"/>
            <w:vAlign w:val="bottom"/>
            <w:gridSpan w:val="3"/>
          </w:tcPr>
          <w:p>
            <w:pPr>
              <w:jc w:val="right"/>
              <w:ind w:right="140"/>
              <w:spacing w:after="0"/>
              <w:rPr>
                <w:sz w:val="20"/>
                <w:szCs w:val="20"/>
                <w:color w:val="auto"/>
              </w:rPr>
            </w:pPr>
            <w:r>
              <w:rPr>
                <w:rFonts w:ascii="Calibri" w:cs="Calibri" w:eastAsia="Calibri" w:hAnsi="Calibri"/>
                <w:sz w:val="18"/>
                <w:szCs w:val="18"/>
                <w:color w:val="auto"/>
              </w:rPr>
              <w:t>80 %</w:t>
            </w: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450</w:t>
            </w:r>
          </w:p>
        </w:tc>
        <w:tc>
          <w:tcPr>
            <w:tcW w:w="1380" w:type="dxa"/>
            <w:vAlign w:val="bottom"/>
            <w:gridSpan w:val="3"/>
          </w:tcPr>
          <w:p>
            <w:pPr>
              <w:jc w:val="right"/>
              <w:ind w:right="140"/>
              <w:spacing w:after="0"/>
              <w:rPr>
                <w:sz w:val="20"/>
                <w:szCs w:val="20"/>
                <w:color w:val="auto"/>
              </w:rPr>
            </w:pPr>
            <w:r>
              <w:rPr>
                <w:rFonts w:ascii="Calibri" w:cs="Calibri" w:eastAsia="Calibri" w:hAnsi="Calibri"/>
                <w:sz w:val="18"/>
                <w:szCs w:val="18"/>
                <w:color w:val="auto"/>
              </w:rPr>
              <w:t>20 %</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2,281</w:t>
            </w:r>
          </w:p>
        </w:tc>
        <w:tc>
          <w:tcPr>
            <w:tcW w:w="100" w:type="dxa"/>
            <w:vAlign w:val="bottom"/>
          </w:tcPr>
          <w:p>
            <w:pPr>
              <w:spacing w:after="0"/>
              <w:rPr>
                <w:sz w:val="19"/>
                <w:szCs w:val="19"/>
                <w:color w:val="auto"/>
              </w:rPr>
            </w:pPr>
          </w:p>
        </w:tc>
      </w:tr>
      <w:tr>
        <w:trPr>
          <w:trHeight w:val="23"/>
        </w:trPr>
        <w:tc>
          <w:tcPr>
            <w:tcW w:w="41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41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Total Populaton</w:t>
            </w:r>
          </w:p>
        </w:tc>
        <w:tc>
          <w:tcPr>
            <w:tcW w:w="13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3,257</w:t>
            </w:r>
          </w:p>
        </w:tc>
        <w:tc>
          <w:tcPr>
            <w:tcW w:w="144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Calibri" w:cs="Calibri" w:eastAsia="Calibri" w:hAnsi="Calibri"/>
                <w:sz w:val="18"/>
                <w:szCs w:val="18"/>
                <w:color w:val="auto"/>
              </w:rPr>
              <w:t>76 %</w:t>
            </w:r>
          </w:p>
        </w:tc>
        <w:tc>
          <w:tcPr>
            <w:tcW w:w="13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1,011</w:t>
            </w:r>
          </w:p>
        </w:tc>
        <w:tc>
          <w:tcPr>
            <w:tcW w:w="138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Calibri" w:cs="Calibri" w:eastAsia="Calibri" w:hAnsi="Calibri"/>
                <w:sz w:val="18"/>
                <w:szCs w:val="18"/>
                <w:color w:val="auto"/>
              </w:rPr>
              <w:t>24 %</w:t>
            </w:r>
          </w:p>
        </w:tc>
        <w:tc>
          <w:tcPr>
            <w:tcW w:w="14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4,268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51"/>
        </w:trPr>
        <w:tc>
          <w:tcPr>
            <w:tcW w:w="4160" w:type="dxa"/>
            <w:vAlign w:val="bottom"/>
          </w:tcPr>
          <w:p>
            <w:pPr>
              <w:ind w:left="580"/>
              <w:spacing w:after="0"/>
              <w:rPr>
                <w:sz w:val="20"/>
                <w:szCs w:val="20"/>
                <w:color w:val="auto"/>
              </w:rPr>
            </w:pPr>
            <w:r>
              <w:rPr>
                <w:rFonts w:ascii="Calibri" w:cs="Calibri" w:eastAsia="Calibri" w:hAnsi="Calibri"/>
                <w:sz w:val="18"/>
                <w:szCs w:val="18"/>
                <w:i w:val="1"/>
                <w:iCs w:val="1"/>
                <w:color w:val="auto"/>
              </w:rPr>
              <w:t>Racial and Ethnic Diversity</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4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jc w:val="center"/>
              <w:ind w:right="120"/>
              <w:spacing w:after="0"/>
              <w:rPr>
                <w:sz w:val="20"/>
                <w:szCs w:val="20"/>
                <w:color w:val="auto"/>
              </w:rPr>
            </w:pPr>
            <w:r>
              <w:rPr>
                <w:rFonts w:ascii="Calibri" w:cs="Calibri" w:eastAsia="Calibri" w:hAnsi="Calibri"/>
                <w:sz w:val="18"/>
                <w:szCs w:val="18"/>
                <w:b w:val="1"/>
                <w:bCs w:val="1"/>
                <w:color w:val="auto"/>
                <w:w w:val="94"/>
              </w:rPr>
              <w:t>Total</w:t>
            </w:r>
          </w:p>
        </w:tc>
      </w:tr>
      <w:tr>
        <w:trPr>
          <w:trHeight w:val="216"/>
        </w:trPr>
        <w:tc>
          <w:tcPr>
            <w:tcW w:w="4160" w:type="dxa"/>
            <w:vAlign w:val="bottom"/>
          </w:tcPr>
          <w:p>
            <w:pPr>
              <w:spacing w:after="0"/>
              <w:rPr>
                <w:sz w:val="18"/>
                <w:szCs w:val="18"/>
                <w:color w:val="auto"/>
              </w:rPr>
            </w:pPr>
          </w:p>
        </w:tc>
        <w:tc>
          <w:tcPr>
            <w:tcW w:w="1360" w:type="dxa"/>
            <w:vAlign w:val="bottom"/>
          </w:tcPr>
          <w:p>
            <w:pPr>
              <w:jc w:val="right"/>
              <w:ind w:right="90"/>
              <w:spacing w:after="0" w:line="216" w:lineRule="exact"/>
              <w:rPr>
                <w:sz w:val="20"/>
                <w:szCs w:val="20"/>
                <w:color w:val="auto"/>
              </w:rPr>
            </w:pPr>
            <w:r>
              <w:rPr>
                <w:rFonts w:ascii="Calibri" w:cs="Calibri" w:eastAsia="Calibri" w:hAnsi="Calibri"/>
                <w:sz w:val="18"/>
                <w:szCs w:val="18"/>
                <w:b w:val="1"/>
                <w:bCs w:val="1"/>
                <w:color w:val="auto"/>
              </w:rPr>
              <w:t>Non-Minority</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line="216" w:lineRule="exact"/>
              <w:rPr>
                <w:sz w:val="20"/>
                <w:szCs w:val="20"/>
                <w:color w:val="auto"/>
              </w:rPr>
            </w:pPr>
            <w:r>
              <w:rPr>
                <w:rFonts w:ascii="Calibri" w:cs="Calibri" w:eastAsia="Calibri" w:hAnsi="Calibri"/>
                <w:sz w:val="18"/>
                <w:szCs w:val="18"/>
                <w:b w:val="1"/>
                <w:bCs w:val="1"/>
                <w:color w:val="auto"/>
              </w:rPr>
              <w:t>% of total</w:t>
            </w:r>
          </w:p>
        </w:tc>
        <w:tc>
          <w:tcPr>
            <w:tcW w:w="1380" w:type="dxa"/>
            <w:vAlign w:val="bottom"/>
          </w:tcPr>
          <w:p>
            <w:pPr>
              <w:jc w:val="right"/>
              <w:ind w:right="50"/>
              <w:spacing w:after="0" w:line="216" w:lineRule="exact"/>
              <w:rPr>
                <w:sz w:val="20"/>
                <w:szCs w:val="20"/>
                <w:color w:val="auto"/>
              </w:rPr>
            </w:pPr>
            <w:r>
              <w:rPr>
                <w:rFonts w:ascii="Calibri" w:cs="Calibri" w:eastAsia="Calibri" w:hAnsi="Calibri"/>
                <w:sz w:val="18"/>
                <w:szCs w:val="18"/>
                <w:b w:val="1"/>
                <w:bCs w:val="1"/>
                <w:color w:val="auto"/>
              </w:rPr>
              <w:t>People of Color</w:t>
            </w:r>
          </w:p>
        </w:tc>
        <w:tc>
          <w:tcPr>
            <w:tcW w:w="100" w:type="dxa"/>
            <w:vAlign w:val="bottom"/>
          </w:tcPr>
          <w:p>
            <w:pPr>
              <w:spacing w:after="0"/>
              <w:rPr>
                <w:sz w:val="18"/>
                <w:szCs w:val="18"/>
                <w:color w:val="auto"/>
              </w:rPr>
            </w:pPr>
          </w:p>
        </w:tc>
        <w:tc>
          <w:tcPr>
            <w:tcW w:w="1280" w:type="dxa"/>
            <w:vAlign w:val="bottom"/>
            <w:gridSpan w:val="2"/>
          </w:tcPr>
          <w:p>
            <w:pPr>
              <w:jc w:val="right"/>
              <w:ind w:right="420"/>
              <w:spacing w:after="0" w:line="216" w:lineRule="exact"/>
              <w:rPr>
                <w:sz w:val="20"/>
                <w:szCs w:val="20"/>
                <w:color w:val="auto"/>
              </w:rPr>
            </w:pPr>
            <w:r>
              <w:rPr>
                <w:rFonts w:ascii="Calibri" w:cs="Calibri" w:eastAsia="Calibri" w:hAnsi="Calibri"/>
                <w:sz w:val="18"/>
                <w:szCs w:val="18"/>
                <w:b w:val="1"/>
                <w:bCs w:val="1"/>
                <w:color w:val="auto"/>
              </w:rPr>
              <w:t>% of total</w:t>
            </w:r>
          </w:p>
        </w:tc>
        <w:tc>
          <w:tcPr>
            <w:tcW w:w="1520" w:type="dxa"/>
            <w:vAlign w:val="bottom"/>
            <w:gridSpan w:val="2"/>
          </w:tcPr>
          <w:p>
            <w:pPr>
              <w:jc w:val="center"/>
              <w:ind w:right="120"/>
              <w:spacing w:after="0" w:line="216" w:lineRule="exact"/>
              <w:rPr>
                <w:sz w:val="20"/>
                <w:szCs w:val="20"/>
                <w:color w:val="auto"/>
              </w:rPr>
            </w:pPr>
            <w:r>
              <w:rPr>
                <w:rFonts w:ascii="Calibri" w:cs="Calibri" w:eastAsia="Calibri" w:hAnsi="Calibri"/>
                <w:sz w:val="18"/>
                <w:szCs w:val="18"/>
                <w:b w:val="1"/>
                <w:bCs w:val="1"/>
                <w:color w:val="auto"/>
                <w:w w:val="98"/>
              </w:rPr>
              <w:t>Employees</w:t>
            </w:r>
          </w:p>
        </w:tc>
      </w:tr>
      <w:tr>
        <w:trPr>
          <w:trHeight w:val="37"/>
        </w:trPr>
        <w:tc>
          <w:tcPr>
            <w:tcW w:w="416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41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Executve Commitee</w:t>
            </w:r>
          </w:p>
        </w:tc>
        <w:tc>
          <w:tcPr>
            <w:tcW w:w="13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w:t>
            </w:r>
          </w:p>
        </w:tc>
        <w:tc>
          <w:tcPr>
            <w:tcW w:w="1440" w:type="dxa"/>
            <w:vAlign w:val="bottom"/>
            <w:tcBorders>
              <w:bottom w:val="single" w:sz="8" w:color="CFF0FC"/>
            </w:tcBorders>
            <w:gridSpan w:val="3"/>
            <w:shd w:val="clear" w:color="auto" w:fill="CFF0FC"/>
          </w:tcPr>
          <w:p>
            <w:pPr>
              <w:jc w:val="right"/>
              <w:ind w:right="140"/>
              <w:spacing w:after="0" w:line="208" w:lineRule="exact"/>
              <w:rPr>
                <w:sz w:val="20"/>
                <w:szCs w:val="20"/>
                <w:color w:val="auto"/>
              </w:rPr>
            </w:pPr>
            <w:r>
              <w:rPr>
                <w:rFonts w:ascii="Calibri" w:cs="Calibri" w:eastAsia="Calibri" w:hAnsi="Calibri"/>
                <w:sz w:val="18"/>
                <w:szCs w:val="18"/>
                <w:color w:val="auto"/>
              </w:rPr>
              <w:t>100 %</w:t>
            </w:r>
          </w:p>
        </w:tc>
        <w:tc>
          <w:tcPr>
            <w:tcW w:w="13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CFF0FC"/>
            </w:tcBorders>
            <w:gridSpan w:val="3"/>
            <w:shd w:val="clear" w:color="auto" w:fill="CFF0FC"/>
          </w:tcPr>
          <w:p>
            <w:pPr>
              <w:jc w:val="right"/>
              <w:ind w:right="140"/>
              <w:spacing w:after="0" w:line="208" w:lineRule="exact"/>
              <w:rPr>
                <w:sz w:val="20"/>
                <w:szCs w:val="20"/>
                <w:color w:val="auto"/>
              </w:rPr>
            </w:pPr>
            <w:r>
              <w:rPr>
                <w:rFonts w:ascii="Calibri" w:cs="Calibri" w:eastAsia="Calibri" w:hAnsi="Calibri"/>
                <w:sz w:val="18"/>
                <w:szCs w:val="18"/>
                <w:color w:val="auto"/>
              </w:rPr>
              <w:t>0 %</w:t>
            </w:r>
          </w:p>
        </w:tc>
        <w:tc>
          <w:tcPr>
            <w:tcW w:w="14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160" w:type="dxa"/>
            <w:vAlign w:val="bottom"/>
          </w:tcPr>
          <w:p>
            <w:pPr>
              <w:ind w:left="20"/>
              <w:spacing w:after="0" w:line="215" w:lineRule="exact"/>
              <w:rPr>
                <w:sz w:val="20"/>
                <w:szCs w:val="20"/>
                <w:color w:val="auto"/>
              </w:rPr>
            </w:pPr>
            <w:r>
              <w:rPr>
                <w:rFonts w:ascii="Calibri" w:cs="Calibri" w:eastAsia="Calibri" w:hAnsi="Calibri"/>
                <w:sz w:val="18"/>
                <w:szCs w:val="18"/>
                <w:color w:val="auto"/>
              </w:rPr>
              <w:t>Management*</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237</w:t>
            </w:r>
          </w:p>
        </w:tc>
        <w:tc>
          <w:tcPr>
            <w:tcW w:w="144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78 %</w:t>
            </w: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67</w:t>
            </w:r>
          </w:p>
        </w:tc>
        <w:tc>
          <w:tcPr>
            <w:tcW w:w="138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22 %</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304</w:t>
            </w:r>
          </w:p>
        </w:tc>
        <w:tc>
          <w:tcPr>
            <w:tcW w:w="100" w:type="dxa"/>
            <w:vAlign w:val="bottom"/>
          </w:tcPr>
          <w:p>
            <w:pPr>
              <w:spacing w:after="0"/>
              <w:rPr>
                <w:sz w:val="18"/>
                <w:szCs w:val="18"/>
                <w:color w:val="auto"/>
              </w:rPr>
            </w:pPr>
          </w:p>
        </w:tc>
      </w:tr>
      <w:tr>
        <w:trPr>
          <w:trHeight w:val="28"/>
        </w:trPr>
        <w:tc>
          <w:tcPr>
            <w:tcW w:w="4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Professional Contributor</w:t>
            </w: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193</w:t>
            </w:r>
          </w:p>
        </w:tc>
        <w:tc>
          <w:tcPr>
            <w:tcW w:w="1440" w:type="dxa"/>
            <w:vAlign w:val="bottom"/>
            <w:tcBorders>
              <w:bottom w:val="single" w:sz="8" w:color="CFF0FC"/>
            </w:tcBorders>
            <w:gridSpan w:val="3"/>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81 %</w:t>
            </w:r>
          </w:p>
        </w:tc>
        <w:tc>
          <w:tcPr>
            <w:tcW w:w="13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w:t>
            </w:r>
          </w:p>
        </w:tc>
        <w:tc>
          <w:tcPr>
            <w:tcW w:w="1380" w:type="dxa"/>
            <w:vAlign w:val="bottom"/>
            <w:tcBorders>
              <w:bottom w:val="single" w:sz="8" w:color="CFF0FC"/>
            </w:tcBorders>
            <w:gridSpan w:val="3"/>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19 %</w:t>
            </w: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4160" w:type="dxa"/>
            <w:vAlign w:val="bottom"/>
          </w:tcPr>
          <w:p>
            <w:pPr>
              <w:ind w:left="20"/>
              <w:spacing w:after="0"/>
              <w:rPr>
                <w:sz w:val="20"/>
                <w:szCs w:val="20"/>
                <w:color w:val="auto"/>
              </w:rPr>
            </w:pPr>
            <w:r>
              <w:rPr>
                <w:rFonts w:ascii="Calibri" w:cs="Calibri" w:eastAsia="Calibri" w:hAnsi="Calibri"/>
                <w:sz w:val="18"/>
                <w:szCs w:val="18"/>
                <w:color w:val="auto"/>
              </w:rPr>
              <w:t>Hourly &amp; Associate Staf</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358</w:t>
            </w:r>
          </w:p>
        </w:tc>
        <w:tc>
          <w:tcPr>
            <w:tcW w:w="1440" w:type="dxa"/>
            <w:vAlign w:val="bottom"/>
            <w:gridSpan w:val="3"/>
          </w:tcPr>
          <w:p>
            <w:pPr>
              <w:jc w:val="right"/>
              <w:ind w:right="140"/>
              <w:spacing w:after="0"/>
              <w:rPr>
                <w:sz w:val="20"/>
                <w:szCs w:val="20"/>
                <w:color w:val="auto"/>
              </w:rPr>
            </w:pPr>
            <w:r>
              <w:rPr>
                <w:rFonts w:ascii="Calibri" w:cs="Calibri" w:eastAsia="Calibri" w:hAnsi="Calibri"/>
                <w:sz w:val="18"/>
                <w:szCs w:val="18"/>
                <w:color w:val="auto"/>
              </w:rPr>
              <w:t>71 %</w:t>
            </w: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149</w:t>
            </w:r>
          </w:p>
        </w:tc>
        <w:tc>
          <w:tcPr>
            <w:tcW w:w="1380" w:type="dxa"/>
            <w:vAlign w:val="bottom"/>
            <w:gridSpan w:val="3"/>
          </w:tcPr>
          <w:p>
            <w:pPr>
              <w:jc w:val="right"/>
              <w:ind w:right="140"/>
              <w:spacing w:after="0"/>
              <w:rPr>
                <w:sz w:val="20"/>
                <w:szCs w:val="20"/>
                <w:color w:val="auto"/>
              </w:rPr>
            </w:pPr>
            <w:r>
              <w:rPr>
                <w:rFonts w:ascii="Calibri" w:cs="Calibri" w:eastAsia="Calibri" w:hAnsi="Calibri"/>
                <w:sz w:val="18"/>
                <w:szCs w:val="18"/>
                <w:color w:val="auto"/>
              </w:rPr>
              <w:t>29 %</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507</w:t>
            </w:r>
          </w:p>
        </w:tc>
        <w:tc>
          <w:tcPr>
            <w:tcW w:w="100" w:type="dxa"/>
            <w:vAlign w:val="bottom"/>
          </w:tcPr>
          <w:p>
            <w:pPr>
              <w:spacing w:after="0"/>
              <w:rPr>
                <w:sz w:val="19"/>
                <w:szCs w:val="19"/>
                <w:color w:val="auto"/>
              </w:rPr>
            </w:pPr>
          </w:p>
        </w:tc>
      </w:tr>
      <w:tr>
        <w:trPr>
          <w:trHeight w:val="23"/>
        </w:trPr>
        <w:tc>
          <w:tcPr>
            <w:tcW w:w="41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40" w:type="dxa"/>
            <w:vAlign w:val="bottom"/>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41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Total Populaton</w:t>
            </w:r>
          </w:p>
        </w:tc>
        <w:tc>
          <w:tcPr>
            <w:tcW w:w="13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796</w:t>
            </w:r>
          </w:p>
        </w:tc>
        <w:tc>
          <w:tcPr>
            <w:tcW w:w="144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Calibri" w:cs="Calibri" w:eastAsia="Calibri" w:hAnsi="Calibri"/>
                <w:sz w:val="18"/>
                <w:szCs w:val="18"/>
                <w:color w:val="auto"/>
              </w:rPr>
              <w:t>75 %</w:t>
            </w:r>
          </w:p>
        </w:tc>
        <w:tc>
          <w:tcPr>
            <w:tcW w:w="13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262</w:t>
            </w:r>
          </w:p>
        </w:tc>
        <w:tc>
          <w:tcPr>
            <w:tcW w:w="138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Calibri" w:cs="Calibri" w:eastAsia="Calibri" w:hAnsi="Calibri"/>
                <w:sz w:val="18"/>
                <w:szCs w:val="18"/>
                <w:color w:val="auto"/>
              </w:rPr>
              <w:t>25 %</w:t>
            </w:r>
          </w:p>
        </w:tc>
        <w:tc>
          <w:tcPr>
            <w:tcW w:w="14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1,058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-1559560</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-1542415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-1559560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-1542415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76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1180" w:firstLine="8"/>
        <w:spacing w:after="0" w:line="223" w:lineRule="auto"/>
        <w:tabs>
          <w:tab w:leader="none" w:pos="127"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Management includes both people managers, excluding members of the Executve Commitee, and senior-level individual contributor roles. ** People of Color consists of U.S. based employees who identfy as a race or ethnicity other than white.</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Talent Retenton and Development</w:t>
      </w:r>
    </w:p>
    <w:p>
      <w:pPr>
        <w:spacing w:after="0" w:line="82" w:lineRule="exact"/>
        <w:rPr>
          <w:sz w:val="20"/>
          <w:szCs w:val="20"/>
          <w:color w:val="auto"/>
        </w:rPr>
      </w:pPr>
    </w:p>
    <w:p>
      <w:pPr>
        <w:ind w:right="80" w:firstLine="509"/>
        <w:spacing w:after="0" w:line="251" w:lineRule="auto"/>
        <w:rPr>
          <w:sz w:val="20"/>
          <w:szCs w:val="20"/>
          <w:color w:val="auto"/>
        </w:rPr>
      </w:pPr>
      <w:r>
        <w:rPr>
          <w:rFonts w:ascii="Calibri" w:cs="Calibri" w:eastAsia="Calibri" w:hAnsi="Calibri"/>
          <w:sz w:val="17"/>
          <w:szCs w:val="17"/>
          <w:color w:val="auto"/>
        </w:rPr>
        <w:t>We have numerous initatves and programs to atract, develop and retain our talent tailored to specifc employee populatons and geographies, including leadership and executve development programs, technical training, and other skill-based training. In fscal 2023, we focused on building awareness for managers and employees on the tools and resources available to support employee development. This included senior leader workshops sharing best practces, manager packs to make it easy to share and promote use with their teams, and training for managers, employees and HR. We also expanded our investment and internal promoton of the online learning platorm introduced last fscal year. We contnued to see strong engagement and use of this</w:t>
      </w:r>
    </w:p>
    <w:p>
      <w:pPr>
        <w:spacing w:after="0" w:line="20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1" w:name="page12"/>
    <w:bookmarkEnd w:id="11"/>
    <w:p>
      <w:pPr>
        <w:ind w:right="300"/>
        <w:spacing w:after="0" w:line="235" w:lineRule="auto"/>
        <w:rPr>
          <w:sz w:val="20"/>
          <w:szCs w:val="20"/>
          <w:color w:val="auto"/>
        </w:rPr>
      </w:pPr>
      <w:r>
        <w:rPr>
          <w:rFonts w:ascii="Calibri" w:cs="Calibri" w:eastAsia="Calibri" w:hAnsi="Calibri"/>
          <w:sz w:val="18"/>
          <w:szCs w:val="18"/>
          <w:color w:val="auto"/>
        </w:rPr>
        <w:t>platorm to support our leadership development programs, DE&amp;I knowledge and skill building, and self-directed learning through our career development portal for employees.</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believe that our contnued focus and investment on employee development contnues to be well received by our employees. In our biennial global employee engagement survey, employees reported high levels of support for their professional development with an increase in scores on questons related to feedback received from managers and opportunites to learn and grow.</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have well-established performance management and talent development processes in which managers provide regular feedback and coaching to develop employees. Throughout the year, managers and employees engage in annual objectve setng, quarterly reviews of goal progress, performance feedback, career development discussions, and a year-end performance evaluaton. In additon, we regularly review talent development and succession plans for each of our functons and business segments to identfy and develop a pipeline of talent.</w:t>
      </w:r>
    </w:p>
    <w:p>
      <w:pPr>
        <w:spacing w:after="0" w:line="84"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Some of our employees in the U.S. and abroad are covered by collectve bargaining or similar agreements. We have generally positve and productve employee relatons with our employees, unions and works councils globally.</w:t>
      </w:r>
    </w:p>
    <w:p>
      <w:pPr>
        <w:spacing w:after="0" w:line="83"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Cabot’s global voluntary turnover rate for fscal 2023 was approximately 7.3%, which represents a decrease in the Company’s atriton rate relatve to fscal 2022, which was 9.0%.</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Total Rewards</w:t>
      </w:r>
    </w:p>
    <w:p>
      <w:pPr>
        <w:spacing w:after="0" w:line="82" w:lineRule="exact"/>
        <w:rPr>
          <w:sz w:val="20"/>
          <w:szCs w:val="20"/>
          <w:color w:val="auto"/>
        </w:rPr>
      </w:pPr>
    </w:p>
    <w:p>
      <w:pPr>
        <w:ind w:right="160" w:firstLine="509"/>
        <w:spacing w:after="0" w:line="251" w:lineRule="auto"/>
        <w:rPr>
          <w:sz w:val="20"/>
          <w:szCs w:val="20"/>
          <w:color w:val="auto"/>
        </w:rPr>
      </w:pPr>
      <w:r>
        <w:rPr>
          <w:rFonts w:ascii="Calibri" w:cs="Calibri" w:eastAsia="Calibri" w:hAnsi="Calibri"/>
          <w:sz w:val="17"/>
          <w:szCs w:val="17"/>
          <w:color w:val="auto"/>
        </w:rPr>
        <w:t>We strive to provide a total rewards program that enables us to atract, retain and motvate the best talent to support our businesses. Our compensaton programs embrace a pay for performance philosophy and are designed to be compettve within the markets in which we compete for talent. Our pay practces reward individual and Company performance and are equitably diferentated based on role, experience, contributons, and performance. We value our employees' eforts and reward those contributons through our recogniton and incentve programs. We regularly assess these practces to ensure we are market compettve in each of our geographic locatons, ofering what we believe is a compelling and atractve place to work.</w:t>
      </w:r>
    </w:p>
    <w:p>
      <w:pPr>
        <w:spacing w:after="0" w:line="76"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Cabot is commited to ensuring that employees are paid fairly, without discriminaton while taking into account job-related factors such as responsibilites, locaton, work experience, educaton, performance, and contributons. We conduct reviews annually to monitor our pay practces and develop pay actons where appropriate. Our overall fndings for this fscal year (which did not include employees under certain collectve bargaining or similar agreements) contnue to indicate that we have strong pay parity between females and males globally as well as with under-represented groups in the United States across all pay components (annual base salary, short-term incentves, and long-term incentves) for those in the same job and locaton.</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also aim to provide highly compettve benefts programs in all the locatons where we operate, including meetng or exceeding local regulatons and focusing on health and welfare, employee well-being, employee assistance program (EAP), and retrement savings. Examples of beneft programs we ofer in the U.S. include a 401(k) plan, expansive health benefts (including medical, dental and/or vision), life and accident insurance, disability coverage, paid tme of, tuiton reimbursement and other voluntary benefts. We recognize employee needs are changing as they contnue to adjust to new work environments, deal with stress and balance home and work life while managing their own health and safety, along with that of their loved ones. We believe that advancing employee health and well-being is important to Cabot’s success, and as a result, in fscal 2023 we:</w:t>
      </w:r>
    </w:p>
    <w:p>
      <w:pPr>
        <w:spacing w:after="0" w:line="100" w:lineRule="exact"/>
        <w:rPr>
          <w:sz w:val="20"/>
          <w:szCs w:val="20"/>
          <w:color w:val="auto"/>
        </w:rPr>
      </w:pPr>
    </w:p>
    <w:p>
      <w:pPr>
        <w:ind w:left="900" w:right="900" w:hanging="383"/>
        <w:spacing w:after="0" w:line="235" w:lineRule="auto"/>
        <w:tabs>
          <w:tab w:leader="none" w:pos="9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Introduced well-being guiding principles to clarify operatng norms and to reinforce the Company's support for healthy and safe work environments;</w:t>
      </w:r>
    </w:p>
    <w:p>
      <w:pPr>
        <w:spacing w:after="0" w:line="1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Ofered a global movement challenge to encourage physical actvity; and</w:t>
      </w:r>
    </w:p>
    <w:p>
      <w:pPr>
        <w:spacing w:after="0" w:line="1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Developed a well-being guide for all people leaders to encourage discussions, partcipaton and engagement with our teams.</w:t>
      </w:r>
    </w:p>
    <w:p>
      <w:pPr>
        <w:spacing w:after="0" w:line="212"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Employee Health &amp; Safety</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believe that one of our primary responsibilites as an employer is to provide a safe work environment and promote wellness across the workforce. Our goal is for all employees, contractors, and visitors to return home in the same conditon as when they arrived at work that day. As part of our “Drive to Zero” initatve, we have set a long-term goal of achieving zero injuries at our facilites worldwide. We intend to achieve this ambitous objectve by following a number of measures, including training employees in hazard recogniton, ensuring procedures are established to mitgate risks and equipping supervisory personnel with the tools and skills required to execute our work safely. As part of this efort, members of our leadership team partcipate in root cause determinatons and the results are shared throughout our network of operatng facilites. Recognizing that it may take many years to achieve our Drive to Zero goal, we have established a contnuous improvement goal for personal safety to achieve a 50% reducton in our recordable and severe injury rate from our baseline measurement in 2019 by 2025. For fscal 2023, our Total Recordable Incident Rate (TRIR) based upon the number of injuries per 200,000 work hours for both employees and contractors was 0.14 and</w:t>
      </w:r>
    </w:p>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ind w:right="100"/>
        <w:spacing w:after="0" w:line="235" w:lineRule="auto"/>
        <w:rPr>
          <w:sz w:val="20"/>
          <w:szCs w:val="20"/>
          <w:color w:val="auto"/>
        </w:rPr>
      </w:pPr>
      <w:r>
        <w:rPr>
          <w:rFonts w:ascii="Calibri" w:cs="Calibri" w:eastAsia="Calibri" w:hAnsi="Calibri"/>
          <w:sz w:val="18"/>
          <w:szCs w:val="18"/>
          <w:color w:val="auto"/>
        </w:rPr>
        <w:t>our Lost Time Incident Rate (LTIR) was 0.05. For comparison, the US Bureau of Labor Statstcs reports for chemical manufacturing an average TRIR of 1.9 and LTIR of 0.6 in calendar year 2022.</w:t>
      </w:r>
    </w:p>
    <w:p>
      <w:pPr>
        <w:spacing w:after="0" w:line="83" w:lineRule="exact"/>
        <w:rPr>
          <w:sz w:val="20"/>
          <w:szCs w:val="20"/>
          <w:color w:val="auto"/>
        </w:rPr>
      </w:pPr>
    </w:p>
    <w:p>
      <w:pPr>
        <w:ind w:right="60" w:firstLine="509"/>
        <w:spacing w:after="0" w:line="254" w:lineRule="auto"/>
        <w:rPr>
          <w:sz w:val="20"/>
          <w:szCs w:val="20"/>
          <w:color w:val="auto"/>
        </w:rPr>
      </w:pPr>
      <w:r>
        <w:rPr>
          <w:rFonts w:ascii="Calibri" w:cs="Calibri" w:eastAsia="Calibri" w:hAnsi="Calibri"/>
          <w:sz w:val="17"/>
          <w:szCs w:val="17"/>
          <w:color w:val="auto"/>
        </w:rPr>
        <w:t>We contnue to be recognized as an American Chemistry Counsel Responsible Care® company and as part of our commitment to Responsible Care, we remain focused on contnuously improving the health and safety of our processes and products. In accordance with this certfcaton, we report our safety performance metrics annually and undergo external audits regularly to evaluate our program, identfy gaps, and undertake correctve actons as needed.</w:t>
      </w:r>
    </w:p>
    <w:p>
      <w:pPr>
        <w:spacing w:after="0" w:line="70" w:lineRule="exact"/>
        <w:rPr>
          <w:sz w:val="20"/>
          <w:szCs w:val="20"/>
          <w:color w:val="auto"/>
        </w:rPr>
      </w:pPr>
    </w:p>
    <w:p>
      <w:pPr>
        <w:ind w:right="220" w:firstLine="374"/>
        <w:spacing w:after="0" w:line="235" w:lineRule="auto"/>
        <w:rPr>
          <w:sz w:val="20"/>
          <w:szCs w:val="20"/>
          <w:color w:val="auto"/>
        </w:rPr>
      </w:pPr>
      <w:r>
        <w:rPr>
          <w:rFonts w:ascii="Calibri" w:cs="Calibri" w:eastAsia="Calibri" w:hAnsi="Calibri"/>
          <w:sz w:val="18"/>
          <w:szCs w:val="18"/>
          <w:color w:val="auto"/>
        </w:rPr>
        <w:t>Through our global SHE &amp; Sustainability Commitment, which is endorsed by our Executve Commitee and adopted by our Board of Directors, we hold ourselves accountable to demonstrate our company values and contnuously improve the way we operate. The SHE &amp; Sustainability Commitment defnes several important objectves for our contnuous improvement in safety, including:</w:t>
      </w:r>
    </w:p>
    <w:p>
      <w:pPr>
        <w:spacing w:after="0" w:line="92" w:lineRule="exact"/>
        <w:rPr>
          <w:sz w:val="20"/>
          <w:szCs w:val="20"/>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Complying with all applicable regulatons;</w:t>
      </w:r>
    </w:p>
    <w:p>
      <w:pPr>
        <w:spacing w:after="0" w:line="1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Sharing complete informaton about the safe handling and appropriate use of our products;</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Maintaining the safety and security of our employees, contractors and neighbors;</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Managing our operatons to minimize any impacts on our communites;</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Exemplifying the Responsible Care® Guiding Principles;</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Partnering with customers and suppliers to advance innovatve and sustainable solutons; and</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Improving efciencies, reducing environmental impacts and ensuring that we are prepared for emergencies that could occur.</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Safety, Health, Environment and Sustainability</w:t>
      </w:r>
    </w:p>
    <w:p>
      <w:pPr>
        <w:spacing w:after="0" w:line="82"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In recogniton of the importance of safety, health, environment and sustainability maters to Cabot, our Board of Directors has a Safety, Health, Environment, and Sustainability Commitee. The Commitee, which is comprised of independent directors, meets regularly and oversees our safety, health, and environmental performance, process safety, security, product stewardship, community engagement and governmental afairs. In partcular, the Commitee reviews metrics, audit results, emerging trends, overall performance, risks and opportunity assessments and management processes related to our safety, health, environmental and sustainability program.</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ongoing operatons are subject to extensive federal, state, local, and foreign laws, regulatons, rules, and ordinances relatng to safety, health, and environmental maters (“SH&amp;E Requirements”). The SH&amp;E Requirements to which our operatons are subject include requirements to obtain and comply with various environmental-related permits for constructng any new facilites and operatng all of our existng facilites and for product registratons. We have expended and will contnue to expend considerable resources to construct, maintain, operate, and improve our facilites throughout the world for safety, health and environmental protecton and to comply with SH&amp;E Requirements. We spent $72 million in environmental-related capital expenditures in fscal 2023. We antcipate spending approximately $74 million for such maters in fscal 2024, a signifcant porton of which will contnue to be for the installaton of air polluton control equipment at our plant in Ville Plate, Louisiana. These costs include costs associated with our compliance with the Consent Decree we entered into in November 2013 with the U.S. Environmental Protecton Agency (“EPA”) and the Louisiana Department of Environmental Quality (“LDEQ”) regarding Cabot’s three carbon black manufacturing facilites in the U.S. This setlement is related to the EPA’s natonal enforcement initatve focused on the U.S. carbon black manufacturing sector alleging non-compliance with certain regulatory and permitng requirements under The Clean Air Act, including the New Source Review (“NSR”) constructon permitng requirements. Pursuant to this setlement, Cabot has installed technology controls for sulfur dioxide and/or nitrogen oxide at its carbon black plants in Pampa, Texas and Franklin, Louisiana, and is in the process of installing such technology controls at its plant in Ville Plate. We are currently in discussions with the EPA and LDEQ to extend our compliance date at the Ville Plate facility to 2024 based upon force majeure events primarily related to the COVID-19 pandemic. We expect that the total capital costs to install these technology controls will be in the range of $225 million to $250 million and will be incurred through 2024. As of September 30, 2023, we have incurred approximately $180 million to install these controls in the U.S. Operatng these controls increases our plant operatng costs. All carbon black manufacturers in the U.S. have setled with the EPA and are installing similar controls. In additon, under the Province of Ontario Ministry of Environment, Conservaton and Parks’ (“MECP”) Regulaton 419, a new requirement for sulfur dioxide (“SO2”) emissions went into efect on July 1, 2023 for our reinforcing carbons plant in Sarnia, Ontario. On June 30, 2023, we received a leter from the MECP indicatng that as of July 1, 2023 we would be out of compliance with the new air standards for SO2, and, in response, we submited our required abatement plan in accordance with Regulaton 419. We are contnuing discussions with the MECP on a new technical standard for SO2 emissions controls at our plant as an alternatve to this requirement, which in its current form would require the installaton of air polluton controls at the plant by July 1, 2028. We intend to contnue to engage with the MECP on this alternatve, or another compliance approach that is acceptable to the MECP. We antcipate that we will need to incur signifcant capital costs for the installaton of these new SO2 emissions controls, partcularly during the 24-month period prior to the date of installaton.</w:t>
      </w:r>
    </w:p>
    <w:p>
      <w:pPr>
        <w:spacing w:after="0" w:line="23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ind w:firstLine="509"/>
        <w:spacing w:after="0" w:line="235" w:lineRule="auto"/>
        <w:rPr>
          <w:sz w:val="20"/>
          <w:szCs w:val="20"/>
          <w:color w:val="auto"/>
        </w:rPr>
      </w:pPr>
      <w:r>
        <w:rPr>
          <w:rFonts w:ascii="Calibri" w:cs="Calibri" w:eastAsia="Calibri" w:hAnsi="Calibri"/>
          <w:sz w:val="18"/>
          <w:szCs w:val="18"/>
          <w:color w:val="auto"/>
        </w:rPr>
        <w:t>As described above, environmental agencies worldwide are increasingly implementng regulatons and other requirements resultng in more restrictve air emission limits globally, partcularly as they relate to nitrogen oxide, sulfur dioxide and partculate mater emissions. In additon, growing concerns about climate change have led to global eforts to reduce greenhouse gas (“GHG”) emissions with a goal of achieving net zero GHG emissions in the future, which will impact the carbon black industry and our business as carbon dioxide is emited from those manufacturing processes. Currently, in Europe, our four carbon black facilites are subject to the EU Emissions Trading Scheme (“EU ETS”). The fourth phase of the EU ETS began in January 2021, with updated product benchmarks for our carbon black facilites. As a result of revisions to the EU ETS program in late 2022, the free allowances under the program will be phased out over tme likely resultng in increased costs to the Company. We are currently evaluatng future potental applicability of the new carbon border adjustment mechanism (“CBAM”) program in the EU as an alternatve to coverage under the EU ETS. Our carbon black facility in The Netherlands is subject to The Netherlands CO2 tax, which is a top up tax to the EU ETS scheme. In China, a natonal emissions trading program is currently in place for the power sector and has not yet been expanded beyond that sector. We contnue to monitor that program’s further implementaton and expect it may apply to the carbon black industry in the future with the existng regional pilot programs expected to contnue to operate untl the natonal program becomes efectve. In Canada, our carbon black facility has been subject to the Canadian federal carbon tax program. The Ontario Emissions Performance Standard trading system replaced the Canadian federal Output-Based Pricing System for our carbon black facility in Ontario, and specifc transiton requirements became efectve on January 1, 2022. In Mexico, our carbon black facility is partcipatng in the pilot natonal ETS program, which is expected to be efectve by the end of calendar 2023. In other regions where we operate, some of our facilites are required to report their greenhouse gas emissions but are not currently subject to programs requiring trading or emission controls but may be subject to limited carbon tax programs afectng fuels we purchase. We generally expect to pay any incurred taxes or purchase emission credits as needed to respond to any allocaton shortalls and pass these costs on to our customers. In additon, further air emission regulatons may be adopted in the future in regions and countries where we operate, which could have an impact on our operatons. In additon, further air emission regulatons may be adopted in the future in regions and countries where we operate, which could have an impact on our operatons. Increasing regulatory programs associated with emissions and concerns regarding climate change are expected to increase our capital and operatonal costs in the future.</w:t>
      </w:r>
    </w:p>
    <w:p>
      <w:pPr>
        <w:spacing w:after="0" w:line="9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Cabot has been named as a potentally responsible party under the Comprehensive Environmental Response, Compensaton, and Liability Act of 1980 (the “Superfund law”) and comparable state statutes with respect to several sites primarily associated with our divested businesses. (See “Legal Proceedings” in Item 3 below, and Note S in Item 8 below, under the heading “Contngencies”.) During the next several years, as remediaton of various environmental sites is carried out, we expect to spend against our environmental reserve for costs associated with such remediaton. As of September 30, 2023, our environmental reserve was approximately $5 million. Adjustments are made to the reserve based on our contnuing analysis of our share of costs likely to be incurred at each site. Inherent uncertaintes exist in these estmates due to unknown conditons at the various sites, changing governmental regulatons and legal standards regarding liability, and changing technologies for handling site investgaton and remediaton. While the reserve represents our best estmate of the costs we expect to incur, the actual costs to investgate and remediate these sites may exceed the amounts accrued in the environmental reserve. While it is always possible that an unusual event may occur with respect to a given site and have a material adverse efect on our results of operatons in a partcular period, we do not believe that the costs relatng to these sites, in the aggregate, are likely to have a material adverse efect on our consolidated fnancial positon. Furthermore, it is possible that we may also incur future costs relatng to environmental liabilites not currently known to us or as to which it is currently not possible to make an estmate.</w:t>
      </w:r>
    </w:p>
    <w:p>
      <w:pPr>
        <w:spacing w:after="0" w:line="91"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Internatonal Agency for Research on Cancer (“IARC”) classifes carbon black as a Group 2B substance (known animal carcinogen, possible human carcinogen). We have communicated IARC’s classifcaton of carbon black to our customers and employees and have included that informaton in our safety data sheets and elsewhere, as appropriate. We contnue to believe that the available evidence, taken as a whole, indicates that carbon black is not carcinogenic to humans, and does not present a health hazard when handled in accordance with good housekeeping and safe workplace practces as described in our safety data sheets.</w:t>
      </w:r>
    </w:p>
    <w:p>
      <w:pPr>
        <w:spacing w:after="0" w:line="85"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Our products are subject to the chemical control laws and regulatory requirements of the countries in which they are manufactured or imported and distributed commercially. These laws include the regulaton of chemical substances and inventories under the Toxic Substances Control Act (“TSCA”) in the U.S. and the Registraton, Evaluaton and Authorizaton of Chemicals (“REACh”) in the European Union. Manufacturers or importers of these chemical substances are required to submit specifed health, safety, environment, risk and use informaton about these substances. Under the “Evaluaton” porton of the REACh framework, the European Chemicals Agency (ECHA) and European Union Member States assess the informaton submited by companies within registraton dossiers and testng proposals to determine whether the associated substances are safe for use. The silica substance evaluaton was concluded in 2022, and from this, a proposal for additonal regulatory requirements related to silica is expected to be issued. Carbon black is scheduled for a substance review in 2025. Analogous regimes exist in other parts of the world, including the</w:t>
      </w:r>
    </w:p>
    <w:p>
      <w:pPr>
        <w:spacing w:after="0" w:line="21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4" w:name="page15"/>
    <w:bookmarkEnd w:id="14"/>
    <w:p>
      <w:pPr>
        <w:ind w:right="680"/>
        <w:spacing w:after="0" w:line="235" w:lineRule="auto"/>
        <w:rPr>
          <w:sz w:val="20"/>
          <w:szCs w:val="20"/>
          <w:color w:val="auto"/>
        </w:rPr>
      </w:pPr>
      <w:r>
        <w:rPr>
          <w:rFonts w:ascii="Calibri" w:cs="Calibri" w:eastAsia="Calibri" w:hAnsi="Calibri"/>
          <w:sz w:val="18"/>
          <w:szCs w:val="18"/>
          <w:color w:val="auto"/>
        </w:rPr>
        <w:t>UK, Turkey, China, South Korea, and Taiwan. Many of these chemical control regulatons are in the process of a mult-year implementaton period for product/substance registratons or notfcatons.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Additonal requirements for nanomaterials apply to many of our existng products including carbon black, fumed silica, inkjet pigments, fumed alumina, and advanced carbons such as carbon nano structures and carbon nanotubes. Country-specifc nanomaterial reportng programs have been implemented in some countries and are being developed by others. In the European Union, applicaton-specifc safety evaluatons are ongoing for nanomaterials. Additonally, in 2022, an opinion was adopted to classify a subset of mult-walled carbon nanotubes that includes a carbon nanotube grade we currently manufacture, as carcinogen category 1B and specifc target organ toxicant (lung) afer repeated exposure category 1 under European Union regulatons. The opinion has not yet been published in the Adaptaton to Technical Progress (ATP), which would make the classifcaton legally binding. Our carbon nanotubes are bound in a matrix or contained within conductve materials in bateries, molded parts, plastcs, coatngs, adhesives, and sealants, and we do not believe they present a health risk to end users under normal use conditons. Exposure to carbon nanotubes could occur in the workplace. However, we believe workplace exposures can be appropriately managed with engineering controls in place at our manufacturing facilites and the use of required personal protectve equipment at our sites.</w:t>
      </w:r>
    </w:p>
    <w:p>
      <w:pPr>
        <w:spacing w:after="0" w:line="89"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 number of organizatons and regulatory agencies have become increasingly focused on the issue of water scarcity, water conservaton and water quality, partcularly in certain geographic regions. We are engaged in various actvites to promote water conservaton and wastewater recycling, partcularly given that some of our manufacturing processes are water intensive. The costs associated with these actvites are not expected to have a material adverse efect on our operatons.</w:t>
      </w:r>
    </w:p>
    <w:p>
      <w:pPr>
        <w:spacing w:after="0" w:line="84"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Various U.S. agencies and internatonal bodies have adopted security requirements applicable to certain manufacturing and industrial facilites and marine port locatons. These security-related requirements involve the preparaton of security assessments and security plans in some cases, and in other cases the registraton of certain facilites with specifed governmental authorites. We closely monitor all security-related regulatory developments and believe we are in compliance with all existng requirements. Compliance with such requirements is not expected to have a material adverse efect on our operatons.</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1A. </w:t>
      </w:r>
      <w:r>
        <w:rPr>
          <w:rFonts w:ascii="Calibri" w:cs="Calibri" w:eastAsia="Calibri" w:hAnsi="Calibri"/>
          <w:sz w:val="18"/>
          <w:szCs w:val="18"/>
          <w:b w:val="1"/>
          <w:bCs w:val="1"/>
          <w:i w:val="1"/>
          <w:iCs w:val="1"/>
          <w:color w:val="auto"/>
        </w:rPr>
        <w:t>Risk Factors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additon to factors described elsewhere in this report, the following are important factors that could adversely afect our business. The risks described below are not the only risks we face. Additonal risks not presently known to us or that we currently deem immaterial may also impair our business operatons and fnancial results.</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Industry Risks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Industry capacity utlizaton and competton from other specialty chemical companies may adversely impact our business.</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Our businesses are sensitve to industry capacity utlizaton, and pricing tends to fuctuate when capacity utlizaton changes occur, which could afect our fnancial performance. Further, we operate in a highly compettve marketplace. Our ability to compete successfully depends in part upon our ability to maintain a superior technological capability and to contnue to identfy, develop and commercialize new and innovatve, high value-added products for existng and future customers. Increased competton from existng or newly developed products ofered by our compettors or companies whose products ofer a similar functonality as our products, partcularly those with an improved environmental footprint, and could be substtuted for our products, may negatvely afect demand for our products. In additon, actons by our compettors could impair our ability to maintain or raise prices, successfully enter new markets or maintain or grow our market positon.</w:t>
      </w:r>
    </w:p>
    <w:p>
      <w:pPr>
        <w:spacing w:after="0" w:line="8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color w:val="auto"/>
        </w:rPr>
        <w:t>Environmental regulatons and restrictons that afect the carbon black industry impose constraints on our operatons, and could threaten our compettve positon and increase our operatng costs, which may adversely impact our business and results of operatons.</w:t>
      </w:r>
    </w:p>
    <w:p>
      <w:pPr>
        <w:spacing w:after="0" w:line="83" w:lineRule="exact"/>
        <w:rPr>
          <w:sz w:val="20"/>
          <w:szCs w:val="20"/>
          <w:color w:val="auto"/>
        </w:rPr>
      </w:pPr>
    </w:p>
    <w:p>
      <w:pPr>
        <w:ind w:right="40" w:firstLine="509"/>
        <w:spacing w:after="0" w:line="250" w:lineRule="auto"/>
        <w:rPr>
          <w:sz w:val="20"/>
          <w:szCs w:val="20"/>
          <w:color w:val="auto"/>
        </w:rPr>
      </w:pPr>
      <w:r>
        <w:rPr>
          <w:rFonts w:ascii="Calibri" w:cs="Calibri" w:eastAsia="Calibri" w:hAnsi="Calibri"/>
          <w:sz w:val="17"/>
          <w:szCs w:val="17"/>
          <w:color w:val="auto"/>
        </w:rPr>
        <w:t>Our ongoing carbon black operatons are subject to extensive federal, state, local and foreign laws, regulatons, rules and ordinances relatng to environmental maters, many of which provide for substantal monetary fnes and civil and criminal sanctons for violatons. These include requirements to obtain and comply with various environmental-related and other permits for constructng any new facilites and operatng all of our existng facilites, as well as setlements with agencies regarding environmental maters and environmental requirements. These environmental regulatory requirements and restrictons impose constraints on our operatons, and could threaten our compettve positon. We have expended and will contnue to expend considerable amounts to construct, maintain, operate, and improve our facilites around the world for environmental protecton. In additon, the increased emphasis on environmental justce, which is the fair treatment and meaningful involvement of all individuals and communites in which we operate, regardless of race, color, natonal origin, or income, with respect to the development, implementaton and enforcement of environmental laws, regulatons, and policies, could result in increased compliance requirements and costs. Furthermore, our actual or perceived failure to adhere to these principles could harm our reputaton.</w:t>
      </w:r>
    </w:p>
    <w:p>
      <w:pPr>
        <w:spacing w:after="0" w:line="21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5" w:name="page16"/>
    <w:bookmarkEnd w:id="15"/>
    <w:p>
      <w:pPr>
        <w:ind w:right="20" w:firstLine="509"/>
        <w:spacing w:after="0" w:line="235" w:lineRule="auto"/>
        <w:rPr>
          <w:sz w:val="20"/>
          <w:szCs w:val="20"/>
          <w:color w:val="auto"/>
        </w:rPr>
      </w:pPr>
      <w:r>
        <w:rPr>
          <w:rFonts w:ascii="Calibri" w:cs="Calibri" w:eastAsia="Calibri" w:hAnsi="Calibri"/>
          <w:sz w:val="18"/>
          <w:szCs w:val="18"/>
          <w:color w:val="auto"/>
        </w:rPr>
        <w:t>Further, environmental agencies worldwide are increasingly implementng regulatons and other requirements resultng in more restrictve air emission limits globally, partcularly as they relate to nitrogen oxides, sulfur dioxide and partculate mater emissions. We expect complying with existng regulatons and other regulatory and tax changes being proposed in regions where we operate, if approved, will require us to incur signifcant additonal costs for compliance, capital improvements or limit our current or planned operatons. We may not be able to ofset the efects of these compliance costs through price increases. Our ability to implement price increases is largely infuenced by compettve and economic conditons and could vary signifcantly depending on the segment served. Such increases may not be accepted by our customers, may not be sufcient to compensate for increased regulatory costs or may decrease demand for our products and our volume of sales.</w:t>
      </w:r>
    </w:p>
    <w:p>
      <w:pPr>
        <w:spacing w:after="0" w:line="8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 descripton of these maters is included in the discussion under the heading “Safety, Health, Environment, and Sustainability” in Item 1 above, and in Note S in Item 8 below under the heading “Contngencies”.</w:t>
      </w:r>
    </w:p>
    <w:p>
      <w:pPr>
        <w:spacing w:after="0" w:line="83"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b w:val="1"/>
          <w:bCs w:val="1"/>
          <w:color w:val="auto"/>
        </w:rPr>
        <w:t>We may be exposed to certain regulatory and fnancial risks related to climate change developments and an increased focus on carbon neutrality, which may adversely afect our business and results of operatons, and increased pressures and adverse publicity about potental impacts on climate change by us or other companies in our industry could harm our reputaton.</w:t>
      </w:r>
    </w:p>
    <w:p>
      <w:pPr>
        <w:spacing w:after="0" w:line="84" w:lineRule="exact"/>
        <w:rPr>
          <w:sz w:val="20"/>
          <w:szCs w:val="20"/>
          <w:color w:val="auto"/>
        </w:rPr>
      </w:pPr>
    </w:p>
    <w:p>
      <w:pPr>
        <w:ind w:right="40" w:firstLine="509"/>
        <w:spacing w:after="0" w:line="250" w:lineRule="auto"/>
        <w:rPr>
          <w:sz w:val="20"/>
          <w:szCs w:val="20"/>
          <w:color w:val="auto"/>
        </w:rPr>
      </w:pPr>
      <w:r>
        <w:rPr>
          <w:rFonts w:ascii="Calibri" w:cs="Calibri" w:eastAsia="Calibri" w:hAnsi="Calibri"/>
          <w:sz w:val="17"/>
          <w:szCs w:val="17"/>
          <w:color w:val="auto"/>
        </w:rPr>
        <w:t>Carbon dioxide, a greenhouse gas, is emited in carbon black manufacturing processes. Concerns about the relatonship between greenhouse gases and global climate change, and an increased focus on carbon neutrality, may result in additonal regulatons on both natonal and supranatonal levels, to monitor, regulate, control and tax emissions of carbon dioxide and other greenhouse gases. Climate changes include extreme weather impacts, such as changes in rainfall and in storm paterns and intensites, water shortages, signifcantly changing sea levels and increasing atmospheric and water temperatures. A number of governmental bodies have introduced or are contemplatng regulatory changes in response to climate change, including regulatng greenhouse gas emissions. Specifcally, in certain geographic areas, our carbon black facilites are or may become subject to greenhouse gas emission trading schemes or carbon tax programs under which we may be required to pay any incurred taxes or purchase emission credits if our emission levels exceed our free allocaton. The outcome of new legislaton or regulaton in the U.S. and other jurisdictons in which we operate may result in new or additonal requirements and fees or restrictons on certain actvites. Compliance with greenhouse gas and climate change initatves may result in additonal costs to us, including, among other things, increased producton costs, increased feedstock costs, additonal taxes, reduced emission allowances or additonal restrictons on producton or operatons. In additon, certain of our carbon black products for specialty applicatons have higher greenhouse gas emissions than our other products, which may increase our compliance costs and make it more challenging to achieve our emissions goals without technology developments. We may not be able to ofset the efects of these new or more stringent laws and regulatons and compliance costs through price increases, which could adversely afect our business and negatvely impact our growth. Our ability to implement price increases is largely infuenced by compettve and economic conditons and could vary signifcantly depending on the segment served. Such increases may not be accepted by our customers, may not be sufcient to compensate for increased regulatory costs or may decrease demand for our products and our volume of sales. Any adopted future climate change regulatons could also negatvely impact our ability to compete with companies situated in areas not subject to such limitatons.</w:t>
      </w:r>
    </w:p>
    <w:p>
      <w:pPr>
        <w:spacing w:after="0" w:line="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Even without such regulaton, increased public awareness and adverse publicity about potental impacts on climate change or environmental harm from us or our industry could harm our reputaton or otherwise impact the Company adversely. In recent years, investors have also begun to show increased interest in sustainability and climate change as it relates to their investment decisions. Our failure to develop and execute a sustainability strategy that adequately responds to these environmental concerns could harm our reputaton and negatvely impact the value of our securites. In additon, new disclosure requirements related to GHG emissions and climate change, including the European Sustainability Reportng Standards, any fnal rules approved by the SEC, and state laws requiring climate disclosure, may negatvely impact our business by divertng resources, increasing our compliance costs and harming our reputaton. Further, increasing weather-related impacts on our operatons and plant sites may impact the cost or availability of insurance. Furthermore, the potental impact of climate change and related regulaton on our feedstock suppliers and customers is highly uncertain and there can be no assurance that it will not have an adverse efect on the availability, over tme, of our traditonal carbon black feedstocks, our customers’ businesses and sourcing arrangements, and on our fnancial conditon and results of operatons. For instance, lower demand for oil refnery products may reduce the availability and increase the cost of certain of the key raw materials we use. In additon, many of our tre customers have set sustainability goals for the 2030 to 2050 tme period to purchase more sustainable raw materials, including reduced use of fossil-derived materials, which could reduce demand for our traditonal carbon black products. We cannot predict how legal, regulatory and social responses to concerns about climate change, as well as other sustainability and environmental maters, will impact our business.</w:t>
      </w:r>
    </w:p>
    <w:p>
      <w:pPr>
        <w:spacing w:after="0" w:line="22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6" w:name="page17"/>
    <w:bookmarkEnd w:id="16"/>
    <w:p>
      <w:pPr>
        <w:ind w:right="100"/>
        <w:spacing w:after="0" w:line="235" w:lineRule="auto"/>
        <w:rPr>
          <w:sz w:val="20"/>
          <w:szCs w:val="20"/>
          <w:color w:val="auto"/>
        </w:rPr>
      </w:pPr>
      <w:r>
        <w:rPr>
          <w:rFonts w:ascii="Calibri" w:cs="Calibri" w:eastAsia="Calibri" w:hAnsi="Calibri"/>
          <w:sz w:val="18"/>
          <w:szCs w:val="18"/>
          <w:b w:val="1"/>
          <w:bCs w:val="1"/>
          <w:color w:val="auto"/>
        </w:rPr>
        <w:t>Volatlity in the price and availability of raw materials and energy could impact our margins and working capital and our revenues from our energy center operatons.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manufacturing processes consume signifcant amounts of energy and raw materials, the costs of which are subject to worldwide supply and demand as well as other factors beyond our control. Our carbon black businesses use a variety of feedstocks as raw material including high sulfur fuel oils, low sulfur fuel oils, coal tar distllates, and ethylene cracker residue, the cost and availability of which vary, based in part on geography. Signifcant movements or volatlity in our carbon black feedstock costs could have an adverse efect on our working capital and results of operatons. In additon, regulatory changes or geopolitcal confict may impact the availability and prices of our raw materials. For example, the Russian invasion of Ukraine has disrupted and may contnue to disrupt the price and availability of natural gas in Europe.</w:t>
      </w:r>
    </w:p>
    <w:p>
      <w:pPr>
        <w:spacing w:after="0" w:line="127" w:lineRule="exact"/>
        <w:rPr>
          <w:sz w:val="20"/>
          <w:szCs w:val="20"/>
          <w:color w:val="auto"/>
        </w:rPr>
      </w:pPr>
    </w:p>
    <w:p>
      <w:pPr>
        <w:ind w:firstLine="509"/>
        <w:spacing w:after="0" w:line="237" w:lineRule="auto"/>
        <w:rPr>
          <w:sz w:val="20"/>
          <w:szCs w:val="20"/>
          <w:color w:val="auto"/>
        </w:rPr>
      </w:pPr>
      <w:r>
        <w:rPr>
          <w:rFonts w:ascii="Calibri" w:cs="Calibri" w:eastAsia="Calibri" w:hAnsi="Calibri"/>
          <w:sz w:val="18"/>
          <w:szCs w:val="18"/>
          <w:color w:val="auto"/>
        </w:rPr>
        <w:t>Certain of our carbon black supply arrangements contain provisions that adjust prices to account for changes in relevant feedstock and natural gas price indices. We also atempt to ofset the efects of increases in raw material and energy costs through selling price increases in our non-contract sales, productvity improvements and cost reducton eforts. Success in ofsetng increased raw material and energy costs with price increases is largely infuenced by compettve and economic conditons and could vary signifcantly depending on the segment served. Such increases may not be accepted by our customers, may not be sufcient to compensate for increased raw material and energy costs or may decrease demand for our products and our volume of sales. If we are not able to fully ofset the efects of increased raw material or energy costs, it could have a signifcant impact on our fnancial results. Rapid declines in energy prices and raw material costs can also negatvely impact our fnancial results, as such changes can negatvely afect the revenues we receive from our energy centers and yield improvement investments, and may negatvely impact our contract pricing adjustments. In additon, we use a variety of feedstock indices in our supply arrangements to adjust our prices for changes in raw materials costs. Depending on feedstock markets and our choice of feedstocks, the indices we use in our supply arrangements may not precisely track our actual costs. This could result in an incongruity between our pricing adjustments and changes in our actual feedstock costs, which can afect our net working capital and our margins. Further, the tming of the implementaton of any of these pricing adjustments may not precisely track our actual costs as refected in our fnancial statements.</w:t>
      </w:r>
    </w:p>
    <w:p>
      <w:pPr>
        <w:spacing w:after="0" w:line="83"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additon, we obtain certain of our raw materials from selected key suppliers. Although we typically maintain raw material inventory, if any sole source supplier of raw materials ceases supplying raw materials to us, or if any of our key suppliers is unable to meet its obligatons under supply agreements with us on a tmely basis or at an acceptable price, or at all, we may be forced to incur higher costs to obtain the necessary raw materials elsewhere or, in certain limited cases, may not be able to obtain the required raw materials.</w:t>
      </w:r>
    </w:p>
    <w:p>
      <w:pPr>
        <w:spacing w:after="0" w:line="84"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b w:val="1"/>
          <w:bCs w:val="1"/>
          <w:color w:val="auto"/>
        </w:rPr>
        <w:t>A signifcant adverse change in a customer or joint venture relatonship or the failure of a customer or joint venture partner to perform its obligatons under agreements with us could harm our business or cash fows.</w:t>
      </w:r>
    </w:p>
    <w:p>
      <w:pPr>
        <w:spacing w:after="0" w:line="8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success in strengthening relatonships and growing business with our largest customers and retaining their business over extended tme periods is important to our future results. We have a group of key customers across our businesses that together represent a signifcant porton of our total net sales and operatng revenues. The loss of any of our important customers, or a signifcant reducton in volumes sold to them, could adversely afect our results of operatons untl such business is replaced or any temporary disrupton ends. Further, in our Reinforcement Materials segment we enter into supply arrangements with a number of key customers that typically have a duraton of one year, which account for approximately two-thirds of our total reinforcing carbons volumes. Our success in negotatng the price and volume terms under these arrangements could have a material efect on our results. In additon, a number of our operatons are conducted through joint venture arrangements that operate pursuant to long-term contracts, including for the supply of raw materials for the joint venture operatons. Any dispute as to the terms of these contractual arrangements or deterioraton in the relatonship between us and our joint venture partner could disrupt the operatons of the joint venture, which could afect our fnancial results and harm our reputaton. In additon, any deterioraton in the fnancial conditon of any of our customers that impairs our customers’ ability to make payments to us also could increase our uncollectble receivables and could afect our future results and fnancial conditon.</w:t>
      </w:r>
    </w:p>
    <w:p>
      <w:pPr>
        <w:spacing w:after="0" w:line="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We are exposed to politcal or country risk inherent in doing business in some countries, including China.</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Sales outside of the U.S. consttuted the majority of our revenues in fscal 2023. We conduct business in several countries, including China, that have less stable legal systems and fnancial markets, and potentally more corrupt, or less predictable, business environments than the U.S. As set forth in Note T to our Consolidated Financial Statements, sales in China consttuted approximately 25% of our revenues in fscal 2023 and our property, plant and equipment located in China consttuted approximately 25% of our total property, plant and equipment as of September 30, 2023. Our operatons outside of the U.S., including in China, expose us to risks related to uncertain enforcement of laws by foreign governments as well as risks that foreign governmental enttes will change applicable rules and regulatons with minimal advance notce. These risks could result in a material change in our operatons, which could negatvely impact the value of our securites. Additonally, our operatons in some countries, including China, are subject to the following risks: changes in the rate of economic growth; unsetled politcal or economic conditons; non-renewal of operatng</w:t>
      </w: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7" w:name="page18"/>
    <w:bookmarkEnd w:id="17"/>
    <w:p>
      <w:pPr>
        <w:ind w:right="100"/>
        <w:spacing w:after="0" w:line="235" w:lineRule="auto"/>
        <w:rPr>
          <w:sz w:val="20"/>
          <w:szCs w:val="20"/>
          <w:color w:val="auto"/>
        </w:rPr>
      </w:pPr>
      <w:r>
        <w:rPr>
          <w:rFonts w:ascii="Calibri" w:cs="Calibri" w:eastAsia="Calibri" w:hAnsi="Calibri"/>
          <w:sz w:val="18"/>
          <w:szCs w:val="18"/>
          <w:color w:val="auto"/>
        </w:rPr>
        <w:t>permits or licenses; possible expropriaton or other governmental actons; corrupton by government ofcials and other third partes; social unrest, war, terrorist actvites or other armed confict; confscatory taxaton or other adverse tax policies; deprivaton of contract rights; trade regulatons afectng producton, pricing and marketng of products; reduced protecton of intellectual property rights; restrictons or additonal costs associated with repatriatng cash; exchange controls; infaton; currency fuctuatons and devaluaton; politcal tension that could result in sanctons being imposed against our customers or suppliers in countries where sanctons have not been imposed in the past; the efect of global health, safety and environmental maters on economic conditons and market opportunites; and changes in fnancial policy and availability of credit.</w:t>
      </w:r>
    </w:p>
    <w:p>
      <w:pPr>
        <w:spacing w:after="0" w:line="86"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For example, the Chinese government has, from tme to tme, curtailed manufacturing operatons, with litle or no notce, in industrial regions out of concerns over air quality and in response to COVID-19 outbreaks. The tming and length of these curtailments has been difcult to predict and, at tmes, were applied to manufacturing operatons without regard to whether the operatons being curtailed comply with environmental regulatons in the area. Accordingly, our manufacturing operatons in China have been subject to these curtailments in the past and may be subject to them in the future. In additon, the Chinese government has insttuted energy intensity and energy consumpton targets in a number of provinces in its eforts to reduce energy consumpton, resultng in energy quotas and shortages in energy supply. We are unable to predict how any power outages related to these targets will impact our operatons. These events could negatvely impact our results of operatons and cash fows both during and afer the period of any government-imposed curtailment or power outages afectng our operatons. Further, any such curtailments on the operatons at our customers’ facilites could reduce demand for our products and our volumes.</w:t>
      </w:r>
    </w:p>
    <w:p>
      <w:pPr>
        <w:spacing w:after="0" w:line="8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Operatonal Risks</w:t>
      </w:r>
    </w:p>
    <w:p>
      <w:pPr>
        <w:spacing w:after="0" w:line="82"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b w:val="1"/>
          <w:bCs w:val="1"/>
          <w:color w:val="auto"/>
        </w:rPr>
        <w:t>As a chemical manufacturing company, our operatons are subject to operatonal risks and have the potental to cause environmental or other damage as well as personal injury, or disrupt our ability to supply our customers, any of which could adversely afect our business, results of operatons and cash fows.</w:t>
      </w:r>
    </w:p>
    <w:p>
      <w:pPr>
        <w:spacing w:after="0" w:line="12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operaton of a chemical manufacturing business as well as the sale and distributon of chemical products are subject to operatonal as well as safety, health and environmental risks. For example, the producton and/or processing of carbon black, specialty compounds, fumed metal oxides, aerogel, carbon nanotubes and other chemicals involve the handling, transportaton, manufacture or use of certain substances or components that may be considered toxic or hazardous. While we take precautons to handle and transport these materials in a safe manner, if they are mishandled or released into the environment, they could cause property damage or result in personal injury claims against us.</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manufacturing processes and the transportaton of our chemical products and/or the raw materials used to manufacture our products are subject to risks inherent in chemical manufacturing, including leaks, fres, explosions, toxic releases, severe weather, mechanical failures or unscheduled downtme. In additon, the occurrence of material operatng problems at our facilites, partcularly at a facility that is the sole source of a partcular product we manufacture, or a disrupton in our supply chain or distributon operatons may result in loss of producton, which, in turn, may make it difcult for us to meet customer needs. For example, in recent years we have experienced unplanned plant outages at our plants in Franklin, Louisiana and Altamira, Mexico that caused reduced volumes and earnings during the period the plant was down and increased our fxed costs. Other disruptons in supply chains and distributon channels, including those caused by global or regional logistcs delays and constraints, such as rail or other transportaton interruptons, could disrupt our business operatons. These events and their consequences could negatvely impact our results of operatons and cash fows, both during and afer the period of operatonal difcultes, and could harm our reputaton.</w:t>
      </w:r>
    </w:p>
    <w:p>
      <w:pPr>
        <w:spacing w:after="0" w:line="89"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b w:val="1"/>
          <w:bCs w:val="1"/>
          <w:color w:val="auto"/>
        </w:rPr>
        <w:t>An interrupton in our operatons as a result of fence-line arrangements or a joint venture partner's actons could disrupt our manufacturing operatons and adversely afect our fnancial results.</w:t>
      </w:r>
    </w:p>
    <w:p>
      <w:pPr>
        <w:spacing w:after="0" w:line="8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At certain of our fumed metal oxides facilites we have fence-line arrangements (many of which are closed-loop) with adjacent third-party manufacturing operatons (“fence-line partners”), who provide raw materials for our manufacturing operatons and/or take by-products generated from our operatons. Accordingly, any disruptons or curtailments in a fence-line partner’s producton facilites that impacts their ability to supply us with raw materials or to take our manufacturing by-products could disrupt our manufacturing operatons or cause us to incur increased operatng costs to mitgate such disrupton. We have experienced disruptons in the supply of raw materials from certain of our fence-line partners in recent years, which have caused us to curtail our operatons or incur higher operatng costs. In additon, we operate certain of our carbon black facilites through joint venture arrangements, pursuant to which our joint venture partners provide feedstock and/or take by-products generated from our operatons. A dispute with a joint venture partner concerning the terms of those arrangements could impact our joint venture operatons and could decrease our income from such operatons. Signifcant events at neighboring industrial facilites, such as environmental releases, could also disrupt our operatons and result in negatve publicity about us and harm our reputaton.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ind w:right="480"/>
        <w:spacing w:after="0" w:line="235" w:lineRule="auto"/>
        <w:rPr>
          <w:sz w:val="20"/>
          <w:szCs w:val="20"/>
          <w:color w:val="auto"/>
        </w:rPr>
      </w:pPr>
      <w:r>
        <w:rPr>
          <w:rFonts w:ascii="Calibri" w:cs="Calibri" w:eastAsia="Calibri" w:hAnsi="Calibri"/>
          <w:sz w:val="18"/>
          <w:szCs w:val="18"/>
          <w:b w:val="1"/>
          <w:bCs w:val="1"/>
          <w:color w:val="auto"/>
        </w:rPr>
        <w:t>Our products are subject to extensive safety, health and environmental requirements, which could impair our ability to manufacture and sell certain products.</w:t>
      </w:r>
    </w:p>
    <w:p>
      <w:pPr>
        <w:spacing w:after="0" w:line="83"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In order to secure and maintain the right to produce or sell our products, we must satsfy product related regulatory requirements in diferent jurisdictons. Obtaining and maintaining these approvals requires a signifcant amount of product testng and data, and there is no certainty these approvals will be obtained.</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Certain natonal and internatonal health organizatons have classifed carbon black as a possible or suspected human carcinogen. To the extent that, in the future, (i) these organizatons re-classify carbon black as a known or confrmed carcinogen, (ii) other organizatons or government authorites in other jurisdictons classify carbon black or any of our other fnished products, raw materials or intermediates as suspected or known carcinogens or otherwise hazardous, or (iii) there is discovery of adverse health efects atributable to producton or use of carbon black or any of our other fnished products, raw materials or intermediates, we could be required to incur signifcantly higher costs to comply with environmental, health and safety laws, or to comply with restrictons on sales of our products, be subject to legal claims, and our reputaton and business could be adversely afected. Further, a subset of mult-walled carbon nanotubes that includes a carbon nanotube grade we currently manufacture have been classifed as carcinogen category 1B and specifc target organ toxicant (lung) afer repeated exposure category 1 under European Union regulatons. Although our carbon nanotubes are bound in a matrix or contained within conductve materials, exposure to carbon nanotubes could occur in the workplace. We could be required to incur additonal costs to comply with requirements for the safe manufacturing and handling of these materials and we could be subject to legal claims associated with our products. In additon, chemicals that are currently classifed as non-hazardous may be classifed as hazardous in the future, and our products may have characteristcs that are not recognized today but may be found in the future to impair human health or to be carcinogenic.</w:t>
      </w:r>
    </w:p>
    <w:p>
      <w:pPr>
        <w:spacing w:after="0" w:line="91" w:lineRule="exact"/>
        <w:rPr>
          <w:sz w:val="20"/>
          <w:szCs w:val="20"/>
          <w:color w:val="auto"/>
        </w:rPr>
      </w:pPr>
    </w:p>
    <w:p>
      <w:pPr>
        <w:ind w:right="520"/>
        <w:spacing w:after="0" w:line="235" w:lineRule="auto"/>
        <w:rPr>
          <w:sz w:val="20"/>
          <w:szCs w:val="20"/>
          <w:color w:val="auto"/>
        </w:rPr>
      </w:pPr>
      <w:r>
        <w:rPr>
          <w:rFonts w:ascii="Calibri" w:cs="Calibri" w:eastAsia="Calibri" w:hAnsi="Calibri"/>
          <w:sz w:val="18"/>
          <w:szCs w:val="18"/>
          <w:b w:val="1"/>
          <w:bCs w:val="1"/>
          <w:color w:val="auto"/>
        </w:rPr>
        <w:t>Informaton technology systems failures, data security breaches, cybersecurity atacks or network disruptons have harmed us in the past and could compromise our informaton, disrupt our operatons and expose us to liability, which may adversely impact our operatons.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rely on informaton technology, some of which is managed by third partes, to manage the day-to-day operatons and actvites of our business, operate elements of our manufacturing facilites, manage our customer and vendor transactons, and maintain our fnancial, accountng and business records. In additon, we collect and store certain data, including proprietary business informaton, and may have access to confdental or personal informaton that is subject to privacy and security laws and regulatons.</w:t>
      </w:r>
    </w:p>
    <w:p>
      <w:pPr>
        <w:spacing w:after="0" w:line="84"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The secure processing, maintenance and transmission of this data is critcal to our operatons and business strategy. Informaton technology systems failures, including those associated with our managed service provider or related to maintaining or upgrading our systems or integratng informaton technology and other systems in connecton with the integraton of businesses we acquire, or network disruptons could disrupt our operatons by impeding our processing of transactons and our fnancial reportng, and our operatons, including by contributng to a process safety event, any of which could have a material adverse efect on our business or results of operatons. In the past, our networks have been subject to an atack, potentally by suspected foreign naton-state atackers, who conducted reconnaissance and deployed malware. While our systems were able to isolate and expel the atacker before we believe material harm was caused, criminals, rogue insiders, naton-state, and other atackers may contnue to atack our network, and our defenses may be unable to succeed in detectng their actons or stop them from infictng potentally material harms including by thef, destructon, misuse, or corrupton of our data or systems or those of other enttes whose systems may interconnect with ours.</w:t>
      </w:r>
    </w:p>
    <w:p>
      <w:pPr>
        <w:spacing w:after="0" w:line="89"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In additon, our informaton technology systems could be compromised by outside partes intent on extractng informaton, corruptng informaton or disruptng business processes. Despite our security design and controls, and those of our third-party providers, we may be vulnerable to cyber-atacks, computer viruses, security breaches, inadvertent or intentonal employee actons, system failures and other risks that could potentally lead to the compromising of sensitve, confdental or personal data, improper use of our, or our third-party provider systems, solutons or networks, unauthorized access, use, disclosure, modifcaton or destructon of informaton, or operatonal disruptons. We face increased informaton technology security and fraud risks due to our increased reliance on working remotely, which may create additonal informaton security vulnerabilites and/or magnify the impact of any disrupton in informaton technology systems. Additonally, we have in the past and may in the future be exposed to unauthorized access to our informaton technology systems through undetected vulnerabilites in our or our service providers’ informaton systems or sofware. With the evolving nature of cybersecurity threats, the scope and impact of any informaton security incident cannot be predicted. In additon, more than a dozen states in the United States have also passed comprehensive data protecton legislaton, and the global regulatory environment pertaining to informaton security and privacy is increasingly demanding, with new and changing requirements, such as the European Union’s General Data Protecton Regulaton, The Personal Informaton Protecton Law of the People’s Republic of China, and Brazil’s Lei Geral de Protecao de Dados. Complying with these</w:t>
      </w:r>
    </w:p>
    <w:p>
      <w:pPr>
        <w:spacing w:after="0" w:line="22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color w:val="auto"/>
        </w:rPr>
        <w:t>laws and regulatons may be more costly or take longer than we antcipate, and any failure to comply could result in fnes or penaltes.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Breaches of our security measures, cyber incidents and disruptons, or the accidental loss, inadvertent disclosure, or unapproved disseminaton of proprietary informaton or sensitve or confdental informaton about the Company, our employees, our vendors, or our customers, or failure to comply with laws and regulatons related to informaton security or privacy, could result in legal claims or proceedings against us by governmental enttes or individuals, signifcant fnes, penaltes and judgments, disrupton of our operatons, remediaton requirements, changes to our business practces, and damage to our reputaton, and could otherwise harm our business and our results of operatons.</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Natural disasters and severe weather events could afect our operatons and fnancial results.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operate facilites in areas of the world that are exposed to natural hazards, such as foods, windstorms, hurricanes, and earthquakes. In additon, extreme weather events and changing weather paterns present physical risks on existng infrastructure that may become more frequent or more severe as a result of factors related to climate change. Such events could disrupt our supply of raw materials or otherwise afect producton, transportaton and delivery of our products or afect demand for our products and otherwise harm our business and our results of operatons, potentally in material ways that may exceed available insurance coverage in the partcular circumstances.</w:t>
      </w:r>
    </w:p>
    <w:p>
      <w:pPr>
        <w:spacing w:after="0" w:line="85" w:lineRule="exact"/>
        <w:rPr>
          <w:sz w:val="20"/>
          <w:szCs w:val="20"/>
          <w:color w:val="auto"/>
        </w:rPr>
      </w:pPr>
    </w:p>
    <w:p>
      <w:pPr>
        <w:jc w:val="both"/>
        <w:ind w:right="160" w:firstLine="509"/>
        <w:spacing w:after="0" w:line="235" w:lineRule="auto"/>
        <w:rPr>
          <w:sz w:val="20"/>
          <w:szCs w:val="20"/>
          <w:color w:val="auto"/>
        </w:rPr>
      </w:pPr>
      <w:r>
        <w:rPr>
          <w:rFonts w:ascii="Calibri" w:cs="Calibri" w:eastAsia="Calibri" w:hAnsi="Calibri"/>
          <w:sz w:val="18"/>
          <w:szCs w:val="18"/>
          <w:color w:val="auto"/>
        </w:rPr>
        <w:t>We have experienced recent disruptons of the type described above. For example, the severe fooding that occurred in Western Europe in July 2021 caused signifcant damage to our specialty compounds plant in Pepinster, Belgium. That disrupton resulted in a near-term reducton in earnings from lower volumes and certain increases in our operatng costs.</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Financial and Other Risks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Negatve or uncertain worldwide or regional economic conditons or trade relatons, as well as regional conficts, may adversely impact our business.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operatons and performance are afected by worldwide and regional economic conditons. Uncertainty or a deterioraton in the economic conditons afectng the businesses to which, or geographic areas in which, we sell products could reduce demand for our products and infatonary pressures may increase our costs. We may also experience pricing pressure on products and services, or be unsuccessful in passing along to our customers an increase in our raw materials costs or energy prices, which could decrease our revenues and have an adverse efect on our fnancial conditon and cash fows. In additon, during periods of economic uncertainty, our customers may temporarily pursue inventory reducton (“destocking”) measures that exceed declines in the actual underlying demand. Given our positon in the value chains for our principal products, we typically experience greater destocking impacts in our results of operatons early in a recessionary cycle.</w:t>
      </w:r>
    </w:p>
    <w:p>
      <w:pPr>
        <w:spacing w:after="0" w:line="87" w:lineRule="exact"/>
        <w:rPr>
          <w:sz w:val="20"/>
          <w:szCs w:val="20"/>
          <w:color w:val="auto"/>
        </w:rPr>
      </w:pPr>
    </w:p>
    <w:p>
      <w:pPr>
        <w:jc w:val="both"/>
        <w:ind w:right="160" w:firstLine="509"/>
        <w:spacing w:after="0" w:line="235" w:lineRule="auto"/>
        <w:rPr>
          <w:sz w:val="20"/>
          <w:szCs w:val="20"/>
          <w:color w:val="auto"/>
        </w:rPr>
      </w:pPr>
      <w:r>
        <w:rPr>
          <w:rFonts w:ascii="Calibri" w:cs="Calibri" w:eastAsia="Calibri" w:hAnsi="Calibri"/>
          <w:sz w:val="18"/>
          <w:szCs w:val="18"/>
          <w:color w:val="auto"/>
        </w:rPr>
        <w:t>Regional conficts may also adversely impact our business. While we do not have manufacturing operatons in Russia or Ukraine, and we do not have material sales in Ukraine and have stopped sales into Russia, Russia’s contnuing invasion of Ukraine is negatvely impactng economic conditons in Europe. This could reduce demand for our products in our EMEA region, and negatvely impact our and our customers’ ability to operate plants in Europe, and harm our suppliers and otherwise increase our operatng costs.</w:t>
      </w:r>
    </w:p>
    <w:p>
      <w:pPr>
        <w:spacing w:after="0" w:line="84"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In additon, changes in, or tensions relatng to, U.S. trade relatons with countries where we do business may adversely impact our business. For example, tensions in the U.S.-China trade relatonship have led to an increased risk of sanctons being imposed against our suppliers and customers in China which, if imposed, could restrict our ability to do business with such companies. In additon, we may encounter unexpected operatng difcultes in China, more restrictve investment opportunites in China, greater difculty transferring funds, more restrictve travel in and out of China, or negatve currency impacts. Further, the cost of our capital projects may be higher than antcipated because of trade tarifs. In additon, escalatng tensions in the U.S.-China trade relatonship and/or restrictve policies by either country could require us to duplicate the technology resources and capabilites we have in China, partcularly those related to our batery materials product line, in a geography outside China, thereby increasing our costs.</w:t>
      </w:r>
    </w:p>
    <w:p>
      <w:pPr>
        <w:spacing w:after="0" w:line="8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Litgaton or legal proceedings could expose us to signifcant liabilites and thus negatvely afect our fnancial results.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As more fully described in Note S in Item 8 below under the heading “Contngencies”, we are a party to or the subject of lawsuits, claims, and proceedings, including, but not limited to, those involving environmental, and health and safety maters as well as product liability and personal injury claims relatng to asbestosis, silicosis, and coal worker’s pneumoconiosis. We are also a potentally responsible party in various environmental proceedings and remediaton maters wherein substantal amounts are at issue. Adverse rulings, judgments or setlements in pending or future litgaton (including liabilites associated with respirator claims) or in connecton with environmental remediaton actvites could adversely afect our fnancial results or cause our results to difer materially from those expressed or forecasted in any forward-looking statements.</w:t>
      </w:r>
    </w:p>
    <w:p>
      <w:pPr>
        <w:spacing w:after="0" w:line="216"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0" w:name="page21"/>
    <w:bookmarkEnd w:id="20"/>
    <w:p>
      <w:pPr>
        <w:ind w:right="240"/>
        <w:spacing w:after="0" w:line="235" w:lineRule="auto"/>
        <w:rPr>
          <w:sz w:val="20"/>
          <w:szCs w:val="20"/>
          <w:color w:val="auto"/>
        </w:rPr>
      </w:pPr>
      <w:r>
        <w:rPr>
          <w:rFonts w:ascii="Calibri" w:cs="Calibri" w:eastAsia="Calibri" w:hAnsi="Calibri"/>
          <w:sz w:val="18"/>
          <w:szCs w:val="18"/>
          <w:b w:val="1"/>
          <w:bCs w:val="1"/>
          <w:color w:val="auto"/>
        </w:rPr>
        <w:t>Our tax rate and other tax obligatons are dependent upon a number of factors, a change in any of which could impact our future tax rates and fnancial results.</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future tax rates may be adversely afected by a number of factors, including: changes in the jurisdictons in which our profts are determined to be earned and taxed; changes in the estmated realizaton of our net deferred tax assets; the repatriaton of non-U.S. earnings for which we have not previously provided for non-U.S. withholding taxes; adjustments to estmated taxes upon fnalizaton of various tax returns; increases in expenses that are not deductble for tax purposes; changes in available tax credits; the resoluton of issues arising from tax audits with various tax authorites; and changes in tax laws or the interpretaton of such tax laws. In additon, losses for which no tax benefts can be recorded could materially impact our tax rate and its volatlity from one quarter to another.</w:t>
      </w:r>
    </w:p>
    <w:p>
      <w:pPr>
        <w:spacing w:after="0" w:line="8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Fluctuatons in foreign currency exchange and interest rates afect our fnancial results.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earn revenues, pay expenses, own assets and incur liabilites in countries using currencies other than the U.S. dollar. In fscal 2023, we derived a majority of our revenues from sales outside the U.S. Because our consolidated fnancial statements are presented in U.S. dollars, we must translate revenues and expenses, as well as assets and liabilites, into U.S. dollars at exchange rates in efect during or at the end of each reportng period. Therefore, increases or decreases in the value of the U.S. dollar against other currencies in countries where we operate will afect our results of operatons and the value of balance sheet items denominated in foreign currencies. For example, in fscal 2023, we recorded foreign exchange losses related to the remeasurement of our net monetary assets denominated in Argentne pesos, as the ofcial Argentne exchange rate weakened compared to the U.S. dollar throughout the year. In additon, we may have foreign currency losses from government-controlled currency devaluatons, such as the foreign currency losses we recorded in fscal 2023 related to the impact of the sharp devaluaton of the Argentne peso that was guided by the Argentne central bank. Due to the geographic diversity of our operatons, weaknesses in some currencies might be ofset by strengths in others over tme. In additon, we are exposed to adverse changes in interest rates. We use a combinaton of commercial paper and borrowings under our Credit Agreements to meet our short-term cash needs, with borrowings intra-quarter that may be higher than at quarter-end. As this debt is at variable interest rates, the higher interest rate environment as compared to recent years increases our borrowing costs. We manage both these risks through normal operatng and fnancing actvites and, when deemed appropriate, through the use of derivatve instruments as well as foreign currency debt. We cannot be certain, however, that we will be successful in reducing the risks inherent in exposures to foreign currency and interest rate fuctuatons.</w:t>
      </w:r>
    </w:p>
    <w:p>
      <w:pPr>
        <w:spacing w:after="0" w:line="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212529"/>
        </w:rPr>
        <w:t>Any future outbreak of a widespread health epidemic could materially and adversely impact our business in the future.</w:t>
      </w:r>
    </w:p>
    <w:p>
      <w:pPr>
        <w:spacing w:after="0" w:line="82" w:lineRule="exact"/>
        <w:rPr>
          <w:sz w:val="20"/>
          <w:szCs w:val="20"/>
          <w:color w:val="auto"/>
        </w:rPr>
      </w:pPr>
    </w:p>
    <w:p>
      <w:pPr>
        <w:ind w:right="100" w:firstLine="499"/>
        <w:spacing w:after="0" w:line="235" w:lineRule="auto"/>
        <w:rPr>
          <w:sz w:val="20"/>
          <w:szCs w:val="20"/>
          <w:color w:val="auto"/>
        </w:rPr>
      </w:pPr>
      <w:r>
        <w:rPr>
          <w:rFonts w:ascii="Calibri" w:cs="Calibri" w:eastAsia="Calibri" w:hAnsi="Calibri"/>
          <w:sz w:val="18"/>
          <w:szCs w:val="18"/>
          <w:color w:val="auto"/>
        </w:rPr>
        <w:t>Our global operatons expose us to risks associated with public health crises and outbreaks of epidemics, pandemics, or contagious diseases, such as the outbreak of a novel strain of coronavirus beginning in December 2019 (“COVID-19”). A global health crisis could have a serious adverse impact on the economy and on our business, results of operatons and cash fows as the COVID-19 pandemic and associated containment eforts did in fscal 2020. Specifcally, a pandemic or future global health crisis may disrupt operatons at our customers and reduce demand for our products, require or cause us to cease operatons or idle producton lines at our facilites, could materially afect our ability to adequately staf and maintain our operatons, including in the event government authorites impose mandatory closures, such as those imposed in China as part of that country’s “Zero COVID” policy, work-from-home orders and social distancing protocols, and seek voluntary facility closures and impose other restrictons to mitgate the further spread of disease. A global health crisis could also disrupt our supply chain and materially and adversely impact our ability to secure supplies for our facilites and to provide personal protectve equipment for our employees, which could materially and adversely afect our operatons. For example, the COVID-19 pandemic has also contributed to increased costs and decreased availability of labor and materials for constructon projects, and these factors have increased the costs of our capital improvement projects and delayed our completon of such projects. Factors that will infuence the impact on our business and operatons include the duraton and extent of the pandemic, the extent of imposed or recommended containment and mitgaton measures and their impact on our operatons and the operatons of our customers, and the general economic consequences of the pandemic.</w:t>
      </w:r>
    </w:p>
    <w:p>
      <w:pPr>
        <w:spacing w:after="0" w:line="92"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b w:val="1"/>
          <w:bCs w:val="1"/>
          <w:color w:val="auto"/>
        </w:rPr>
        <w:t>We have entered into a number of derivatve contracts with fnancial counterpartes. The efectveness of these contracts is dependent on the ability of these fnancial counterpartes to perform their obligatons and their nonperformance could harm our fnancial conditon.</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entered into forward foreign currency contracts and cross-currency swaps as part of our fnancial risk management strategy. The efectveness of our risk management program using these instruments is dependent, in part, upon the counterpartes to these contracts honoring their fnancial obligatons. If any of our counterpartes are unable to perform their obligatons in the future, we could be exposed to increased earnings and cash fow volatlity due to an instrument’s failure to hedge or adequately address a fnancial risk.</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1" w:name="page22"/>
    <w:bookmarkEnd w:id="21"/>
    <w:p>
      <w:pPr>
        <w:spacing w:after="0"/>
        <w:rPr>
          <w:sz w:val="20"/>
          <w:szCs w:val="20"/>
          <w:color w:val="auto"/>
        </w:rPr>
      </w:pPr>
      <w:r>
        <w:rPr>
          <w:rFonts w:ascii="Calibri" w:cs="Calibri" w:eastAsia="Calibri" w:hAnsi="Calibri"/>
          <w:sz w:val="18"/>
          <w:szCs w:val="18"/>
          <w:b w:val="1"/>
          <w:bCs w:val="1"/>
          <w:i w:val="1"/>
          <w:iCs w:val="1"/>
          <w:color w:val="auto"/>
        </w:rPr>
        <w:t>Technology Risks</w:t>
      </w:r>
    </w:p>
    <w:p>
      <w:pPr>
        <w:spacing w:after="0" w:line="82"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b w:val="1"/>
          <w:bCs w:val="1"/>
          <w:color w:val="auto"/>
        </w:rPr>
        <w:t>We may not be successful achieving our growth expectatons from new products, new applicatons and technology developments, and money we spend on these eforts may not result in an increase in revenues or profts commensurate with our investment.</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may not be successful achieving our growth expectatons from developing new products or product applicatons. Moreover, we cannot be certain that the costs we incur investng in new product and technology development will result in an increase in revenues or profts commensurate with our investment or within the tme period we expect. For example, our investments to further develop our E2C® solutons, inkjet dispersions and inks, and batery materials applicatons may not result in the earnings growth expectatons on which these investments are being made, or we may not realize such growth in line with our expectatons when we made such investments. Similarly, we cannot be certain that the investments we are making in our EVOLVE® Sustainable Solutons technology platorm to develop products for our customers using sustainable reinforcing carbons from renewable or recycled materials or using processes that result in lower GHG emissions will be successful, including within the tme period our customers expect. In additon, the tmely commercializaton of products that we are developing may be disrupted or delayed by manufacturing or other technical difcultes, market acceptance or insufcient market size to support a new product, compettors’ new products, and difcultes in moving from the experimental stage to the producton stage. These disruptons or delays could afect our future business results.</w:t>
      </w:r>
    </w:p>
    <w:p>
      <w:pPr>
        <w:spacing w:after="0" w:line="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The contnued protecton of our patents, trade secrets and other proprietary intellectual property rights is important to our success.</w:t>
      </w:r>
    </w:p>
    <w:p>
      <w:pPr>
        <w:spacing w:after="0" w:line="82"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Our patents, trade secrets and other intellectual property rights are important to our success and compettve positon. We own various patents and other intellectual property rights in the U.S. and other countries covering many of our products, as well as processes and product uses. Where we believe patent protecton is not appropriate or obtainable, we rely on trade secret laws and practces to protect our proprietary technology and processes, such as physical security, limited disseminaton and access and confdentality agreements with our employees, customers, consultants, business partners, potental licensees and others to protect our trade secrets and other proprietary informaton. However, trade secrets can be difcult to protect and the protectve measures we have put in place may not prevent disclosure or unauthorized use of our proprietary informaton or provide an adequate remedy in the event of misappropriaton or other violatons of our proprietary rights. In additon, we are a licensee of various patents and intellectual property rights belonging to others in the U.S. and other countries. Because the laws and enforcement mechanisms of some countries may not allow us to protect our proprietary rights to the same extent as we are able to do in the U.S., the strength of our intellectual property rights will vary from country to country.</w:t>
      </w:r>
    </w:p>
    <w:p>
      <w:pPr>
        <w:spacing w:after="0" w:line="80"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Irrespectve of our proprietary intellectual property rights, we may be subject to claims that our products, processes or product uses infringe the intellectual property rights of others. These claims, even if they are without merit, could be expensive and tme consuming to defend and if we were to lose such claims, we could be enjoined from selling our products or using our processes and/or be subject to damages, or be required to enter into licensing agreements requiring royalty payments and/or use restrictons. Licensing agreements may not be available to us, or if available, may not be available on acceptable terms.</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Portolio Management, Capacity Expansion and Integraton Risks</w:t>
      </w:r>
    </w:p>
    <w:p>
      <w:pPr>
        <w:spacing w:after="0" w:line="82"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b w:val="1"/>
          <w:bCs w:val="1"/>
          <w:color w:val="auto"/>
        </w:rPr>
        <w:t>Any failure to realize benefts from acquisitons, alliances or joint ventures or to achieve our portolio management objectves could adversely afect future fnancial results.</w:t>
      </w:r>
    </w:p>
    <w:p>
      <w:pPr>
        <w:spacing w:after="0" w:line="83"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In achieving our strategic plan objectves, we may pursue acquisitons, alliances or joint ventures intended to complement or expand our existng businesses globally or add product technology, or both. The success of acquisitons of businesses, new technologies and products, or arrangements with third partes is not always predictable and we may not be successful in realizing our objectves as antcipated. We may not be able to integrate any acquired businesses successfully into our existng businesses, make such businesses proftable, or realize antcipated cost savings or synergies, if any, from these acquisitons, which could adversely afect our business results. In additon to strategic acquisitons, we evaluate our portolio in light of our objectves and alignment with our growth strategy. In implementng this strategy, we may not be successful in separatng non-strategic assets. The gains or losses on the divestture of, or lost operatng income from, such assets may afect our earnings. Moreover, we have in the past, and may again in the future, incur asset impairment charges related to acquisitons or divesttures that reduce earnings. As described in Note D in Item 8 below under the heading “Divesttures”, we recorded an asset impairment charge and a loss on sale of business in fscal 2022 in connecton with the dispositon of our Purifcaton Solutons business.</w:t>
      </w:r>
    </w:p>
    <w:p>
      <w:pPr>
        <w:spacing w:after="0" w:line="21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sectPr>
      </w:pPr>
    </w:p>
    <w:bookmarkStart w:id="22" w:name="page23"/>
    <w:bookmarkEnd w:id="22"/>
    <w:p>
      <w:pPr>
        <w:spacing w:after="0"/>
        <w:rPr>
          <w:sz w:val="20"/>
          <w:szCs w:val="20"/>
          <w:color w:val="auto"/>
        </w:rPr>
      </w:pPr>
      <w:r>
        <w:rPr>
          <w:rFonts w:ascii="Calibri" w:cs="Calibri" w:eastAsia="Calibri" w:hAnsi="Calibri"/>
          <w:sz w:val="18"/>
          <w:szCs w:val="18"/>
          <w:b w:val="1"/>
          <w:bCs w:val="1"/>
          <w:color w:val="auto"/>
        </w:rPr>
        <w:t>Plant capacity expansions and site development projects may impact existng plant operatons, be delayed and/or not achieve the expected benefts.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ability to complete capacity expansions and site development projects, including capacity conversions from reinforcing carbons to specialty carbons and other site development projects, as planned may be delayed or interrupted by the need to obtain environmental and other regulatory approvals, unexpected cost increases, availability of labor and materials, unforeseen hazards such as weather conditons, and other risks customarily associated with constructon projects. These risks include the risk that existng plant operatons are disrupted as well as the risk associated with delays in the start-up of operatons using new technologies, which disruptons could make it difcult for us to meet our customer needs. Moreover, in the case of capacity expansions, the cost of these actvites could have a negatve impact on the fnancial performance of the relevant business untl capacity utlizaton at the partcular facility is sufcient to absorb the incremental costs associated with an expansion. In additon, our ability to expand capacity in emerging regions depends in part on economic and politcal conditons in these regions and, in some cases, on our ability to establish operatons, construct additonal manufacturing capacity or form strategic business alliances.</w:t>
      </w:r>
    </w:p>
    <w:p>
      <w:pPr>
        <w:spacing w:after="0" w:line="8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1B. </w:t>
      </w:r>
      <w:r>
        <w:rPr>
          <w:rFonts w:ascii="Calibri" w:cs="Calibri" w:eastAsia="Calibri" w:hAnsi="Calibri"/>
          <w:sz w:val="18"/>
          <w:szCs w:val="18"/>
          <w:b w:val="1"/>
          <w:bCs w:val="1"/>
          <w:i w:val="1"/>
          <w:iCs w:val="1"/>
          <w:color w:val="auto"/>
        </w:rPr>
        <w:t>Unresolved Staf Comments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2. </w:t>
      </w:r>
      <w:r>
        <w:rPr>
          <w:rFonts w:ascii="Calibri" w:cs="Calibri" w:eastAsia="Calibri" w:hAnsi="Calibri"/>
          <w:sz w:val="18"/>
          <w:szCs w:val="18"/>
          <w:b w:val="1"/>
          <w:bCs w:val="1"/>
          <w:i w:val="1"/>
          <w:iCs w:val="1"/>
          <w:color w:val="auto"/>
        </w:rPr>
        <w:t>Propertes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Cabot’s corporate headquarters are in leased ofce space in Boston, Massachusets. We also own or lease ofce, manufacturing, storage, distributon, marketng and research and development facilites in the U.S. and in foreign countries. The locatons of our principal manufacturing and/or administratve facilites are set forth in the table below. Unless otherwise indicated, all the propertes are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alibri" w:cs="Calibri" w:eastAsia="Calibri" w:hAnsi="Calibri"/>
                <w:sz w:val="14"/>
                <w:szCs w:val="14"/>
                <w:b w:val="1"/>
                <w:bCs w:val="1"/>
                <w:color w:val="auto"/>
              </w:rPr>
              <w:t>Reinforcement</w:t>
            </w:r>
          </w:p>
        </w:tc>
        <w:tc>
          <w:tcPr>
            <w:tcW w:w="1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Calibri" w:cs="Calibri" w:eastAsia="Calibri" w:hAnsi="Calibri"/>
                <w:sz w:val="14"/>
                <w:szCs w:val="14"/>
                <w:b w:val="1"/>
                <w:bCs w:val="1"/>
                <w:color w:val="auto"/>
              </w:rPr>
              <w:t>Performance</w:t>
            </w:r>
          </w:p>
        </w:tc>
      </w:tr>
      <w:tr>
        <w:trPr>
          <w:trHeight w:val="175"/>
        </w:trPr>
        <w:tc>
          <w:tcPr>
            <w:tcW w:w="4460" w:type="dxa"/>
            <w:vAlign w:val="bottom"/>
          </w:tcPr>
          <w:p>
            <w:pPr>
              <w:ind w:left="20"/>
              <w:spacing w:after="0"/>
              <w:rPr>
                <w:sz w:val="20"/>
                <w:szCs w:val="20"/>
                <w:color w:val="auto"/>
              </w:rPr>
            </w:pPr>
            <w:r>
              <w:rPr>
                <w:rFonts w:ascii="Calibri" w:cs="Calibri" w:eastAsia="Calibri" w:hAnsi="Calibri"/>
                <w:sz w:val="14"/>
                <w:szCs w:val="14"/>
                <w:b w:val="1"/>
                <w:bCs w:val="1"/>
                <w:color w:val="auto"/>
              </w:rPr>
              <w:t>Locaton by Region</w:t>
            </w:r>
          </w:p>
        </w:tc>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Calibri" w:cs="Calibri" w:eastAsia="Calibri" w:hAnsi="Calibri"/>
                <w:sz w:val="14"/>
                <w:szCs w:val="14"/>
                <w:b w:val="1"/>
                <w:bCs w:val="1"/>
                <w:color w:val="auto"/>
              </w:rPr>
              <w:t>Materials</w:t>
            </w:r>
          </w:p>
        </w:tc>
        <w:tc>
          <w:tcPr>
            <w:tcW w:w="18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Calibri" w:cs="Calibri" w:eastAsia="Calibri" w:hAnsi="Calibri"/>
                <w:sz w:val="14"/>
                <w:szCs w:val="14"/>
                <w:b w:val="1"/>
                <w:bCs w:val="1"/>
                <w:color w:val="auto"/>
              </w:rPr>
              <w:t>Chemicals</w:t>
            </w:r>
          </w:p>
        </w:tc>
      </w:tr>
      <w:tr>
        <w:trPr>
          <w:trHeight w:val="33"/>
        </w:trPr>
        <w:tc>
          <w:tcPr>
            <w:tcW w:w="44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44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Americas Region</w:t>
            </w:r>
          </w:p>
        </w:tc>
        <w:tc>
          <w:tcPr>
            <w:tcW w:w="30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CFF0FC"/>
            </w:tcBorders>
            <w:shd w:val="clear" w:color="auto" w:fill="CFF0FC"/>
          </w:tcPr>
          <w:p>
            <w:pPr>
              <w:spacing w:after="0"/>
              <w:rPr>
                <w:sz w:val="18"/>
                <w:szCs w:val="18"/>
                <w:color w:val="auto"/>
              </w:rPr>
            </w:pP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Alphareta, Georgia*</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8"/>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44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Tuscola, Illinois</w:t>
            </w:r>
          </w:p>
        </w:tc>
        <w:tc>
          <w:tcPr>
            <w:tcW w:w="30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Carrollton, Kentucky**</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8"/>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44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Franklin, Louisiana</w:t>
            </w:r>
          </w:p>
        </w:tc>
        <w:tc>
          <w:tcPr>
            <w:tcW w:w="30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Ville Plate, Louisiana</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8"/>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44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Billerica, Massachusets</w:t>
            </w:r>
          </w:p>
        </w:tc>
        <w:tc>
          <w:tcPr>
            <w:tcW w:w="30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Haverhill, Massachusets</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8"/>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44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Midland, Michigan</w:t>
            </w:r>
          </w:p>
        </w:tc>
        <w:tc>
          <w:tcPr>
            <w:tcW w:w="30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Pampa, Texas</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8"/>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44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Campana, Argentna</w:t>
            </w:r>
          </w:p>
        </w:tc>
        <w:tc>
          <w:tcPr>
            <w:tcW w:w="30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Maua, Brazil</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8"/>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4460" w:type="dxa"/>
            <w:vAlign w:val="bottom"/>
            <w:shd w:val="clear" w:color="auto" w:fill="CFF0FC"/>
          </w:tcPr>
          <w:p>
            <w:pPr>
              <w:ind w:left="200"/>
              <w:spacing w:after="0" w:line="243" w:lineRule="exact"/>
              <w:rPr>
                <w:sz w:val="20"/>
                <w:szCs w:val="20"/>
                <w:color w:val="auto"/>
              </w:rPr>
            </w:pPr>
            <w:r>
              <w:rPr>
                <w:rFonts w:ascii="Calibri" w:cs="Calibri" w:eastAsia="Calibri" w:hAnsi="Calibri"/>
                <w:sz w:val="18"/>
                <w:szCs w:val="18"/>
                <w:color w:val="auto"/>
              </w:rPr>
              <w:t>Sao Paulo, Brazil*</w:t>
            </w:r>
            <w:r>
              <w:rPr>
                <w:rFonts w:ascii="Calibri" w:cs="Calibri" w:eastAsia="Calibri" w:hAnsi="Calibri"/>
                <w:sz w:val="24"/>
                <w:szCs w:val="24"/>
                <w:color w:val="auto"/>
                <w:vertAlign w:val="superscript"/>
              </w:rPr>
              <w:t>(1)</w:t>
            </w:r>
          </w:p>
        </w:tc>
        <w:tc>
          <w:tcPr>
            <w:tcW w:w="30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Saint-Jean-sur-Richelieu, Québec, Canada</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8"/>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44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Sarnia, Ontario, Canada</w:t>
            </w:r>
          </w:p>
        </w:tc>
        <w:tc>
          <w:tcPr>
            <w:tcW w:w="30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Cartagena, Colombia</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8"/>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44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Altamira, Mexico</w:t>
            </w:r>
          </w:p>
        </w:tc>
        <w:tc>
          <w:tcPr>
            <w:tcW w:w="30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r>
      <w:tr>
        <w:trPr>
          <w:trHeight w:val="215"/>
        </w:trPr>
        <w:tc>
          <w:tcPr>
            <w:tcW w:w="44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Europe, Middle East and Africa Region</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8"/>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44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Loncin, Belgium</w:t>
            </w:r>
          </w:p>
        </w:tc>
        <w:tc>
          <w:tcPr>
            <w:tcW w:w="30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Pepinster, Belgium</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8"/>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44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Valasske Mezirici (Valmez), Czech Republic**</w:t>
            </w:r>
          </w:p>
        </w:tc>
        <w:tc>
          <w:tcPr>
            <w:tcW w:w="30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Port Jerome, France**</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8"/>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44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Frankfurt, Germany*</w:t>
            </w:r>
          </w:p>
        </w:tc>
        <w:tc>
          <w:tcPr>
            <w:tcW w:w="30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Münster, Germany*</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8"/>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44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Rheinfelden, Germany</w:t>
            </w:r>
          </w:p>
        </w:tc>
        <w:tc>
          <w:tcPr>
            <w:tcW w:w="30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Ravenna, Italy</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8"/>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4460" w:type="dxa"/>
            <w:vAlign w:val="bottom"/>
            <w:shd w:val="clear" w:color="auto" w:fill="CFF0FC"/>
          </w:tcPr>
          <w:p>
            <w:pPr>
              <w:ind w:left="200"/>
              <w:spacing w:after="0" w:line="243" w:lineRule="exact"/>
              <w:rPr>
                <w:sz w:val="20"/>
                <w:szCs w:val="20"/>
                <w:color w:val="auto"/>
              </w:rPr>
            </w:pPr>
            <w:r>
              <w:rPr>
                <w:rFonts w:ascii="Calibri" w:cs="Calibri" w:eastAsia="Calibri" w:hAnsi="Calibri"/>
                <w:sz w:val="18"/>
                <w:szCs w:val="18"/>
                <w:color w:val="auto"/>
              </w:rPr>
              <w:t>Riga, Latvia*</w:t>
            </w:r>
            <w:r>
              <w:rPr>
                <w:rFonts w:ascii="Calibri" w:cs="Calibri" w:eastAsia="Calibri" w:hAnsi="Calibri"/>
                <w:sz w:val="24"/>
                <w:szCs w:val="24"/>
                <w:color w:val="auto"/>
                <w:vertAlign w:val="superscript"/>
              </w:rPr>
              <w:t>(1)</w:t>
            </w:r>
          </w:p>
        </w:tc>
        <w:tc>
          <w:tcPr>
            <w:tcW w:w="30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Schafausen, Switzerland*</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8"/>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44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Botlek, Netherlands**</w:t>
            </w:r>
          </w:p>
        </w:tc>
        <w:tc>
          <w:tcPr>
            <w:tcW w:w="30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5"/>
        </w:trPr>
        <w:tc>
          <w:tcPr>
            <w:tcW w:w="4460" w:type="dxa"/>
            <w:vAlign w:val="bottom"/>
          </w:tcPr>
          <w:p>
            <w:pPr>
              <w:ind w:left="200"/>
              <w:spacing w:after="0" w:line="215" w:lineRule="exact"/>
              <w:rPr>
                <w:sz w:val="20"/>
                <w:szCs w:val="20"/>
                <w:color w:val="auto"/>
              </w:rPr>
            </w:pPr>
            <w:r>
              <w:rPr>
                <w:rFonts w:ascii="Calibri" w:cs="Calibri" w:eastAsia="Calibri" w:hAnsi="Calibri"/>
                <w:sz w:val="18"/>
                <w:szCs w:val="18"/>
                <w:color w:val="auto"/>
              </w:rPr>
              <w:t>Dubai, United Arab Emirates*</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8"/>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44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Barry, United Kingdom (Wales)**</w:t>
            </w:r>
          </w:p>
        </w:tc>
        <w:tc>
          <w:tcPr>
            <w:tcW w:w="30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624"/>
        </w:trPr>
        <w:tc>
          <w:tcPr>
            <w:tcW w:w="4460" w:type="dxa"/>
            <w:vAlign w:val="bottom"/>
          </w:tcPr>
          <w:p>
            <w:pPr>
              <w:spacing w:after="0"/>
              <w:rPr>
                <w:sz w:val="24"/>
                <w:szCs w:val="24"/>
                <w:color w:val="auto"/>
              </w:rPr>
            </w:pPr>
          </w:p>
        </w:tc>
        <w:tc>
          <w:tcPr>
            <w:tcW w:w="3080" w:type="dxa"/>
            <w:vAlign w:val="bottom"/>
          </w:tcPr>
          <w:p>
            <w:pPr>
              <w:jc w:val="right"/>
              <w:ind w:right="1730"/>
              <w:spacing w:after="0"/>
              <w:rPr>
                <w:sz w:val="20"/>
                <w:szCs w:val="20"/>
                <w:color w:val="auto"/>
              </w:rPr>
            </w:pPr>
            <w:r>
              <w:rPr>
                <w:rFonts w:ascii="Calibri" w:cs="Calibri" w:eastAsia="Calibri" w:hAnsi="Calibri"/>
                <w:sz w:val="18"/>
                <w:szCs w:val="18"/>
                <w:color w:val="auto"/>
              </w:rPr>
              <w:t>23</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39"/>
        </w:trPr>
        <w:tc>
          <w:tcPr>
            <w:tcW w:w="446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alibri" w:cs="Calibri" w:eastAsia="Calibri" w:hAnsi="Calibri"/>
                <w:sz w:val="14"/>
                <w:szCs w:val="14"/>
                <w:b w:val="1"/>
                <w:bCs w:val="1"/>
                <w:color w:val="auto"/>
              </w:rPr>
              <w:t>Reinforcement</w:t>
            </w:r>
          </w:p>
        </w:tc>
        <w:tc>
          <w:tcPr>
            <w:tcW w:w="1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Calibri" w:cs="Calibri" w:eastAsia="Calibri" w:hAnsi="Calibri"/>
                <w:sz w:val="14"/>
                <w:szCs w:val="14"/>
                <w:b w:val="1"/>
                <w:bCs w:val="1"/>
                <w:color w:val="auto"/>
              </w:rPr>
              <w:t>Performance</w:t>
            </w:r>
          </w:p>
        </w:tc>
      </w:tr>
      <w:tr>
        <w:trPr>
          <w:trHeight w:val="176"/>
        </w:trPr>
        <w:tc>
          <w:tcPr>
            <w:tcW w:w="7540" w:type="dxa"/>
            <w:vAlign w:val="bottom"/>
          </w:tcPr>
          <w:p>
            <w:pPr>
              <w:ind w:left="20"/>
              <w:spacing w:after="0"/>
              <w:rPr>
                <w:sz w:val="20"/>
                <w:szCs w:val="20"/>
                <w:color w:val="auto"/>
              </w:rPr>
            </w:pPr>
            <w:r>
              <w:rPr>
                <w:rFonts w:ascii="Calibri" w:cs="Calibri" w:eastAsia="Calibri" w:hAnsi="Calibri"/>
                <w:sz w:val="14"/>
                <w:szCs w:val="14"/>
                <w:b w:val="1"/>
                <w:bCs w:val="1"/>
                <w:color w:val="auto"/>
              </w:rPr>
              <w:t>Locaton by Region</w:t>
            </w:r>
          </w:p>
        </w:tc>
        <w:tc>
          <w:tcPr>
            <w:tcW w:w="18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Calibri" w:cs="Calibri" w:eastAsia="Calibri" w:hAnsi="Calibri"/>
                <w:sz w:val="14"/>
                <w:szCs w:val="14"/>
                <w:b w:val="1"/>
                <w:bCs w:val="1"/>
                <w:color w:val="auto"/>
              </w:rPr>
              <w:t>Materials</w:t>
            </w:r>
          </w:p>
        </w:tc>
        <w:tc>
          <w:tcPr>
            <w:tcW w:w="18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Calibri" w:cs="Calibri" w:eastAsia="Calibri" w:hAnsi="Calibri"/>
                <w:sz w:val="14"/>
                <w:szCs w:val="14"/>
                <w:b w:val="1"/>
                <w:bCs w:val="1"/>
                <w:color w:val="auto"/>
              </w:rPr>
              <w:t>Chemicals</w:t>
            </w:r>
          </w:p>
        </w:tc>
      </w:tr>
      <w:tr>
        <w:trPr>
          <w:trHeight w:val="33"/>
        </w:trPr>
        <w:tc>
          <w:tcPr>
            <w:tcW w:w="7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6"/>
        </w:trPr>
        <w:tc>
          <w:tcPr>
            <w:tcW w:w="75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Asia Pacifc Region</w:t>
            </w:r>
          </w:p>
        </w:tc>
        <w:tc>
          <w:tcPr>
            <w:tcW w:w="18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CFF0FC"/>
            </w:tcBorders>
            <w:shd w:val="clear" w:color="auto" w:fill="CFF0FC"/>
          </w:tcPr>
          <w:p>
            <w:pPr>
              <w:spacing w:after="0"/>
              <w:rPr>
                <w:sz w:val="18"/>
                <w:szCs w:val="18"/>
                <w:color w:val="auto"/>
              </w:rPr>
            </w:pPr>
          </w:p>
        </w:tc>
      </w:tr>
      <w:tr>
        <w:trPr>
          <w:trHeight w:val="215"/>
        </w:trPr>
        <w:tc>
          <w:tcPr>
            <w:tcW w:w="7540" w:type="dxa"/>
            <w:vAlign w:val="bottom"/>
          </w:tcPr>
          <w:p>
            <w:pPr>
              <w:ind w:left="200"/>
              <w:spacing w:after="0" w:line="215" w:lineRule="exact"/>
              <w:rPr>
                <w:sz w:val="20"/>
                <w:szCs w:val="20"/>
                <w:color w:val="auto"/>
              </w:rPr>
            </w:pPr>
            <w:r>
              <w:rPr>
                <w:rFonts w:ascii="Calibri" w:cs="Calibri" w:eastAsia="Calibri" w:hAnsi="Calibri"/>
                <w:sz w:val="18"/>
                <w:szCs w:val="18"/>
                <w:color w:val="auto"/>
              </w:rPr>
              <w:t>Jiangsu Province, China**</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8"/>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75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Jiangxi Province, China**</w:t>
            </w: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5"/>
        </w:trPr>
        <w:tc>
          <w:tcPr>
            <w:tcW w:w="7540" w:type="dxa"/>
            <w:vAlign w:val="bottom"/>
          </w:tcPr>
          <w:p>
            <w:pPr>
              <w:ind w:left="200"/>
              <w:spacing w:after="0" w:line="215" w:lineRule="exact"/>
              <w:rPr>
                <w:sz w:val="20"/>
                <w:szCs w:val="20"/>
                <w:color w:val="auto"/>
              </w:rPr>
            </w:pPr>
            <w:r>
              <w:rPr>
                <w:rFonts w:ascii="Calibri" w:cs="Calibri" w:eastAsia="Calibri" w:hAnsi="Calibri"/>
                <w:sz w:val="18"/>
                <w:szCs w:val="18"/>
                <w:color w:val="auto"/>
              </w:rPr>
              <w:t>Tianjin, China** (2 plants)</w:t>
            </w: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8"/>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540" w:type="dxa"/>
            <w:vAlign w:val="bottom"/>
            <w:shd w:val="clear" w:color="auto" w:fill="CFF0FC"/>
          </w:tcPr>
          <w:p>
            <w:pPr>
              <w:ind w:left="200"/>
              <w:spacing w:after="0" w:line="243" w:lineRule="exact"/>
              <w:rPr>
                <w:sz w:val="20"/>
                <w:szCs w:val="20"/>
                <w:color w:val="auto"/>
              </w:rPr>
            </w:pPr>
            <w:r>
              <w:rPr>
                <w:rFonts w:ascii="Calibri" w:cs="Calibri" w:eastAsia="Calibri" w:hAnsi="Calibri"/>
                <w:sz w:val="18"/>
                <w:szCs w:val="18"/>
                <w:color w:val="auto"/>
              </w:rPr>
              <w:t>Shanghai, China*</w:t>
            </w:r>
            <w:r>
              <w:rPr>
                <w:rFonts w:ascii="Calibri" w:cs="Calibri" w:eastAsia="Calibri" w:hAnsi="Calibri"/>
                <w:sz w:val="24"/>
                <w:szCs w:val="24"/>
                <w:color w:val="auto"/>
                <w:vertAlign w:val="superscript"/>
              </w:rPr>
              <w:t>(1)</w:t>
            </w: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5"/>
        </w:trPr>
        <w:tc>
          <w:tcPr>
            <w:tcW w:w="7540" w:type="dxa"/>
            <w:vAlign w:val="bottom"/>
          </w:tcPr>
          <w:p>
            <w:pPr>
              <w:ind w:left="200"/>
              <w:spacing w:after="0" w:line="215" w:lineRule="exact"/>
              <w:rPr>
                <w:sz w:val="20"/>
                <w:szCs w:val="20"/>
                <w:color w:val="auto"/>
              </w:rPr>
            </w:pPr>
            <w:r>
              <w:rPr>
                <w:rFonts w:ascii="Calibri" w:cs="Calibri" w:eastAsia="Calibri" w:hAnsi="Calibri"/>
                <w:sz w:val="18"/>
                <w:szCs w:val="18"/>
                <w:color w:val="auto"/>
              </w:rPr>
              <w:t>Shanghai, China** (plant)</w:t>
            </w: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8"/>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75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Xingtai City, China**</w:t>
            </w: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r>
      <w:tr>
        <w:trPr>
          <w:trHeight w:val="215"/>
        </w:trPr>
        <w:tc>
          <w:tcPr>
            <w:tcW w:w="7540" w:type="dxa"/>
            <w:vAlign w:val="bottom"/>
          </w:tcPr>
          <w:p>
            <w:pPr>
              <w:ind w:left="200"/>
              <w:spacing w:after="0" w:line="215" w:lineRule="exact"/>
              <w:rPr>
                <w:sz w:val="20"/>
                <w:szCs w:val="20"/>
                <w:color w:val="auto"/>
              </w:rPr>
            </w:pPr>
            <w:r>
              <w:rPr>
                <w:rFonts w:ascii="Calibri" w:cs="Calibri" w:eastAsia="Calibri" w:hAnsi="Calibri"/>
                <w:sz w:val="18"/>
                <w:szCs w:val="18"/>
                <w:color w:val="auto"/>
              </w:rPr>
              <w:t>Wuhai, China**</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8"/>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75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Shenzhen, China**</w:t>
            </w: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5"/>
        </w:trPr>
        <w:tc>
          <w:tcPr>
            <w:tcW w:w="7540" w:type="dxa"/>
            <w:vAlign w:val="bottom"/>
          </w:tcPr>
          <w:p>
            <w:pPr>
              <w:ind w:left="200"/>
              <w:spacing w:after="0" w:line="215" w:lineRule="exact"/>
              <w:rPr>
                <w:sz w:val="20"/>
                <w:szCs w:val="20"/>
                <w:color w:val="auto"/>
              </w:rPr>
            </w:pPr>
            <w:r>
              <w:rPr>
                <w:rFonts w:ascii="Calibri" w:cs="Calibri" w:eastAsia="Calibri" w:hAnsi="Calibri"/>
                <w:sz w:val="18"/>
                <w:szCs w:val="18"/>
                <w:color w:val="auto"/>
              </w:rPr>
              <w:t>Zhuhai, China**</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8"/>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75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Mumbai, India*</w:t>
            </w: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5"/>
        </w:trPr>
        <w:tc>
          <w:tcPr>
            <w:tcW w:w="7540" w:type="dxa"/>
            <w:vAlign w:val="bottom"/>
          </w:tcPr>
          <w:p>
            <w:pPr>
              <w:ind w:left="200"/>
              <w:spacing w:after="0" w:line="215" w:lineRule="exact"/>
              <w:rPr>
                <w:sz w:val="20"/>
                <w:szCs w:val="20"/>
                <w:color w:val="auto"/>
              </w:rPr>
            </w:pPr>
            <w:r>
              <w:rPr>
                <w:rFonts w:ascii="Calibri" w:cs="Calibri" w:eastAsia="Calibri" w:hAnsi="Calibri"/>
                <w:sz w:val="18"/>
                <w:szCs w:val="18"/>
                <w:color w:val="auto"/>
              </w:rPr>
              <w:t>Cilegon, Indonesia**</w:t>
            </w: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18"/>
                <w:szCs w:val="18"/>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8"/>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540" w:type="dxa"/>
            <w:vAlign w:val="bottom"/>
            <w:shd w:val="clear" w:color="auto" w:fill="CFF0FC"/>
          </w:tcPr>
          <w:p>
            <w:pPr>
              <w:ind w:left="200"/>
              <w:spacing w:after="0" w:line="243" w:lineRule="exact"/>
              <w:rPr>
                <w:sz w:val="20"/>
                <w:szCs w:val="20"/>
                <w:color w:val="auto"/>
              </w:rPr>
            </w:pPr>
            <w:r>
              <w:rPr>
                <w:rFonts w:ascii="Calibri" w:cs="Calibri" w:eastAsia="Calibri" w:hAnsi="Calibri"/>
                <w:sz w:val="18"/>
                <w:szCs w:val="18"/>
                <w:color w:val="auto"/>
              </w:rPr>
              <w:t>Jakarta, Indonesia*</w:t>
            </w:r>
            <w:r>
              <w:rPr>
                <w:rFonts w:ascii="Calibri" w:cs="Calibri" w:eastAsia="Calibri" w:hAnsi="Calibri"/>
                <w:sz w:val="24"/>
                <w:szCs w:val="24"/>
                <w:color w:val="auto"/>
                <w:vertAlign w:val="superscript"/>
              </w:rPr>
              <w:t>(1)</w:t>
            </w: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5"/>
        </w:trPr>
        <w:tc>
          <w:tcPr>
            <w:tcW w:w="7540" w:type="dxa"/>
            <w:vAlign w:val="bottom"/>
          </w:tcPr>
          <w:p>
            <w:pPr>
              <w:ind w:left="200"/>
              <w:spacing w:after="0" w:line="215" w:lineRule="exact"/>
              <w:rPr>
                <w:sz w:val="20"/>
                <w:szCs w:val="20"/>
                <w:color w:val="auto"/>
              </w:rPr>
            </w:pPr>
            <w:r>
              <w:rPr>
                <w:rFonts w:ascii="Calibri" w:cs="Calibri" w:eastAsia="Calibri" w:hAnsi="Calibri"/>
                <w:sz w:val="18"/>
                <w:szCs w:val="18"/>
                <w:color w:val="auto"/>
              </w:rPr>
              <w:t>Chiba, Japan</w:t>
            </w:r>
          </w:p>
        </w:tc>
        <w:tc>
          <w:tcPr>
            <w:tcW w:w="180" w:type="dxa"/>
            <w:vAlign w:val="bottom"/>
          </w:tcPr>
          <w:p>
            <w:pPr>
              <w:spacing w:after="0"/>
              <w:rPr>
                <w:sz w:val="18"/>
                <w:szCs w:val="18"/>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8"/>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3"/>
        </w:trPr>
        <w:tc>
          <w:tcPr>
            <w:tcW w:w="75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Shimonoseki, Japan**</w:t>
            </w: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r>
      <w:tr>
        <w:trPr>
          <w:trHeight w:val="243"/>
        </w:trPr>
        <w:tc>
          <w:tcPr>
            <w:tcW w:w="7540" w:type="dxa"/>
            <w:vAlign w:val="bottom"/>
          </w:tcPr>
          <w:p>
            <w:pPr>
              <w:ind w:left="200"/>
              <w:spacing w:after="0" w:line="243" w:lineRule="exact"/>
              <w:rPr>
                <w:sz w:val="20"/>
                <w:szCs w:val="20"/>
                <w:color w:val="auto"/>
              </w:rPr>
            </w:pPr>
            <w:r>
              <w:rPr>
                <w:rFonts w:ascii="Calibri" w:cs="Calibri" w:eastAsia="Calibri" w:hAnsi="Calibri"/>
                <w:sz w:val="18"/>
                <w:szCs w:val="18"/>
                <w:color w:val="auto"/>
              </w:rPr>
              <w:t>Tokyo, Japan*</w:t>
            </w:r>
            <w:r>
              <w:rPr>
                <w:rFonts w:ascii="Calibri" w:cs="Calibri" w:eastAsia="Calibri" w:hAnsi="Calibri"/>
                <w:sz w:val="24"/>
                <w:szCs w:val="24"/>
                <w:color w:val="auto"/>
                <w:vertAlign w:val="superscript"/>
              </w:rPr>
              <w:t>(1)</w:t>
            </w:r>
          </w:p>
        </w:tc>
        <w:tc>
          <w:tcPr>
            <w:tcW w:w="180" w:type="dxa"/>
            <w:vAlign w:val="bottom"/>
          </w:tcPr>
          <w:p>
            <w:pPr>
              <w:spacing w:after="0"/>
              <w:rPr>
                <w:sz w:val="21"/>
                <w:szCs w:val="21"/>
                <w:color w:val="auto"/>
              </w:rPr>
            </w:pPr>
          </w:p>
        </w:tc>
        <w:tc>
          <w:tcPr>
            <w:tcW w:w="168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tcPr>
          <w:p>
            <w:pPr>
              <w:spacing w:after="0"/>
              <w:rPr>
                <w:sz w:val="21"/>
                <w:szCs w:val="21"/>
                <w:color w:val="auto"/>
              </w:rPr>
            </w:pPr>
          </w:p>
        </w:tc>
        <w:tc>
          <w:tcPr>
            <w:tcW w:w="1660" w:type="dxa"/>
            <w:vAlign w:val="bottom"/>
          </w:tcPr>
          <w:p>
            <w:pPr>
              <w:jc w:val="center"/>
              <w:spacing w:after="0" w:line="215" w:lineRule="exact"/>
              <w:rPr>
                <w:sz w:val="20"/>
                <w:szCs w:val="20"/>
                <w:color w:val="auto"/>
              </w:rPr>
            </w:pPr>
            <w:r>
              <w:rPr>
                <w:rFonts w:ascii="Calibri" w:cs="Calibri" w:eastAsia="Calibri" w:hAnsi="Calibri"/>
                <w:sz w:val="18"/>
                <w:szCs w:val="18"/>
                <w:color w:val="auto"/>
              </w:rPr>
              <w:t>X</w:t>
            </w:r>
          </w:p>
        </w:tc>
      </w:tr>
      <w:tr>
        <w:trPr>
          <w:trHeight w:val="215"/>
        </w:trPr>
        <w:tc>
          <w:tcPr>
            <w:tcW w:w="7540" w:type="dxa"/>
            <w:vAlign w:val="bottom"/>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Port Dickson, Malaysia**</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X</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8"/>
        </w:trPr>
        <w:tc>
          <w:tcPr>
            <w:tcW w:w="75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6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66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33" w:lineRule="exact"/>
        <w:rPr>
          <w:sz w:val="20"/>
          <w:szCs w:val="20"/>
          <w:color w:val="auto"/>
        </w:rPr>
      </w:pPr>
    </w:p>
    <w:p>
      <w:pPr>
        <w:ind w:right="9080" w:firstLine="8"/>
        <w:spacing w:after="0" w:line="220" w:lineRule="auto"/>
        <w:tabs>
          <w:tab w:leader="none" w:pos="509" w:val="left"/>
        </w:tabs>
        <w:numPr>
          <w:ilvl w:val="0"/>
          <w:numId w:val="8"/>
        </w:numPr>
        <w:rPr>
          <w:rFonts w:ascii="Calibri" w:cs="Calibri" w:eastAsia="Calibri" w:hAnsi="Calibri"/>
          <w:sz w:val="24"/>
          <w:szCs w:val="24"/>
          <w:color w:val="auto"/>
          <w:vertAlign w:val="superscript"/>
        </w:rPr>
      </w:pPr>
      <w:r>
        <w:rPr>
          <w:rFonts w:ascii="Calibri" w:cs="Calibri" w:eastAsia="Calibri" w:hAnsi="Calibri"/>
          <w:sz w:val="18"/>
          <w:szCs w:val="18"/>
          <w:color w:val="auto"/>
        </w:rPr>
        <w:t>Business service center * Leased premises</w:t>
      </w:r>
    </w:p>
    <w:p>
      <w:pPr>
        <w:spacing w:after="0" w:line="38" w:lineRule="exact"/>
        <w:rPr>
          <w:rFonts w:ascii="Calibri" w:cs="Calibri" w:eastAsia="Calibri" w:hAnsi="Calibri"/>
          <w:sz w:val="24"/>
          <w:szCs w:val="24"/>
          <w:color w:val="auto"/>
          <w:vertAlign w:val="superscript"/>
        </w:rPr>
      </w:pPr>
    </w:p>
    <w:p>
      <w:pPr>
        <w:spacing w:after="0"/>
        <w:rPr>
          <w:rFonts w:ascii="Calibri" w:cs="Calibri" w:eastAsia="Calibri" w:hAnsi="Calibri"/>
          <w:sz w:val="24"/>
          <w:szCs w:val="24"/>
          <w:color w:val="auto"/>
          <w:vertAlign w:val="superscript"/>
        </w:rPr>
      </w:pPr>
      <w:r>
        <w:rPr>
          <w:rFonts w:ascii="Calibri" w:cs="Calibri" w:eastAsia="Calibri" w:hAnsi="Calibri"/>
          <w:sz w:val="18"/>
          <w:szCs w:val="18"/>
          <w:color w:val="auto"/>
        </w:rPr>
        <w:t>** Building(s) owned by Cabot on leased land</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We conduct research and development for our various businesses primarily at facilites in Billerica, Massachusets; Pampa, Texas; Pepinster, Belgium; Frankfurt and Münster, Germany; and Zhuhai and Shanghai, China.</w:t>
      </w:r>
    </w:p>
    <w:p>
      <w:pPr>
        <w:spacing w:after="0" w:line="83" w:lineRule="exact"/>
        <w:rPr>
          <w:sz w:val="20"/>
          <w:szCs w:val="20"/>
          <w:color w:val="auto"/>
        </w:rPr>
      </w:pPr>
    </w:p>
    <w:p>
      <w:pPr>
        <w:jc w:val="both"/>
        <w:ind w:right="220" w:firstLine="509"/>
        <w:spacing w:after="0" w:line="235" w:lineRule="auto"/>
        <w:rPr>
          <w:sz w:val="20"/>
          <w:szCs w:val="20"/>
          <w:color w:val="auto"/>
        </w:rPr>
      </w:pPr>
      <w:r>
        <w:rPr>
          <w:rFonts w:ascii="Calibri" w:cs="Calibri" w:eastAsia="Calibri" w:hAnsi="Calibri"/>
          <w:sz w:val="18"/>
          <w:szCs w:val="18"/>
          <w:color w:val="auto"/>
        </w:rPr>
        <w:t>With our existng manufacturing plants and planned expansions, we generally have sufcient producton capacity to meet current requirements and expected near-term growth. These plants are generally well maintained, in good operatng conditon and suitable and adequate for their intended use. Our administratve ofces and other facilites are suitable and adequate for their intended purposes.</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4" w:name="page25"/>
    <w:bookmarkEnd w:id="24"/>
    <w:p>
      <w:pPr>
        <w:spacing w:after="0"/>
        <w:rPr>
          <w:sz w:val="20"/>
          <w:szCs w:val="20"/>
          <w:color w:val="auto"/>
        </w:rPr>
      </w:pPr>
      <w:r>
        <w:rPr>
          <w:rFonts w:ascii="Calibri" w:cs="Calibri" w:eastAsia="Calibri" w:hAnsi="Calibri"/>
          <w:sz w:val="18"/>
          <w:szCs w:val="18"/>
          <w:b w:val="1"/>
          <w:bCs w:val="1"/>
          <w:color w:val="auto"/>
        </w:rPr>
        <w:t xml:space="preserve">Item 3. </w:t>
      </w:r>
      <w:r>
        <w:rPr>
          <w:rFonts w:ascii="Calibri" w:cs="Calibri" w:eastAsia="Calibri" w:hAnsi="Calibri"/>
          <w:sz w:val="18"/>
          <w:szCs w:val="18"/>
          <w:b w:val="1"/>
          <w:bCs w:val="1"/>
          <w:i w:val="1"/>
          <w:iCs w:val="1"/>
          <w:color w:val="auto"/>
        </w:rPr>
        <w:t>Legal Proceedings</w:t>
      </w:r>
    </w:p>
    <w:p>
      <w:pPr>
        <w:spacing w:after="0" w:line="82" w:lineRule="exact"/>
        <w:rPr>
          <w:sz w:val="20"/>
          <w:szCs w:val="20"/>
          <w:color w:val="auto"/>
        </w:rPr>
      </w:pPr>
    </w:p>
    <w:p>
      <w:pPr>
        <w:ind w:right="140" w:firstLine="509"/>
        <w:spacing w:after="0" w:line="258" w:lineRule="auto"/>
        <w:rPr>
          <w:sz w:val="20"/>
          <w:szCs w:val="20"/>
          <w:color w:val="auto"/>
        </w:rPr>
      </w:pPr>
      <w:r>
        <w:rPr>
          <w:rFonts w:ascii="Calibri" w:cs="Calibri" w:eastAsia="Calibri" w:hAnsi="Calibri"/>
          <w:sz w:val="17"/>
          <w:szCs w:val="17"/>
          <w:color w:val="auto"/>
        </w:rPr>
        <w:t>Cabot is a party in various lawsuits and environmental proceedings wherein substantal amounts are claimed. Additonal informaton regarding legal proceedings involving Cabot is disclosed in Note S in Item 8 below, under the heading “Contngencies”, which disclosure is incorporated herein by reference.</w:t>
      </w:r>
    </w:p>
    <w:p>
      <w:pPr>
        <w:spacing w:after="0" w:line="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4. </w:t>
      </w:r>
      <w:r>
        <w:rPr>
          <w:rFonts w:ascii="Calibri" w:cs="Calibri" w:eastAsia="Calibri" w:hAnsi="Calibri"/>
          <w:sz w:val="18"/>
          <w:szCs w:val="18"/>
          <w:b w:val="1"/>
          <w:bCs w:val="1"/>
          <w:i w:val="1"/>
          <w:iCs w:val="1"/>
          <w:color w:val="auto"/>
        </w:rPr>
        <w:t>Mine Safety Disclosures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Informaton about our Executve Ofcers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Set forth below is certain informaton about Cabot’s executve ofcers as of November 13, 2023.</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Sean D. Keohane, age 56, is President and Chief Executve Ofcer and a member of Cabot’s Board of Directors, positons he has held since March 2016. Mr. Keohane joined Cabot in 2002. From November 2014 untl March 2016 he was Executve Vice President and President of Reinforcement Materials. From March 2012 untl November 2014, he was Senior Vice President and President of Performance Chemicals, and from May 2008 untl March 2012, he was General Manager of Performance Chemicals. He was appointed Vice President in March 2005, Senior Vice President in March 2012 and Executve Vice President in November 2014. He was a member of the Interim Ofce of the Chief Executve Ofcer, which was in place from December 2015 untl March 2016.</w:t>
      </w:r>
    </w:p>
    <w:p>
      <w:pPr>
        <w:spacing w:after="0" w:line="8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Erica McLaughlin, age 47, is Executve Vice President, Chief Financial Ofcer and Head of Corporate Strategy. Ms. McLaughlin joined Cabot in 2002. She was elected Executve Vice President efectve December 2022, Senior Vice President and Chief Financial Ofcer in May 2018, and in October 2018 she assumed responsibility for Corporate Strategy and Development. From June 2016 untl May 2018 she was Vice President of Business Operatons for Reinforcement Materials and General Manager of the tre business, and from July 2011 untl June 2016, she was Vice President of Investor Relatons and Corporate Communicatons. Prior to July 2011, she held a variety of leadership positons in Finance and Corporate Planning.</w:t>
      </w:r>
    </w:p>
    <w:p>
      <w:pPr>
        <w:spacing w:after="0" w:line="85"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Karen A. Kalita, age 44, is Senior Vice President and General Counsel. Ms. Kalita joined Cabot in 2008. Prior to assuming her current positon in June 2019, she held several key positons in Cabot’s Law Department, including Chief Counsel to the Company’s Reinforcement Materials segment from November 2015 to June 2019 and Purifcaton Solutons segment from June 2013 to June 2019, and senior legal counsel to the Company’s previous Advanced Technologies segment. Prior to joining the Company, Ms. Kalita was in private practce at WilmerHale LLP in Boston, MA.</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Hobart C. Kalkstein, age 53, is Executve Vice President and President, Reinforcement Materials Segment and President, Americas Region. Mr. Kalkstein joined Cabot in 2005. He was elected Executve Vice President efectve December 2022, and Senior Vice President and President, Reinforcement Materials Segment and President, Americas Region in April 2016. Prior to this, he was Vice President of Corporate Strategy and Development from December 2015 to April 2016. From October 2013 to December 2015, he served as Vice President of Global Business Operatons for Purifcaton Solutons and from November 2012 to December 2015 as General Manager of Global Emission Control Solutons for Purifcaton Solutons, and from January 2012 to November 2012 he served as Vice President of Business Operatons and Executve Director of Marketng and Business Strategy for Performance Chemicals. Prior to that, he served as General Manager of the Aerogel business from October 2007 to February 2010.</w:t>
      </w:r>
    </w:p>
    <w:p>
      <w:pPr>
        <w:spacing w:after="0" w:line="8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Jef Zhu, age 55, is Executve Vice President and President, Performance Chemicals Segment and President, Asia Pacifc Region. Mr. Zhu joined Cabot in 2012. He was elected Executve Vice President efectve December 2022 and Senior Vice President and President, Performance Additves business and President, Asia Pacifc Region in October 2019. Prior to this, he had served as President, Asia Pacifc Region since joining Cabot. Prior to joining Cabot, Mr. Zhu served in a variety of regional and global business leadership roles at Rhodia from 1994 untl 2010, including Asia Pacifc regional commercial director from 1994 to 2002, regional vice president and general manager of Rhodia Novacare Asia Pacifc from 2002 to 2008, and vice president and global director of Rhodia electronics and catalysis from 2008 to 2010. In additon, Mr. Zhu served as head of global pulp and paper sales at Asia Pacifc Resources Internatonal Holdings Limited from 2010 to 2012.</w:t>
      </w:r>
    </w:p>
    <w:p>
      <w:pPr>
        <w:spacing w:after="0" w:line="21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5" w:name="page26"/>
    <w:bookmarkEnd w:id="25"/>
    <w:p>
      <w:pPr>
        <w:ind w:left="5380"/>
        <w:spacing w:after="0"/>
        <w:rPr>
          <w:sz w:val="20"/>
          <w:szCs w:val="20"/>
          <w:color w:val="auto"/>
        </w:rPr>
      </w:pPr>
      <w:r>
        <w:rPr>
          <w:rFonts w:ascii="Calibri" w:cs="Calibri" w:eastAsia="Calibri" w:hAnsi="Calibri"/>
          <w:sz w:val="18"/>
          <w:szCs w:val="18"/>
          <w:b w:val="1"/>
          <w:bCs w:val="1"/>
          <w:color w:val="auto"/>
        </w:rPr>
        <w:t>PART II</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5. </w:t>
      </w:r>
      <w:r>
        <w:rPr>
          <w:rFonts w:ascii="Calibri" w:cs="Calibri" w:eastAsia="Calibri" w:hAnsi="Calibri"/>
          <w:sz w:val="18"/>
          <w:szCs w:val="18"/>
          <w:b w:val="1"/>
          <w:bCs w:val="1"/>
          <w:i w:val="1"/>
          <w:iCs w:val="1"/>
          <w:color w:val="auto"/>
        </w:rPr>
        <w:t>Market for Registrant’s Common Equity, Related Stockholder Maters and Issuer Purchases of Equity Securites</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Cabot’s common stock is listed for trading (symbol CBT) on the New York Stock Exchange. As of November 13, 2023, there were 508 holders of record of Cabot’s common stock.</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Issuer Purchases of Equity Securites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table below sets forth informaton regarding Cabot’s purchases of its equity securites during the quarter ended September 30, 2023: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Maximum Number</w:t>
            </w:r>
          </w:p>
        </w:tc>
      </w:tr>
      <w:tr>
        <w:trPr>
          <w:trHeight w:val="175"/>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(or</w:t>
            </w:r>
          </w:p>
        </w:tc>
      </w:tr>
      <w:tr>
        <w:trPr>
          <w:trHeight w:val="176"/>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Calibri" w:cs="Calibri" w:eastAsia="Calibri" w:hAnsi="Calibri"/>
                <w:sz w:val="14"/>
                <w:szCs w:val="14"/>
                <w:b w:val="1"/>
                <w:bCs w:val="1"/>
                <w:color w:val="auto"/>
              </w:rPr>
              <w:t>Approximate</w:t>
            </w:r>
          </w:p>
        </w:tc>
      </w:tr>
      <w:tr>
        <w:trPr>
          <w:trHeight w:val="176"/>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Dollar</w:t>
            </w:r>
          </w:p>
        </w:tc>
      </w:tr>
      <w:tr>
        <w:trPr>
          <w:trHeight w:val="175"/>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Calibri" w:cs="Calibri" w:eastAsia="Calibri" w:hAnsi="Calibri"/>
                <w:sz w:val="14"/>
                <w:szCs w:val="14"/>
                <w:b w:val="1"/>
                <w:bCs w:val="1"/>
                <w:color w:val="auto"/>
              </w:rPr>
              <w:t>Value) of Shares</w:t>
            </w:r>
          </w:p>
        </w:tc>
      </w:tr>
      <w:tr>
        <w:trPr>
          <w:trHeight w:val="176"/>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alibri" w:cs="Calibri" w:eastAsia="Calibri" w:hAnsi="Calibri"/>
                <w:sz w:val="14"/>
                <w:szCs w:val="14"/>
                <w:b w:val="1"/>
                <w:bCs w:val="1"/>
                <w:color w:val="auto"/>
              </w:rPr>
              <w:t>Total Number of</w:t>
            </w:r>
          </w:p>
        </w:tc>
        <w:tc>
          <w:tcPr>
            <w:tcW w:w="220" w:type="dxa"/>
            <w:vAlign w:val="bottom"/>
          </w:tcPr>
          <w:p>
            <w:pPr>
              <w:spacing w:after="0"/>
              <w:rPr>
                <w:sz w:val="15"/>
                <w:szCs w:val="15"/>
                <w:color w:val="auto"/>
              </w:rPr>
            </w:pPr>
          </w:p>
        </w:tc>
        <w:tc>
          <w:tcPr>
            <w:tcW w:w="128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w w:val="99"/>
              </w:rPr>
              <w:t>that</w:t>
            </w:r>
          </w:p>
        </w:tc>
      </w:tr>
      <w:tr>
        <w:trPr>
          <w:trHeight w:val="175"/>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alibri" w:cs="Calibri" w:eastAsia="Calibri" w:hAnsi="Calibri"/>
                <w:sz w:val="14"/>
                <w:szCs w:val="14"/>
                <w:b w:val="1"/>
                <w:bCs w:val="1"/>
                <w:color w:val="auto"/>
              </w:rPr>
              <w:t>Shares Purchased</w:t>
            </w:r>
          </w:p>
        </w:tc>
        <w:tc>
          <w:tcPr>
            <w:tcW w:w="22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Calibri" w:cs="Calibri" w:eastAsia="Calibri" w:hAnsi="Calibri"/>
                <w:sz w:val="14"/>
                <w:szCs w:val="14"/>
                <w:b w:val="1"/>
                <w:bCs w:val="1"/>
                <w:color w:val="auto"/>
                <w:w w:val="99"/>
              </w:rPr>
              <w:t>May Yet Be</w:t>
            </w:r>
          </w:p>
        </w:tc>
      </w:tr>
      <w:tr>
        <w:trPr>
          <w:trHeight w:val="176"/>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Calibri" w:cs="Calibri" w:eastAsia="Calibri" w:hAnsi="Calibri"/>
                <w:sz w:val="14"/>
                <w:szCs w:val="14"/>
                <w:b w:val="1"/>
                <w:bCs w:val="1"/>
                <w:color w:val="auto"/>
              </w:rPr>
              <w:t>Total Number</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Calibri" w:cs="Calibri" w:eastAsia="Calibri" w:hAnsi="Calibri"/>
                <w:sz w:val="14"/>
                <w:szCs w:val="14"/>
                <w:b w:val="1"/>
                <w:bCs w:val="1"/>
                <w:color w:val="auto"/>
              </w:rPr>
              <w:t>Average</w:t>
            </w: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alibri" w:cs="Calibri" w:eastAsia="Calibri" w:hAnsi="Calibri"/>
                <w:sz w:val="14"/>
                <w:szCs w:val="14"/>
                <w:b w:val="1"/>
                <w:bCs w:val="1"/>
                <w:color w:val="auto"/>
              </w:rPr>
              <w:t>as Part of Publicly</w:t>
            </w:r>
          </w:p>
        </w:tc>
        <w:tc>
          <w:tcPr>
            <w:tcW w:w="22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Purchased</w:t>
            </w:r>
          </w:p>
        </w:tc>
      </w:tr>
      <w:tr>
        <w:trPr>
          <w:trHeight w:val="159"/>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of Shares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99"/>
              <w:spacing w:after="0" w:line="159" w:lineRule="exact"/>
              <w:rPr>
                <w:sz w:val="20"/>
                <w:szCs w:val="20"/>
                <w:color w:val="auto"/>
              </w:rPr>
            </w:pPr>
            <w:r>
              <w:rPr>
                <w:rFonts w:ascii="Calibri" w:cs="Calibri" w:eastAsia="Calibri" w:hAnsi="Calibri"/>
                <w:sz w:val="14"/>
                <w:szCs w:val="14"/>
                <w:b w:val="1"/>
                <w:bCs w:val="1"/>
                <w:color w:val="auto"/>
              </w:rPr>
              <w:t>Price Paid</w:t>
            </w:r>
          </w:p>
        </w:tc>
        <w:tc>
          <w:tcPr>
            <w:tcW w:w="220" w:type="dxa"/>
            <w:vAlign w:val="bottom"/>
          </w:tcPr>
          <w:p>
            <w:pPr>
              <w:spacing w:after="0"/>
              <w:rPr>
                <w:sz w:val="13"/>
                <w:szCs w:val="13"/>
                <w:color w:val="auto"/>
              </w:rPr>
            </w:pPr>
          </w:p>
        </w:tc>
        <w:tc>
          <w:tcPr>
            <w:tcW w:w="114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Announced Plans</w:t>
            </w:r>
          </w:p>
        </w:tc>
        <w:tc>
          <w:tcPr>
            <w:tcW w:w="220" w:type="dxa"/>
            <w:vAlign w:val="bottom"/>
          </w:tcPr>
          <w:p>
            <w:pPr>
              <w:spacing w:after="0"/>
              <w:rPr>
                <w:sz w:val="13"/>
                <w:szCs w:val="13"/>
                <w:color w:val="auto"/>
              </w:rPr>
            </w:pPr>
          </w:p>
        </w:tc>
        <w:tc>
          <w:tcPr>
            <w:tcW w:w="1280" w:type="dxa"/>
            <w:vAlign w:val="bottom"/>
            <w:gridSpan w:val="2"/>
          </w:tcPr>
          <w:p>
            <w:pPr>
              <w:jc w:val="center"/>
              <w:ind w:right="120"/>
              <w:spacing w:after="0" w:line="159" w:lineRule="exact"/>
              <w:rPr>
                <w:sz w:val="20"/>
                <w:szCs w:val="20"/>
                <w:color w:val="auto"/>
              </w:rPr>
            </w:pPr>
            <w:r>
              <w:rPr>
                <w:rFonts w:ascii="Calibri" w:cs="Calibri" w:eastAsia="Calibri" w:hAnsi="Calibri"/>
                <w:sz w:val="14"/>
                <w:szCs w:val="14"/>
                <w:b w:val="1"/>
                <w:bCs w:val="1"/>
                <w:color w:val="auto"/>
              </w:rPr>
              <w:t>Under the Plans or</w:t>
            </w:r>
          </w:p>
        </w:tc>
      </w:tr>
      <w:tr>
        <w:trPr>
          <w:trHeight w:val="224"/>
        </w:trPr>
        <w:tc>
          <w:tcPr>
            <w:tcW w:w="570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b w:val="1"/>
                <w:bCs w:val="1"/>
                <w:color w:val="auto"/>
              </w:rPr>
              <w:t>Period</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14"/>
                <w:szCs w:val="14"/>
                <w:b w:val="1"/>
                <w:bCs w:val="1"/>
                <w:color w:val="auto"/>
                <w:w w:val="94"/>
              </w:rPr>
              <w:t>Purchased</w:t>
            </w:r>
            <w:r>
              <w:rPr>
                <w:rFonts w:ascii="Calibri" w:cs="Calibri" w:eastAsia="Calibri" w:hAnsi="Calibri"/>
                <w:sz w:val="19"/>
                <w:szCs w:val="19"/>
                <w:b w:val="1"/>
                <w:bCs w:val="1"/>
                <w:color w:val="auto"/>
                <w:w w:val="94"/>
                <w:vertAlign w:val="superscript"/>
              </w:rPr>
              <w:t>(1)(2)</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99"/>
              <w:spacing w:after="0"/>
              <w:rPr>
                <w:sz w:val="20"/>
                <w:szCs w:val="20"/>
                <w:color w:val="auto"/>
              </w:rPr>
            </w:pPr>
            <w:r>
              <w:rPr>
                <w:rFonts w:ascii="Calibri" w:cs="Calibri" w:eastAsia="Calibri" w:hAnsi="Calibri"/>
                <w:sz w:val="14"/>
                <w:szCs w:val="14"/>
                <w:b w:val="1"/>
                <w:bCs w:val="1"/>
                <w:color w:val="auto"/>
              </w:rPr>
              <w:t>per Share</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14"/>
                <w:szCs w:val="14"/>
                <w:b w:val="1"/>
                <w:bCs w:val="1"/>
                <w:color w:val="auto"/>
                <w:w w:val="95"/>
              </w:rPr>
              <w:t>or Programs</w:t>
            </w:r>
            <w:r>
              <w:rPr>
                <w:rFonts w:ascii="Calibri" w:cs="Calibri" w:eastAsia="Calibri" w:hAnsi="Calibri"/>
                <w:sz w:val="19"/>
                <w:szCs w:val="19"/>
                <w:b w:val="1"/>
                <w:bCs w:val="1"/>
                <w:color w:val="auto"/>
                <w:w w:val="95"/>
                <w:vertAlign w:val="superscript"/>
              </w:rPr>
              <w:t>(1)</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14"/>
                <w:szCs w:val="14"/>
                <w:b w:val="1"/>
                <w:bCs w:val="1"/>
                <w:color w:val="auto"/>
                <w:w w:val="97"/>
              </w:rPr>
              <w:t>Programs</w:t>
            </w:r>
            <w:r>
              <w:rPr>
                <w:rFonts w:ascii="Calibri" w:cs="Calibri" w:eastAsia="Calibri" w:hAnsi="Calibri"/>
                <w:sz w:val="19"/>
                <w:szCs w:val="19"/>
                <w:b w:val="1"/>
                <w:bCs w:val="1"/>
                <w:color w:val="auto"/>
                <w:w w:val="97"/>
                <w:vertAlign w:val="superscript"/>
              </w:rPr>
              <w:t>(1)</w:t>
            </w:r>
          </w:p>
        </w:tc>
        <w:tc>
          <w:tcPr>
            <w:tcW w:w="100" w:type="dxa"/>
            <w:vAlign w:val="bottom"/>
          </w:tcPr>
          <w:p>
            <w:pPr>
              <w:spacing w:after="0"/>
              <w:rPr>
                <w:sz w:val="19"/>
                <w:szCs w:val="19"/>
                <w:color w:val="auto"/>
              </w:rPr>
            </w:pPr>
          </w:p>
        </w:tc>
      </w:tr>
      <w:tr>
        <w:trPr>
          <w:trHeight w:val="218"/>
        </w:trPr>
        <w:tc>
          <w:tcPr>
            <w:tcW w:w="570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July 1, 2023 — July 31, 2023</w:t>
            </w: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440" w:type="dxa"/>
            <w:vAlign w:val="bottom"/>
            <w:tcBorders>
              <w:bottom w:val="single" w:sz="8" w:color="CFF0FC"/>
            </w:tcBorders>
            <w:gridSpan w:val="2"/>
            <w:shd w:val="clear" w:color="auto" w:fill="CFF0FC"/>
          </w:tcPr>
          <w:p>
            <w:pPr>
              <w:jc w:val="right"/>
              <w:ind w:right="8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CFF0FC"/>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CFF0FC"/>
            </w:tcBorders>
            <w:gridSpan w:val="2"/>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3,691,572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5700" w:type="dxa"/>
            <w:vAlign w:val="bottom"/>
          </w:tcPr>
          <w:p>
            <w:pPr>
              <w:ind w:left="20"/>
              <w:spacing w:after="0" w:line="215" w:lineRule="exact"/>
              <w:rPr>
                <w:sz w:val="20"/>
                <w:szCs w:val="20"/>
                <w:color w:val="auto"/>
              </w:rPr>
            </w:pPr>
            <w:r>
              <w:rPr>
                <w:rFonts w:ascii="Calibri" w:cs="Calibri" w:eastAsia="Calibri" w:hAnsi="Calibri"/>
                <w:sz w:val="18"/>
                <w:szCs w:val="18"/>
                <w:color w:val="auto"/>
              </w:rPr>
              <w:t>August 1, 2023 — August 31, 2023</w:t>
            </w:r>
          </w:p>
        </w:tc>
        <w:tc>
          <w:tcPr>
            <w:tcW w:w="13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430,000</w:t>
            </w:r>
          </w:p>
        </w:tc>
        <w:tc>
          <w:tcPr>
            <w:tcW w:w="4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70.66</w:t>
            </w:r>
          </w:p>
        </w:tc>
        <w:tc>
          <w:tcPr>
            <w:tcW w:w="1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430,000</w:t>
            </w:r>
          </w:p>
        </w:tc>
        <w:tc>
          <w:tcPr>
            <w:tcW w:w="14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3,261,572</w:t>
            </w:r>
          </w:p>
        </w:tc>
        <w:tc>
          <w:tcPr>
            <w:tcW w:w="100" w:type="dxa"/>
            <w:vAlign w:val="bottom"/>
          </w:tcPr>
          <w:p>
            <w:pPr>
              <w:spacing w:after="0"/>
              <w:rPr>
                <w:sz w:val="18"/>
                <w:szCs w:val="18"/>
                <w:color w:val="auto"/>
              </w:rPr>
            </w:pPr>
          </w:p>
        </w:tc>
      </w:tr>
      <w:tr>
        <w:trPr>
          <w:trHeight w:val="28"/>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57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September 1, 2023 — September 30, 2023</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276,602</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Calibri" w:cs="Calibri" w:eastAsia="Calibri" w:hAnsi="Calibri"/>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rPr>
              <w:t>70.95</w:t>
            </w:r>
          </w:p>
        </w:tc>
        <w:tc>
          <w:tcPr>
            <w:tcW w:w="13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276,602</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8"/>
                <w:szCs w:val="18"/>
                <w:color w:val="auto"/>
              </w:rPr>
              <w:t>2,984,970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700" w:type="dxa"/>
            <w:vAlign w:val="bottom"/>
            <w:tcBorders>
              <w:top w:val="single" w:sz="8" w:color="CFF0FC"/>
            </w:tcBorders>
          </w:tcPr>
          <w:p>
            <w:pPr>
              <w:ind w:left="200"/>
              <w:spacing w:after="0"/>
              <w:rPr>
                <w:sz w:val="20"/>
                <w:szCs w:val="20"/>
                <w:color w:val="auto"/>
              </w:rPr>
            </w:pPr>
            <w:r>
              <w:rPr>
                <w:rFonts w:ascii="Calibri" w:cs="Calibri" w:eastAsia="Calibri" w:hAnsi="Calibri"/>
                <w:sz w:val="18"/>
                <w:szCs w:val="18"/>
                <w:color w:val="auto"/>
              </w:rPr>
              <w:t>Total</w:t>
            </w:r>
          </w:p>
        </w:tc>
        <w:tc>
          <w:tcPr>
            <w:tcW w:w="120" w:type="dxa"/>
            <w:vAlign w:val="bottom"/>
            <w:tcBorders>
              <w:top w:val="single" w:sz="8" w:color="CFF0FC"/>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706,602</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92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706,602</w:t>
            </w:r>
          </w:p>
        </w:tc>
        <w:tc>
          <w:tcPr>
            <w:tcW w:w="220" w:type="dxa"/>
            <w:vAlign w:val="bottom"/>
            <w:tcBorders>
              <w:top w:val="single" w:sz="8" w:color="CFF0FC"/>
            </w:tcBorders>
          </w:tcPr>
          <w:p>
            <w:pPr>
              <w:spacing w:after="0"/>
              <w:rPr>
                <w:sz w:val="20"/>
                <w:szCs w:val="20"/>
                <w:color w:val="auto"/>
              </w:rPr>
            </w:pPr>
          </w:p>
        </w:tc>
        <w:tc>
          <w:tcPr>
            <w:tcW w:w="11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-187960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33" w:lineRule="exact"/>
        <w:rPr>
          <w:sz w:val="20"/>
          <w:szCs w:val="20"/>
          <w:color w:val="auto"/>
        </w:rPr>
      </w:pPr>
    </w:p>
    <w:p>
      <w:pPr>
        <w:jc w:val="both"/>
        <w:ind w:left="520" w:right="100" w:hanging="512"/>
        <w:spacing w:after="0" w:line="211" w:lineRule="auto"/>
        <w:tabs>
          <w:tab w:leader="none" w:pos="520" w:val="left"/>
        </w:tabs>
        <w:numPr>
          <w:ilvl w:val="0"/>
          <w:numId w:val="9"/>
        </w:numPr>
        <w:rPr>
          <w:rFonts w:ascii="Calibri" w:cs="Calibri" w:eastAsia="Calibri" w:hAnsi="Calibri"/>
          <w:sz w:val="24"/>
          <w:szCs w:val="24"/>
          <w:color w:val="auto"/>
          <w:vertAlign w:val="superscript"/>
        </w:rPr>
      </w:pPr>
      <w:r>
        <w:rPr>
          <w:rFonts w:ascii="Calibri" w:cs="Calibri" w:eastAsia="Calibri" w:hAnsi="Calibri"/>
          <w:sz w:val="18"/>
          <w:szCs w:val="18"/>
          <w:color w:val="auto"/>
        </w:rPr>
        <w:t>On July 13, 2018, Cabot publicly announced that the Board of Directors authorized the Company to repurchase up to an additonal ten million shares of its common stock on the open market or in privately negotated transactons, increasing the amount of shares available for repurchase at that tme to approximately eleven million shares. The current authorizaton does not have a set expiraton date.</w:t>
      </w:r>
    </w:p>
    <w:p>
      <w:pPr>
        <w:spacing w:after="0" w:line="44" w:lineRule="exact"/>
        <w:rPr>
          <w:rFonts w:ascii="Calibri" w:cs="Calibri" w:eastAsia="Calibri" w:hAnsi="Calibri"/>
          <w:sz w:val="24"/>
          <w:szCs w:val="24"/>
          <w:color w:val="auto"/>
          <w:vertAlign w:val="superscript"/>
        </w:rPr>
      </w:pPr>
    </w:p>
    <w:p>
      <w:pPr>
        <w:ind w:left="520" w:right="440" w:hanging="512"/>
        <w:spacing w:after="0" w:line="201" w:lineRule="auto"/>
        <w:tabs>
          <w:tab w:leader="none" w:pos="520" w:val="left"/>
        </w:tabs>
        <w:numPr>
          <w:ilvl w:val="0"/>
          <w:numId w:val="9"/>
        </w:numPr>
        <w:rPr>
          <w:rFonts w:ascii="Calibri" w:cs="Calibri" w:eastAsia="Calibri" w:hAnsi="Calibri"/>
          <w:sz w:val="24"/>
          <w:szCs w:val="24"/>
          <w:color w:val="auto"/>
          <w:vertAlign w:val="superscript"/>
        </w:rPr>
      </w:pPr>
      <w:r>
        <w:rPr>
          <w:rFonts w:ascii="Calibri" w:cs="Calibri" w:eastAsia="Calibri" w:hAnsi="Calibri"/>
          <w:sz w:val="18"/>
          <w:szCs w:val="18"/>
          <w:color w:val="auto"/>
        </w:rPr>
        <w:t>Total number of shares purchased does not include 881 shares withheld to pay taxes on the vestng of equity awards made under the Company's equity incentve plans or to pay the exercise price of optons exercised during the period.</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 w:name="page27"/>
    <w:bookmarkEnd w:id="26"/>
    <w:p>
      <w:pPr>
        <w:spacing w:after="0"/>
        <w:rPr>
          <w:sz w:val="20"/>
          <w:szCs w:val="20"/>
          <w:color w:val="auto"/>
        </w:rPr>
      </w:pPr>
      <w:r>
        <w:rPr>
          <w:rFonts w:ascii="Calibri" w:cs="Calibri" w:eastAsia="Calibri" w:hAnsi="Calibri"/>
          <w:sz w:val="18"/>
          <w:szCs w:val="18"/>
          <w:b w:val="1"/>
          <w:bCs w:val="1"/>
          <w:color w:val="auto"/>
        </w:rPr>
        <w:t>Comparatve Stock Performance</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graph compares the cumulatve total stockholder return on Cabot common stock for the fve-year period ended September 30, 2023 with the S&amp;P 400 Chemical Index and the S&amp;P Midcap 400 Index. The comparisons assume the investment of $100 on October 1, 2018 in Cabot’s common stock and in each of the indices and the reinvestment of all dividends.</w:t>
      </w:r>
    </w:p>
    <w:p>
      <w:pPr>
        <w:spacing w:after="0" w:line="84"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We have historically included the S&amp;P 500 Chemical Index as a point of reference in our Comparatve Stock Performance chart; however, we have made the decision to remove the S&amp;P 500 Chemical Index from this chart beginning with our next Annual Report on Form 10-K. The decision to remove the S&amp;P 500 Chemical Index was based on our belief that the S&amp;P 500 Chemical Index is no longer the most relevant benchmark for assessing our stock performance due to Cabot's smaller size relatve to the companies in that index.</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We are adding the S&amp;P 400 Chemical Index, which we believe provides a more representatve index based on our market capitalizaton.</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stock price performance on the graph below is not necessarily indicatve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229235</wp:posOffset>
            </wp:positionV>
            <wp:extent cx="4526280" cy="2802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2628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informaton included under the heading comparatve stock performance in Item 5 shall not be deemed to be “solicitng material” or subject to Regulaton 14A, shall not be deemed “fled” for purposes of Secton 18 of the Exchange Act, or otherwise be subject to the liabilites of that secton, nor shall it be deemed incorporated by reference in any fling under the Securites Act of 1933, as amended, or the Exchange Act.</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27" w:name="page28"/>
    <w:bookmarkEnd w:id="27"/>
    <w:p>
      <w:pPr>
        <w:ind w:right="4200"/>
        <w:spacing w:after="0" w:line="319" w:lineRule="auto"/>
        <w:rPr>
          <w:sz w:val="20"/>
          <w:szCs w:val="20"/>
          <w:color w:val="auto"/>
        </w:rPr>
      </w:pPr>
      <w:r>
        <w:rPr>
          <w:rFonts w:ascii="Calibri" w:cs="Calibri" w:eastAsia="Calibri" w:hAnsi="Calibri"/>
          <w:sz w:val="18"/>
          <w:szCs w:val="18"/>
          <w:b w:val="1"/>
          <w:bCs w:val="1"/>
          <w:color w:val="auto"/>
        </w:rPr>
        <w:t xml:space="preserve">Item 7. </w:t>
      </w:r>
      <w:r>
        <w:rPr>
          <w:rFonts w:ascii="Calibri" w:cs="Calibri" w:eastAsia="Calibri" w:hAnsi="Calibri"/>
          <w:sz w:val="18"/>
          <w:szCs w:val="18"/>
          <w:b w:val="1"/>
          <w:bCs w:val="1"/>
          <w:i w:val="1"/>
          <w:iCs w:val="1"/>
          <w:color w:val="auto"/>
        </w:rPr>
        <w:t>Management’s Discussion and Analysis of Financial Conditon and Results of Operatons</w:t>
      </w:r>
      <w:r>
        <w:rPr>
          <w:rFonts w:ascii="Calibri" w:cs="Calibri" w:eastAsia="Calibri" w:hAnsi="Calibri"/>
          <w:sz w:val="18"/>
          <w:szCs w:val="18"/>
          <w:b w:val="1"/>
          <w:bCs w:val="1"/>
          <w:color w:val="auto"/>
        </w:rPr>
        <w:t xml:space="preserve"> Critcal Accountng Estmates</w:t>
      </w:r>
    </w:p>
    <w:p>
      <w:pPr>
        <w:spacing w:after="0" w:line="10" w:lineRule="exact"/>
        <w:rPr>
          <w:sz w:val="20"/>
          <w:szCs w:val="20"/>
          <w:color w:val="auto"/>
        </w:rPr>
      </w:pPr>
    </w:p>
    <w:p>
      <w:pPr>
        <w:ind w:right="80" w:firstLine="509"/>
        <w:spacing w:after="0" w:line="251" w:lineRule="auto"/>
        <w:rPr>
          <w:sz w:val="20"/>
          <w:szCs w:val="20"/>
          <w:color w:val="auto"/>
        </w:rPr>
      </w:pPr>
      <w:r>
        <w:rPr>
          <w:rFonts w:ascii="Calibri" w:cs="Calibri" w:eastAsia="Calibri" w:hAnsi="Calibri"/>
          <w:sz w:val="17"/>
          <w:szCs w:val="17"/>
          <w:color w:val="auto"/>
        </w:rPr>
        <w:t>Our consolidated fnancial statements have been prepared in conformity with U.S. GAAP. This preparaton of our fnancial statements requires management to make estmates and judgments that afect the reported amounts of assets, liabilites, revenues, and expenses and related disclosure of contngent assets and liabilites. We consider an accountng estmate to be critcal to the fnancial statements if (i) the estmate is complex in nature or requires a high degree of judgment and if (ii) diferent estmates and assumptons were used, the results could have a material impact on the consolidated fnancial statements. On an ongoing basis, we evaluate our estmates and the applicaton of our policies. We base our estmates on historical experience, current conditons and on various other assumptons that we believe are reasonable under the circumstances, the results of which form the basis for making judgments about the carrying values of assets and liabilites that are not readily apparent from other sources. Actual results may difer from these estmates. We believe the following critcal accountng estmates are the most signifcant to understanding our consolidated fnancial statements.</w:t>
      </w:r>
    </w:p>
    <w:p>
      <w:pPr>
        <w:spacing w:after="0" w:line="81"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Deferred Tax Assets</w:t>
      </w:r>
    </w:p>
    <w:p>
      <w:pPr>
        <w:spacing w:after="0" w:line="82"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We have established valuaton allowances against a variety of deferred tax assets, including net operatng loss carryforwards, capital loss carryforwards, foreign tax credits, and other income tax credits. We assess the realizability of our deferred tax assets quarterly and recognize a valuaton allowance when it is more likely than not that some or all of our deferred tax assets are not realizable. This assessment is completed on a jurisdicton-by-jurisdicton basis and relies on the weight of all positve and negatve evidence available. Cumulatve pre-tax losses for a three-year period are considered signifcant objectve negatve evidence that some or all of our deferred tax assets may not be realizable. Cumulatve reported pre-tax income is considered objectvely verifable positve evidence of our ability to generate positve pretax income in the future.</w:t>
      </w:r>
    </w:p>
    <w:p>
      <w:pPr>
        <w:spacing w:after="0" w:line="86"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In accordance with U.S. GAAP, when there is a recent history of pre-tax losses, there is litle weight placed on forecasts for purposes of assessing the recoverability of our deferred tax assets. Judgment is required when considering the relatve impact of positve and negatve evidence. The weight given to the potental efect of positve and negatve evidence is commensurate with the extent that it can be objectvely verifed. The more negatve evidence that exists, the more positve evidence is necessary to support a conclusion that a valuaton allowance is not needed. We consider the availability of objectvely verifable evidence, such as positve recent core operatng results afer adjustng for nonrecurring items in determining our ability to utlize deferred tax assets. We use systematc and logical methods to estmate when deferred tax liabilites will reverse and generate taxable income and when deferred tax assets will reverse and generate tax deductons. Assumptons, judgment, and estmates are required when estmatng future income and scheduling the reversal of deferred tax assets and liabilites, and the exercise is inherently complex and subjectve.</w:t>
      </w:r>
    </w:p>
    <w:p>
      <w:pPr>
        <w:spacing w:after="0" w:line="88"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Management concluded that, based on the weight of all available evidence at September 30, 2023, it is more likely than not that a porton of our U.S.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deferred tax assets will be realized, resultng in a $152 million release of valuaton allowance.</w:t>
      </w:r>
    </w:p>
    <w:p>
      <w:pPr>
        <w:spacing w:after="0" w:line="82" w:lineRule="exact"/>
        <w:rPr>
          <w:sz w:val="20"/>
          <w:szCs w:val="20"/>
          <w:color w:val="auto"/>
        </w:rPr>
      </w:pPr>
    </w:p>
    <w:p>
      <w:pPr>
        <w:ind w:left="260" w:right="980" w:firstLine="254"/>
        <w:spacing w:after="0" w:line="319" w:lineRule="auto"/>
        <w:rPr>
          <w:sz w:val="20"/>
          <w:szCs w:val="20"/>
          <w:color w:val="auto"/>
        </w:rPr>
      </w:pPr>
      <w:r>
        <w:rPr>
          <w:rFonts w:ascii="Calibri" w:cs="Calibri" w:eastAsia="Calibri" w:hAnsi="Calibri"/>
          <w:sz w:val="18"/>
          <w:szCs w:val="18"/>
          <w:color w:val="auto"/>
        </w:rPr>
        <w:t xml:space="preserve">Refer to Note A and Note Q of our Notes to the Consolidated Financial Statements for descripton of our policies related to income taxes. </w:t>
      </w:r>
      <w:r>
        <w:rPr>
          <w:rFonts w:ascii="Calibri" w:cs="Calibri" w:eastAsia="Calibri" w:hAnsi="Calibri"/>
          <w:sz w:val="18"/>
          <w:szCs w:val="18"/>
          <w:b w:val="1"/>
          <w:bCs w:val="1"/>
          <w:i w:val="1"/>
          <w:iCs w:val="1"/>
          <w:color w:val="auto"/>
        </w:rPr>
        <w:t>Contngencies</w:t>
      </w:r>
    </w:p>
    <w:p>
      <w:pPr>
        <w:spacing w:after="0" w:line="10"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We have recorded a signifcant reserve for respirator liability claims. Our current estmate of the cost of our share of pending and future respirator liability claims is based on facts and circumstances existng at this tme, including the number and nature of the remaining claims. Developments that could afect our estmate include, but are not limited to, (i) signifcant changes in the number of future claims, (ii) changes in the rate of dismissals without payment of pending claims, (iii) signifcant changes in the average cost of resolving claims, including potental setlements of groups of claims, (iv) signifcant changes in the legal costs of defending these claims, (v) changes in the nature of claims received or changes in our assessment of the viability of these claims, (vi) trial and appellate outcomes, (vii) changes in the law and procedure applicable to these claims, (viii) the fnancial viability of the partes that contribute to the payment of respirator claims, (ix) exhauston or changes in the recoverability of the insurance coverage maintained by certain of the partes that contribute to the setlement of respirator claims, or a change in the availability of the indemnity provided by a former owner of the business, (x) changes in the allocaton of costs among the various partes paying legal and setlement costs, and (xi) a determinaton that the assumptons that were used to estmate our share of liability are no longer reasonable. We cannot determine the impact of these potental developments on our current estmate of our share of liability for these existng and future claims. Because reserves are limited to amounts that are probable and estmable as of a relevant measurement date, and there is inherent difculty in projectng the impact of potental developments on our share of liability for these existng and future claims, it is reasonably possible that the liabilites for existng and future claims could change in the near term and that change could be material. Refer to Note A and Note S of our Notes to the Consolidated Financial Statements for descripton of our policies related to contngencies.</w:t>
      </w:r>
    </w:p>
    <w:p>
      <w:pPr>
        <w:spacing w:after="0" w:line="20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28" w:name="page29"/>
    <w:bookmarkEnd w:id="28"/>
    <w:p>
      <w:pPr>
        <w:ind w:left="260"/>
        <w:spacing w:after="0"/>
        <w:rPr>
          <w:sz w:val="20"/>
          <w:szCs w:val="20"/>
          <w:color w:val="auto"/>
        </w:rPr>
      </w:pPr>
      <w:r>
        <w:rPr>
          <w:rFonts w:ascii="Calibri" w:cs="Calibri" w:eastAsia="Calibri" w:hAnsi="Calibri"/>
          <w:sz w:val="18"/>
          <w:szCs w:val="18"/>
          <w:b w:val="1"/>
          <w:bCs w:val="1"/>
          <w:i w:val="1"/>
          <w:iCs w:val="1"/>
          <w:color w:val="auto"/>
        </w:rPr>
        <w:t>Goodwill Impairment</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Goodwill is comprised of the purchase price of business acquisitons in excess of the fair value assigned to the net tangible and identfable intangible assets acquired. Goodwill is not amortzed and is subject to impairment testng annually, or when events or changes in the business environment indicate that the carrying value of the reportng unit may exceed its fair value.</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Evaluatng goodwill for impairment involves applying signifcant assumptons including discount rates and forecasted results for the applicable reportng unit, including earnings before interest and tax (“EBIT”), market multples and growth rates. These assumptons are forward looking and could be afected by future economic and market conditons. We engage third-party valuaton specialists as needed to develop the assumptons used in the calculaton and the evaluaton of goodwill balances. Refer to Note A and Note G of our Notes to the Consolidated Financial Statements for a descripton of our policies related to goodwill.</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Recently Issued Accountng Pronouncements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Refer to the discussion in Note B of our Notes to the Consolidated Financial Statements.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Operatons</w:t>
      </w:r>
    </w:p>
    <w:p>
      <w:pPr>
        <w:spacing w:after="0" w:line="96" w:lineRule="exact"/>
        <w:rPr>
          <w:sz w:val="20"/>
          <w:szCs w:val="20"/>
          <w:color w:val="auto"/>
        </w:rPr>
      </w:pPr>
    </w:p>
    <w:p>
      <w:pPr>
        <w:ind w:firstLine="509"/>
        <w:spacing w:after="0" w:line="254" w:lineRule="auto"/>
        <w:rPr>
          <w:sz w:val="20"/>
          <w:szCs w:val="20"/>
          <w:color w:val="auto"/>
        </w:rPr>
      </w:pPr>
      <w:r>
        <w:rPr>
          <w:rFonts w:ascii="Calibri" w:cs="Calibri" w:eastAsia="Calibri" w:hAnsi="Calibri"/>
          <w:sz w:val="17"/>
          <w:szCs w:val="17"/>
          <w:color w:val="auto"/>
        </w:rPr>
        <w:t>Cabot is organized into two reportable segments: Reinforcement Materials and Performance Chemicals. The Company’s former Purifcaton Solutons business was a separate reportable segment prior to divestture in the second quarter of fscal 2022. Cabot is also organized for operatonal purposes into three geographic regions: the Americas; EMEA; and Asia Pacifc. The discussions of our results of operatons for the periods presented refect these structures.</w:t>
      </w:r>
    </w:p>
    <w:p>
      <w:pPr>
        <w:spacing w:after="0" w:line="70"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Our analysis of fnancial conditon and operatng results should be read with our consolidated fnancial statements and accompanying notes. Unless a calendar year is specifed, all references to years in this discussion are to our fscal years ended September 30.</w:t>
      </w:r>
    </w:p>
    <w:p>
      <w:pPr>
        <w:spacing w:after="0" w:line="83" w:lineRule="exact"/>
        <w:rPr>
          <w:sz w:val="20"/>
          <w:szCs w:val="20"/>
          <w:color w:val="auto"/>
        </w:rPr>
      </w:pPr>
    </w:p>
    <w:p>
      <w:pPr>
        <w:jc w:val="both"/>
        <w:ind w:right="140" w:firstLine="509"/>
        <w:spacing w:after="0" w:line="235" w:lineRule="auto"/>
        <w:rPr>
          <w:sz w:val="20"/>
          <w:szCs w:val="20"/>
          <w:color w:val="auto"/>
        </w:rPr>
      </w:pPr>
      <w:r>
        <w:rPr>
          <w:rFonts w:ascii="Calibri" w:cs="Calibri" w:eastAsia="Calibri" w:hAnsi="Calibri"/>
          <w:sz w:val="18"/>
          <w:szCs w:val="18"/>
          <w:color w:val="auto"/>
        </w:rPr>
        <w:t>This secton discusses our fscal 2023 and fscal 2022 results of operatons and year-to-year comparisons between fscal 2023 and fscal 2022. For the discussions of our fscal 2021 results and year-to-year comparisons between fscal 2022 and fscal 2021, refer to our discussions under the headings “Results of Operatons” and “Cash Flows and Liquidity” in Item 7 of the Company’s Annual Report on Form 10-K for the fscal year ended September 30, 2022, which was fled with the United States Securites and Exchange Commission on November 23, 2022.</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Defniton of Terms and Non-GAAP Financial Measures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When discussing our results of operatons, we use several terms as described below.</w:t>
      </w:r>
    </w:p>
    <w:p>
      <w:pPr>
        <w:spacing w:after="0" w:line="82" w:lineRule="exact"/>
        <w:rPr>
          <w:sz w:val="20"/>
          <w:szCs w:val="20"/>
          <w:color w:val="auto"/>
        </w:rPr>
      </w:pPr>
    </w:p>
    <w:p>
      <w:pPr>
        <w:ind w:right="460" w:firstLine="509"/>
        <w:spacing w:after="0" w:line="235" w:lineRule="auto"/>
        <w:rPr>
          <w:sz w:val="20"/>
          <w:szCs w:val="20"/>
          <w:color w:val="auto"/>
        </w:rPr>
      </w:pPr>
      <w:r>
        <w:rPr>
          <w:rFonts w:ascii="Calibri" w:cs="Calibri" w:eastAsia="Calibri" w:hAnsi="Calibri"/>
          <w:sz w:val="18"/>
          <w:szCs w:val="18"/>
          <w:color w:val="auto"/>
        </w:rPr>
        <w:t>The term “product mix” refers to the mix of types and grades of products sold or the mix of geographic regions where products are sold, and the positve or negatve impact this has on the revenue or proftability of the business and/or segment.</w:t>
      </w:r>
    </w:p>
    <w:p>
      <w:pPr>
        <w:spacing w:after="0" w:line="83" w:lineRule="exact"/>
        <w:rPr>
          <w:sz w:val="20"/>
          <w:szCs w:val="20"/>
          <w:color w:val="auto"/>
        </w:rPr>
      </w:pPr>
    </w:p>
    <w:p>
      <w:pPr>
        <w:ind w:right="80" w:firstLine="509"/>
        <w:spacing w:after="0" w:line="250" w:lineRule="auto"/>
        <w:rPr>
          <w:sz w:val="20"/>
          <w:szCs w:val="20"/>
          <w:color w:val="auto"/>
        </w:rPr>
      </w:pPr>
      <w:r>
        <w:rPr>
          <w:rFonts w:ascii="Calibri" w:cs="Calibri" w:eastAsia="Calibri" w:hAnsi="Calibri"/>
          <w:sz w:val="17"/>
          <w:szCs w:val="17"/>
          <w:color w:val="auto"/>
        </w:rPr>
        <w:t>Our discussion under the heading “(Provision) Beneft for Income Taxes and Reconciliaton of Efectve Tax Rate to Operatng Tax Rate” includes a discussion and reconciliaton of our “efectve tax rate” and our “operatng tax rate” for the periods presented, as well as management’s projecton of our operatng tax rate range for the next fscal year. Our operatng tax rate is a non-GAAP fnancial measure and should not be considered as an alternatve to our efectve tax rate, the most comparable GAAP fnancial measure. The operatng tax rate excludes income tax (expense) beneft on certain items and discrete tax items. The income tax (expense) beneft on certain items is determined using the applicable rates in the taxing jurisdictons in which the certain items occurred and includes both current and deferred income tax (expense) beneft based on the nature of the certain items. Discrete tax items include, but are not limited to, changes in valuaton allowance, uncertain tax positons, and other tax items, such as the tax impact of legislatve changes and tax accruals on historic earnings due to changes in indefnite reinvestment assertons. Our defniton of the operatng tax rate may not be comparable to the defniton used by other companies. Management believes that this non-GAAP fnancial measure is useful supplemental informaton because it helps our investors compare our tax rate year to year on a consistent basis and to understand what our tax rate on current operatons would be without the impact of these items.</w:t>
      </w:r>
    </w:p>
    <w:p>
      <w:pPr>
        <w:spacing w:after="0" w:line="21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9" w:name="page30"/>
    <w:bookmarkEnd w:id="29"/>
    <w:p>
      <w:pPr>
        <w:ind w:firstLine="509"/>
        <w:spacing w:after="0" w:line="235" w:lineRule="auto"/>
        <w:rPr>
          <w:sz w:val="20"/>
          <w:szCs w:val="20"/>
          <w:color w:val="auto"/>
        </w:rPr>
      </w:pPr>
      <w:r>
        <w:rPr>
          <w:rFonts w:ascii="Calibri" w:cs="Calibri" w:eastAsia="Calibri" w:hAnsi="Calibri"/>
          <w:sz w:val="18"/>
          <w:szCs w:val="18"/>
          <w:color w:val="auto"/>
        </w:rPr>
        <w:t>Our discussion under the heading “Fiscal 2023 compared to Fiscal 2022—By Business Segment” includes a discussion of Total segment EBIT, which is a non-GAAP fnancial measure defned as Income (loss) from operatons before income taxes and equity in earnings from afliated companies less certain items and other unallocated items. Our Chief Operatng Decision Maker, who is our President and Chief Executve Ofcer, uses segment EBIT to evaluate the operatng results of each segment and to allocate resources to the segments. We believe Total segment EBIT, which refects the sum of EBIT from our reportable segments, provides useful supplemental informaton for our investors as it is an important indicator of our operatonal strength and performance, allows investors to see our results through the eyes of management, and provides context for our discussion of individual business segment performance. Total segment EBIT should not be considered an alternatve for Income (loss) from operatons before income taxes and equity in earnings of afliated companies, which is the most directly comparable U.S. GAAP fnancial measure. A reconciliaton of Total segment EBIT to Income (loss) from operatons before income taxes and equity in earnings of afliated companies is provided under the heading “Fiscal 2023 compared to Fiscal 2022—By Business Segment”. Investors should consider the limitatons associated with this non-GAAP measure, including the potental lack of comparability of this measure from one company to another.</w:t>
      </w:r>
    </w:p>
    <w:p>
      <w:pPr>
        <w:spacing w:after="0" w:line="90" w:lineRule="exact"/>
        <w:rPr>
          <w:sz w:val="20"/>
          <w:szCs w:val="20"/>
          <w:color w:val="auto"/>
        </w:rPr>
      </w:pPr>
    </w:p>
    <w:p>
      <w:pPr>
        <w:ind w:right="40" w:firstLine="509"/>
        <w:spacing w:after="0" w:line="250" w:lineRule="auto"/>
        <w:rPr>
          <w:sz w:val="20"/>
          <w:szCs w:val="20"/>
          <w:color w:val="auto"/>
        </w:rPr>
      </w:pPr>
      <w:r>
        <w:rPr>
          <w:rFonts w:ascii="Calibri" w:cs="Calibri" w:eastAsia="Calibri" w:hAnsi="Calibri"/>
          <w:sz w:val="17"/>
          <w:szCs w:val="17"/>
          <w:color w:val="auto"/>
        </w:rPr>
        <w:t>In calculatng Total segment EBIT, we exclude from our Income (loss) from operatons before income taxes and equity in earnings of afliated companies (i) items of expense and income that management does not consider representatve of our fundamental on-going segment results, which we refer to as “certain items”, and (ii) items that, because they are not controlled by the business segments and primarily beneft corporate objectves, are not allocated to our business segments, such as interest expense and other corporate costs, which include unallocated corporate overhead expenses such as certain corporate salaries and headquarter expenses, plus costs related to special projects and initatves, which we refer to as “other unallocated items”. Management believes excluding the items identfed as certain items facilitates operatng performance comparisons from period to period by eliminatng diferences that would not otherwise be apparent on a U.S. GAAP basis and also facilitates an evaluaton of our operatng performance without the impact of these costs or benefts. The items of income and expense that we have excluded from Total segment EBIT, as applicable, but that are included in our U.S. GAAP Income (loss) from operatons before income taxes and equity in earnings of afliated companies, as applicable, are described below.</w:t>
      </w:r>
    </w:p>
    <w:p>
      <w:pPr>
        <w:spacing w:after="0" w:line="93" w:lineRule="exact"/>
        <w:rPr>
          <w:sz w:val="20"/>
          <w:szCs w:val="20"/>
          <w:color w:val="auto"/>
        </w:rPr>
      </w:pPr>
    </w:p>
    <w:p>
      <w:pPr>
        <w:ind w:left="900" w:right="140" w:hanging="383"/>
        <w:spacing w:after="0" w:line="235" w:lineRule="auto"/>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Asset impairment charges, which primarily include charges associated with an impairment of goodwill, other long-lived assets or assets held for sale.</w:t>
      </w:r>
    </w:p>
    <w:p>
      <w:pPr>
        <w:spacing w:after="0" w:line="96" w:lineRule="exact"/>
        <w:rPr>
          <w:rFonts w:ascii="Times New Roman" w:cs="Times New Roman" w:eastAsia="Times New Roman" w:hAnsi="Times New Roman"/>
          <w:sz w:val="18"/>
          <w:szCs w:val="18"/>
          <w:color w:val="auto"/>
        </w:rPr>
      </w:pPr>
    </w:p>
    <w:p>
      <w:pPr>
        <w:ind w:left="900" w:right="260" w:hanging="383"/>
        <w:spacing w:after="0" w:line="235" w:lineRule="auto"/>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Charges related to the divestture of our Purifcaton Solutons business, which include accelerated costs associated with the change in control and employee incentve compensaton.</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Beneft from the setlement of a royalty arrangement entered into in connecton with the divestture of our former Specialty Fluids business.</w:t>
      </w:r>
    </w:p>
    <w:p>
      <w:pPr>
        <w:spacing w:after="0" w:line="95" w:lineRule="exact"/>
        <w:rPr>
          <w:rFonts w:ascii="Times New Roman" w:cs="Times New Roman" w:eastAsia="Times New Roman" w:hAnsi="Times New Roman"/>
          <w:sz w:val="18"/>
          <w:szCs w:val="18"/>
          <w:color w:val="auto"/>
        </w:rPr>
      </w:pPr>
    </w:p>
    <w:p>
      <w:pPr>
        <w:ind w:left="900" w:right="280" w:hanging="383"/>
        <w:spacing w:after="0" w:line="235" w:lineRule="auto"/>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Legal and environmental reserves and maters, which consist of costs or benefts for maters typically related to former businesses or that are otherwise incurred outside of the ordinary course of business.</w:t>
      </w:r>
    </w:p>
    <w:p>
      <w:pPr>
        <w:spacing w:after="0" w:line="96"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Global restructuring actvites, which include costs or benefts associated with cost reducton initatves or plant closures and are primarily related to (i) employee terminaton costs, (ii) asset impairment charges associated with restructuring actons, (iii) costs to close facilites, including environmental costs and contract terminaton penaltes, and (iv) gains realized on the sale of land or equipment associated with restructured plants or locatons.</w:t>
      </w:r>
    </w:p>
    <w:p>
      <w:pPr>
        <w:spacing w:after="0" w:line="97" w:lineRule="exact"/>
        <w:rPr>
          <w:rFonts w:ascii="Times New Roman" w:cs="Times New Roman" w:eastAsia="Times New Roman" w:hAnsi="Times New Roman"/>
          <w:sz w:val="18"/>
          <w:szCs w:val="18"/>
          <w:color w:val="auto"/>
        </w:rPr>
      </w:pPr>
    </w:p>
    <w:p>
      <w:pPr>
        <w:ind w:left="900" w:right="40" w:hanging="383"/>
        <w:spacing w:after="0" w:line="235" w:lineRule="auto"/>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Acquisiton and integraton-related charges, which include transacton costs, redundant costs incurred during the period of integraton, and costs associated with transitoning certain management and business processes to Cabot’s processes.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Indirect tax setlement credits, which includes favorable setlements resultng in the recoveries of indirect taxes.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Gains (losses) on sale of a business.</w:t>
      </w:r>
    </w:p>
    <w:p>
      <w:pPr>
        <w:spacing w:after="0" w:line="95" w:lineRule="exact"/>
        <w:rPr>
          <w:rFonts w:ascii="Times New Roman" w:cs="Times New Roman" w:eastAsia="Times New Roman" w:hAnsi="Times New Roman"/>
          <w:sz w:val="18"/>
          <w:szCs w:val="18"/>
          <w:color w:val="auto"/>
        </w:rPr>
      </w:pPr>
    </w:p>
    <w:p>
      <w:pPr>
        <w:ind w:left="900" w:right="120" w:hanging="383"/>
        <w:spacing w:after="0" w:line="235" w:lineRule="auto"/>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Employee beneft plan setlements, which consist of either charges or benefts associated with the terminaton of a pension plan or the transfer of a pension plan to a mult-employer plan.</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Gain associated with the bargain purchase of a business.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Gain realized on the sale of land.</w:t>
      </w:r>
    </w:p>
    <w:p>
      <w:pPr>
        <w:spacing w:after="0" w:line="95" w:lineRule="exact"/>
        <w:rPr>
          <w:rFonts w:ascii="Times New Roman" w:cs="Times New Roman" w:eastAsia="Times New Roman" w:hAnsi="Times New Roman"/>
          <w:sz w:val="18"/>
          <w:szCs w:val="18"/>
          <w:color w:val="auto"/>
        </w:rPr>
      </w:pPr>
    </w:p>
    <w:p>
      <w:pPr>
        <w:ind w:left="900" w:right="20" w:hanging="383"/>
        <w:spacing w:after="0" w:line="235" w:lineRule="auto"/>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Argentna controlled currency devaluaton loss relates to the foreign exchange loss from government-controlled currency devaluatons on our net monetary assets denominated in the Argentne peso.</w:t>
      </w:r>
    </w:p>
    <w:p>
      <w:pPr>
        <w:spacing w:after="0" w:line="21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30" w:name="page31"/>
    <w:bookmarkEnd w:id="30"/>
    <w:p>
      <w:pPr>
        <w:ind w:left="260"/>
        <w:spacing w:after="0"/>
        <w:rPr>
          <w:sz w:val="20"/>
          <w:szCs w:val="20"/>
          <w:color w:val="auto"/>
        </w:rPr>
      </w:pPr>
      <w:r>
        <w:rPr>
          <w:rFonts w:ascii="Calibri" w:cs="Calibri" w:eastAsia="Calibri" w:hAnsi="Calibri"/>
          <w:sz w:val="18"/>
          <w:szCs w:val="18"/>
          <w:b w:val="1"/>
          <w:bCs w:val="1"/>
          <w:i w:val="1"/>
          <w:iCs w:val="1"/>
          <w:color w:val="auto"/>
        </w:rPr>
        <w:t>Drivers of Demand and Key Factors Afectng Proftability</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Drivers of demand and key factors afectng our proftability difer by segment. In Reinforcement Materials, longer term demand is driven primarily by:</w:t>
      </w:r>
    </w:p>
    <w:p>
      <w:pPr>
        <w:spacing w:after="0" w:line="8" w:lineRule="exact"/>
        <w:rPr>
          <w:sz w:val="20"/>
          <w:szCs w:val="20"/>
          <w:color w:val="auto"/>
        </w:rPr>
      </w:pPr>
    </w:p>
    <w:p>
      <w:pPr>
        <w:ind w:left="140" w:hanging="132"/>
        <w:spacing w:after="0"/>
        <w:tabs>
          <w:tab w:leader="none" w:pos="140" w:val="left"/>
        </w:tabs>
        <w:numPr>
          <w:ilvl w:val="0"/>
          <w:numId w:val="11"/>
        </w:numPr>
        <w:rPr>
          <w:rFonts w:ascii="Calibri" w:cs="Calibri" w:eastAsia="Calibri" w:hAnsi="Calibri"/>
          <w:sz w:val="17"/>
          <w:szCs w:val="17"/>
          <w:color w:val="auto"/>
        </w:rPr>
      </w:pPr>
      <w:r>
        <w:rPr>
          <w:rFonts w:ascii="Calibri" w:cs="Calibri" w:eastAsia="Calibri" w:hAnsi="Calibri"/>
          <w:sz w:val="17"/>
          <w:szCs w:val="17"/>
          <w:color w:val="auto"/>
        </w:rPr>
        <w:t>the number of vehicle miles driven globally; ii) the number of original equipment and replacement tres produced; iii) the number of automotve builds; and</w:t>
      </w:r>
    </w:p>
    <w:p>
      <w:pPr>
        <w:spacing w:after="0" w:line="8" w:lineRule="exact"/>
        <w:rPr>
          <w:rFonts w:ascii="Calibri" w:cs="Calibri" w:eastAsia="Calibri" w:hAnsi="Calibri"/>
          <w:sz w:val="17"/>
          <w:szCs w:val="17"/>
          <w:color w:val="auto"/>
        </w:rPr>
      </w:pPr>
    </w:p>
    <w:p>
      <w:pPr>
        <w:ind w:right="20" w:firstLine="8"/>
        <w:spacing w:after="0" w:line="235" w:lineRule="auto"/>
        <w:tabs>
          <w:tab w:leader="none" w:pos="212"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changes in supply chain inventory levels to adapt to end-market demand and other market dynamics. Over the past several years, operatng results have been driven by a number of factors, including: i) increases or decreases in our sales volumes driven by changes in producton levels for tres or industrial rubber products and the level at which we service that demand; ii) changes in raw material costs and our ability to adjust the sales price for our products commensurate with changes in raw material costs; iii) changes in pricing and product mix, which includes customer pricing as well as the mix of products sold or the region in which they are sold; iv) global and regional capacity utlizaton for carbon black; v) fxed cost savings achieved through restructuring and other cost saving actvites; vi) the growth of our volumes and market positon in emerging economies; vii) capacity management and technology investments, including the impact of energy utlizaton and yield improvement technologies at our manufacturing facilites; viii) royaltes and technology payments related to our patented elastomer composites technology that is used in tre applicatons; and ix) changes in energy prices associated with our energy center sales and the cost of utlites.</w:t>
      </w:r>
    </w:p>
    <w:p>
      <w:pPr>
        <w:spacing w:after="0" w:line="8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Performance Chemicals, longer term demand is driven primarily by the constructon and infrastructure, automotve, including sales into bateries for electric vehicles, electronics, inkjet printng, and consumer products industries. In recent years, operatng results in Performance Chemicals have been driven by: i) increases or decreases in sales volumes to the industries previously noted; ii) changes in pricing and product mix, which includes customer pricing as well as the mix of products sold or the region in which they are sold; iii) our ability to deliver diferentated products that drive enhanced performance in customers’ applicatons; iv) our ability to obtain value pricing for this diferentaton; v) the cost of new capacity; vi) changes in selling prices relatve to variatons in the cost of raw materials; vii) the adopton of new products for use in our customers’ applicatons; and viii) changes in supply chain inventory levels to adapt to end-market demand and other market dynamics.</w:t>
      </w:r>
    </w:p>
    <w:p>
      <w:pPr>
        <w:spacing w:after="0" w:line="82"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Overview of Results for Fiscal 2023</w:t>
      </w:r>
    </w:p>
    <w:p>
      <w:pPr>
        <w:spacing w:after="0" w:line="82" w:lineRule="exact"/>
        <w:rPr>
          <w:sz w:val="20"/>
          <w:szCs w:val="20"/>
          <w:color w:val="auto"/>
        </w:rPr>
      </w:pPr>
    </w:p>
    <w:p>
      <w:pPr>
        <w:ind w:right="100" w:firstLine="424"/>
        <w:spacing w:after="0" w:line="235" w:lineRule="auto"/>
        <w:rPr>
          <w:sz w:val="20"/>
          <w:szCs w:val="20"/>
          <w:color w:val="auto"/>
        </w:rPr>
      </w:pPr>
      <w:r>
        <w:rPr>
          <w:rFonts w:ascii="Calibri" w:cs="Calibri" w:eastAsia="Calibri" w:hAnsi="Calibri"/>
          <w:sz w:val="18"/>
          <w:szCs w:val="18"/>
          <w:color w:val="auto"/>
        </w:rPr>
        <w:t>During fscal 2023, Income (loss) from operatons before income taxes and equity in earnings of afliated companies increased compared to fscal 2022 primarily due to the impairment and loss on sale charges related to the divestture of the Purifcaton Solutons business, which did not recur in fscal 2023, and higher earnings in our Reinforcement Materials segment partally ofset by lower earnings in our Performance Chemicals segment.</w:t>
      </w:r>
    </w:p>
    <w:p>
      <w:pPr>
        <w:spacing w:after="0" w:line="7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Fiscal 2023 compared to Fiscal 2022—Consolidated</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Net Sales and Other Operatng Revenues and Gross Proft</w:t>
      </w:r>
    </w:p>
    <w:p>
      <w:pPr>
        <w:spacing w:after="0" w:line="10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5"/>
          </w:tcPr>
          <w:p>
            <w:pPr>
              <w:ind w:left="260"/>
              <w:spacing w:after="0"/>
              <w:rPr>
                <w:sz w:val="20"/>
                <w:szCs w:val="20"/>
                <w:color w:val="auto"/>
              </w:rPr>
            </w:pPr>
            <w:r>
              <w:rPr>
                <w:rFonts w:ascii="Calibri" w:cs="Calibri" w:eastAsia="Calibri" w:hAnsi="Calibri"/>
                <w:sz w:val="14"/>
                <w:szCs w:val="14"/>
                <w:b w:val="1"/>
                <w:bCs w:val="1"/>
                <w:color w:val="auto"/>
              </w:rPr>
              <w:t>Years Ended September 30</w:t>
            </w:r>
          </w:p>
        </w:tc>
      </w:tr>
      <w:tr>
        <w:trPr>
          <w:trHeight w:val="33"/>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01"/>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76"/>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r>
      <w:tr>
        <w:trPr>
          <w:trHeight w:val="33"/>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21"/>
              <w:spacing w:after="0" w:line="164" w:lineRule="exact"/>
              <w:rPr>
                <w:sz w:val="20"/>
                <w:szCs w:val="20"/>
                <w:color w:val="auto"/>
              </w:rPr>
            </w:pPr>
            <w:r>
              <w:rPr>
                <w:rFonts w:ascii="Calibri" w:cs="Calibri" w:eastAsia="Calibri" w:hAnsi="Calibri"/>
                <w:sz w:val="14"/>
                <w:szCs w:val="14"/>
                <w:b w:val="1"/>
                <w:bCs w:val="1"/>
                <w:color w:val="auto"/>
              </w:rPr>
              <w:t>(In</w:t>
            </w:r>
          </w:p>
        </w:tc>
        <w:tc>
          <w:tcPr>
            <w:tcW w:w="560" w:type="dxa"/>
            <w:vAlign w:val="bottom"/>
            <w:gridSpan w:val="2"/>
          </w:tcPr>
          <w:p>
            <w:pPr>
              <w:jc w:val="right"/>
              <w:ind w:right="120"/>
              <w:spacing w:after="0" w:line="164" w:lineRule="exact"/>
              <w:rPr>
                <w:sz w:val="20"/>
                <w:szCs w:val="20"/>
                <w:color w:val="auto"/>
              </w:rPr>
            </w:pPr>
            <w:r>
              <w:rPr>
                <w:rFonts w:ascii="Calibri" w:cs="Calibri" w:eastAsia="Calibri" w:hAnsi="Calibri"/>
                <w:sz w:val="14"/>
                <w:szCs w:val="14"/>
                <w:b w:val="1"/>
                <w:bCs w:val="1"/>
                <w:color w:val="auto"/>
                <w:w w:val="83"/>
              </w:rPr>
              <w:t>millions)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62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Net sales and other operatng revenues</w:t>
            </w:r>
          </w:p>
        </w:tc>
        <w:tc>
          <w:tcPr>
            <w:tcW w:w="280" w:type="dxa"/>
            <w:vAlign w:val="bottom"/>
            <w:tcBorders>
              <w:bottom w:val="single" w:sz="8" w:color="CFF0FC"/>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3,931</w:t>
            </w:r>
          </w:p>
        </w:tc>
        <w:tc>
          <w:tcPr>
            <w:tcW w:w="56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4,321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6220" w:type="dxa"/>
            <w:vAlign w:val="bottom"/>
          </w:tcPr>
          <w:p>
            <w:pPr>
              <w:spacing w:after="0" w:line="215" w:lineRule="exact"/>
              <w:rPr>
                <w:sz w:val="20"/>
                <w:szCs w:val="20"/>
                <w:color w:val="auto"/>
              </w:rPr>
            </w:pPr>
            <w:r>
              <w:rPr>
                <w:rFonts w:ascii="Calibri" w:cs="Calibri" w:eastAsia="Calibri" w:hAnsi="Calibri"/>
                <w:sz w:val="18"/>
                <w:szCs w:val="18"/>
                <w:color w:val="auto"/>
              </w:rPr>
              <w:t>Gross proft</w:t>
            </w: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839</w:t>
            </w:r>
          </w:p>
        </w:tc>
        <w:tc>
          <w:tcPr>
            <w:tcW w:w="56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885</w:t>
            </w:r>
          </w:p>
        </w:tc>
        <w:tc>
          <w:tcPr>
            <w:tcW w:w="80" w:type="dxa"/>
            <w:vAlign w:val="bottom"/>
          </w:tcPr>
          <w:p>
            <w:pPr>
              <w:spacing w:after="0"/>
              <w:rPr>
                <w:sz w:val="18"/>
                <w:szCs w:val="18"/>
                <w:color w:val="auto"/>
              </w:rPr>
            </w:pPr>
          </w:p>
        </w:tc>
      </w:tr>
    </w:tbl>
    <w:p>
      <w:pPr>
        <w:spacing w:after="0" w:line="168" w:lineRule="exact"/>
        <w:rPr>
          <w:sz w:val="20"/>
          <w:szCs w:val="20"/>
          <w:color w:val="auto"/>
        </w:rPr>
      </w:pPr>
    </w:p>
    <w:p>
      <w:pPr>
        <w:ind w:right="60" w:firstLine="509"/>
        <w:spacing w:after="0" w:line="251" w:lineRule="auto"/>
        <w:rPr>
          <w:sz w:val="20"/>
          <w:szCs w:val="20"/>
          <w:color w:val="auto"/>
        </w:rPr>
      </w:pPr>
      <w:r>
        <w:rPr>
          <w:rFonts w:ascii="Calibri" w:cs="Calibri" w:eastAsia="Calibri" w:hAnsi="Calibri"/>
          <w:sz w:val="17"/>
          <w:szCs w:val="17"/>
          <w:color w:val="auto"/>
        </w:rPr>
        <w:t>Net sales decreased by $390 million in fscal 2023 as compared to fscal 2022. The decrease in net sales was primarily driven by lower volumes in both segments ($212 million), the negatve impact from foreign currency translaton ($128 million), and the impact of the divestture of our Purifcaton Solutons business in fscal 2022 ($97 million), partally ofset by a favorable price and product mix ($98 million).The favorable price and product mix was driven by favorable 2023 calendar year tre customer contracts agreements within the Reinforcement Materials segment, partally ofset by a weaker price and product mix in the Performance Chemicals segment. The volume decrease is primarily due to destocking in both segments, sof demand in key markets, and, for the Performance Chemicals segment, a prolonged weakness in China following the impact of COVID-19 outbreaks in the frst half of fscal 2023.</w:t>
      </w:r>
    </w:p>
    <w:p>
      <w:pPr>
        <w:spacing w:after="0" w:line="7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Gross proft decreased by $46 million in fscal 2023 as compared to fscal 2022. The decrease was primarily due to lower volumes within both the Reinforcement Materials and Performance Chemicals segments and the negatve impact of foreign currency translaton, partally ofset by higher unit margins in our Reinforcement Materials segment.</w:t>
      </w:r>
    </w:p>
    <w:p>
      <w:pPr>
        <w:spacing w:after="0" w:line="79"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Selling and Administratve Expenses</w:t>
      </w:r>
    </w:p>
    <w:p>
      <w:pPr>
        <w:spacing w:after="0" w:line="103" w:lineRule="exact"/>
        <w:rPr>
          <w:sz w:val="20"/>
          <w:szCs w:val="20"/>
          <w:color w:val="auto"/>
        </w:rPr>
      </w:pPr>
    </w:p>
    <w:p>
      <w:pPr>
        <w:ind w:left="7900"/>
        <w:spacing w:after="0"/>
        <w:rPr>
          <w:sz w:val="20"/>
          <w:szCs w:val="20"/>
          <w:color w:val="auto"/>
        </w:rPr>
      </w:pPr>
      <w:r>
        <w:rPr>
          <w:rFonts w:ascii="Calibri" w:cs="Calibri" w:eastAsia="Calibri" w:hAnsi="Calibri"/>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20955</wp:posOffset>
            </wp:positionV>
            <wp:extent cx="17056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5" w:lineRule="exact"/>
        <w:rPr>
          <w:sz w:val="20"/>
          <w:szCs w:val="20"/>
          <w:color w:val="auto"/>
        </w:rPr>
      </w:pPr>
    </w:p>
    <w:p>
      <w:pPr>
        <w:ind w:left="7820"/>
        <w:spacing w:after="0"/>
        <w:tabs>
          <w:tab w:leader="none" w:pos="9260" w:val="left"/>
        </w:tabs>
        <w:rPr>
          <w:sz w:val="20"/>
          <w:szCs w:val="20"/>
          <w:color w:val="auto"/>
        </w:rPr>
      </w:pPr>
      <w:r>
        <w:rPr>
          <w:rFonts w:ascii="Calibri" w:cs="Calibri" w:eastAsia="Calibri" w:hAnsi="Calibri"/>
          <w:sz w:val="14"/>
          <w:szCs w:val="14"/>
          <w:b w:val="1"/>
          <w:bCs w:val="1"/>
          <w:color w:val="auto"/>
        </w:rPr>
        <w:t>2023</w:t>
      </w:r>
      <w:r>
        <w:rPr>
          <w:sz w:val="20"/>
          <w:szCs w:val="20"/>
          <w:color w:val="auto"/>
        </w:rPr>
        <w:tab/>
      </w:r>
      <w:r>
        <w:rPr>
          <w:rFonts w:ascii="Calibri" w:cs="Calibri" w:eastAsia="Calibri" w:hAnsi="Calibri"/>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20955</wp:posOffset>
            </wp:positionV>
            <wp:extent cx="17056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5" w:lineRule="exact"/>
        <w:rPr>
          <w:sz w:val="20"/>
          <w:szCs w:val="20"/>
          <w:color w:val="auto"/>
        </w:rPr>
      </w:pPr>
    </w:p>
    <w:p>
      <w:pPr>
        <w:ind w:left="834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p>
    <w:p>
      <w:pPr>
        <w:ind w:left="1140"/>
        <w:spacing w:after="0"/>
        <w:tabs>
          <w:tab w:leader="none" w:pos="7340" w:val="left"/>
          <w:tab w:leader="none" w:pos="8280" w:val="left"/>
          <w:tab w:leader="none" w:pos="8820" w:val="left"/>
          <w:tab w:leader="none" w:pos="9740" w:val="left"/>
        </w:tabs>
        <w:rPr>
          <w:sz w:val="20"/>
          <w:szCs w:val="20"/>
          <w:color w:val="auto"/>
        </w:rPr>
      </w:pPr>
      <w:r>
        <w:rPr>
          <w:rFonts w:ascii="Calibri" w:cs="Calibri" w:eastAsia="Calibri" w:hAnsi="Calibri"/>
          <w:sz w:val="18"/>
          <w:szCs w:val="18"/>
          <w:color w:val="auto"/>
        </w:rPr>
        <w:t>Selling and administratve expenses</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253</w:t>
        <w:tab/>
        <w:t>$</w:t>
      </w:r>
      <w:r>
        <w:rPr>
          <w:sz w:val="20"/>
          <w:szCs w:val="20"/>
          <w:color w:val="auto"/>
        </w:rPr>
        <w:tab/>
      </w:r>
      <w:r>
        <w:rPr>
          <w:rFonts w:ascii="Calibri" w:cs="Calibri" w:eastAsia="Calibri" w:hAnsi="Calibri"/>
          <w:sz w:val="17"/>
          <w:szCs w:val="17"/>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1" w:name="page32"/>
    <w:bookmarkEnd w:id="31"/>
    <w:p>
      <w:pPr>
        <w:ind w:right="100" w:firstLine="509"/>
        <w:spacing w:after="0" w:line="235" w:lineRule="auto"/>
        <w:rPr>
          <w:sz w:val="20"/>
          <w:szCs w:val="20"/>
          <w:color w:val="auto"/>
        </w:rPr>
      </w:pPr>
      <w:r>
        <w:rPr>
          <w:rFonts w:ascii="Calibri" w:cs="Calibri" w:eastAsia="Calibri" w:hAnsi="Calibri"/>
          <w:sz w:val="18"/>
          <w:szCs w:val="18"/>
          <w:color w:val="auto"/>
        </w:rPr>
        <w:t>Selling and administratve expenses decreased by $5 million in fscal 2023 as compared to fscal 2022. The decrease in selling and administratve expenses in fscal 2023 was primarily due to a decrease in the incentve compensaton accrual for the fscal 2023 period and prior year charges related to the Purifcaton Solutons divestture, partally ofset by a $17 million beneft from the sale of land in fscal 2022 that did not recur.</w:t>
      </w:r>
    </w:p>
    <w:p>
      <w:pPr>
        <w:spacing w:after="0" w:line="79"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Research and Technical Expenses</w:t>
      </w:r>
    </w:p>
    <w:p>
      <w:pPr>
        <w:spacing w:after="0" w:line="103" w:lineRule="exact"/>
        <w:rPr>
          <w:sz w:val="20"/>
          <w:szCs w:val="20"/>
          <w:color w:val="auto"/>
        </w:rPr>
      </w:pPr>
    </w:p>
    <w:p>
      <w:pPr>
        <w:ind w:left="7900"/>
        <w:spacing w:after="0"/>
        <w:rPr>
          <w:sz w:val="20"/>
          <w:szCs w:val="20"/>
          <w:color w:val="auto"/>
        </w:rPr>
      </w:pPr>
      <w:r>
        <w:rPr>
          <w:rFonts w:ascii="Calibri" w:cs="Calibri" w:eastAsia="Calibri" w:hAnsi="Calibri"/>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20955</wp:posOffset>
            </wp:positionV>
            <wp:extent cx="17056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5" w:lineRule="exact"/>
        <w:rPr>
          <w:sz w:val="20"/>
          <w:szCs w:val="20"/>
          <w:color w:val="auto"/>
        </w:rPr>
      </w:pPr>
    </w:p>
    <w:p>
      <w:pPr>
        <w:ind w:left="7820"/>
        <w:spacing w:after="0"/>
        <w:tabs>
          <w:tab w:leader="none" w:pos="9260" w:val="left"/>
        </w:tabs>
        <w:rPr>
          <w:sz w:val="20"/>
          <w:szCs w:val="20"/>
          <w:color w:val="auto"/>
        </w:rPr>
      </w:pPr>
      <w:r>
        <w:rPr>
          <w:rFonts w:ascii="Calibri" w:cs="Calibri" w:eastAsia="Calibri" w:hAnsi="Calibri"/>
          <w:sz w:val="14"/>
          <w:szCs w:val="14"/>
          <w:b w:val="1"/>
          <w:bCs w:val="1"/>
          <w:color w:val="auto"/>
        </w:rPr>
        <w:t>2023</w:t>
      </w:r>
      <w:r>
        <w:rPr>
          <w:sz w:val="20"/>
          <w:szCs w:val="20"/>
          <w:color w:val="auto"/>
        </w:rPr>
        <w:tab/>
      </w:r>
      <w:r>
        <w:rPr>
          <w:rFonts w:ascii="Calibri" w:cs="Calibri" w:eastAsia="Calibri" w:hAnsi="Calibri"/>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20955</wp:posOffset>
            </wp:positionV>
            <wp:extent cx="17056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5" w:lineRule="exact"/>
        <w:rPr>
          <w:sz w:val="20"/>
          <w:szCs w:val="20"/>
          <w:color w:val="auto"/>
        </w:rPr>
      </w:pPr>
    </w:p>
    <w:p>
      <w:pPr>
        <w:ind w:left="834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p>
    <w:p>
      <w:pPr>
        <w:ind w:left="1140"/>
        <w:spacing w:after="0"/>
        <w:tabs>
          <w:tab w:leader="none" w:pos="7340" w:val="left"/>
          <w:tab w:leader="none" w:pos="8380" w:val="left"/>
          <w:tab w:leader="none" w:pos="8820" w:val="left"/>
          <w:tab w:leader="none" w:pos="9820" w:val="left"/>
        </w:tabs>
        <w:rPr>
          <w:sz w:val="20"/>
          <w:szCs w:val="20"/>
          <w:color w:val="auto"/>
        </w:rPr>
      </w:pPr>
      <w:r>
        <w:rPr>
          <w:rFonts w:ascii="Calibri" w:cs="Calibri" w:eastAsia="Calibri" w:hAnsi="Calibri"/>
          <w:sz w:val="18"/>
          <w:szCs w:val="18"/>
          <w:color w:val="auto"/>
        </w:rPr>
        <w:t>Research and technical expenses</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57</w:t>
        <w:tab/>
        <w:t>$</w:t>
      </w:r>
      <w:r>
        <w:rPr>
          <w:sz w:val="20"/>
          <w:szCs w:val="20"/>
          <w:color w:val="auto"/>
        </w:rPr>
        <w:tab/>
      </w:r>
      <w:r>
        <w:rPr>
          <w:rFonts w:ascii="Calibri" w:cs="Calibri" w:eastAsia="Calibri" w:hAnsi="Calibri"/>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5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Research and technical expenses increased by $2 million in fscal 2023 as compared to fscal 2022 primarily due to higher costs related to our batery materials and inkjet product lines.</w:t>
      </w:r>
    </w:p>
    <w:p>
      <w:pPr>
        <w:spacing w:after="0" w:line="375"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Impairment Charges and Loss on Sale</w:t>
      </w:r>
    </w:p>
    <w:p>
      <w:pPr>
        <w:spacing w:after="0" w:line="130" w:lineRule="exact"/>
        <w:rPr>
          <w:sz w:val="20"/>
          <w:szCs w:val="20"/>
          <w:color w:val="auto"/>
        </w:rPr>
      </w:pPr>
    </w:p>
    <w:p>
      <w:pPr>
        <w:ind w:left="7900"/>
        <w:spacing w:after="0"/>
        <w:rPr>
          <w:sz w:val="20"/>
          <w:szCs w:val="20"/>
          <w:color w:val="auto"/>
        </w:rPr>
      </w:pPr>
      <w:r>
        <w:rPr>
          <w:rFonts w:ascii="Calibri" w:cs="Calibri" w:eastAsia="Calibri" w:hAnsi="Calibri"/>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20955</wp:posOffset>
            </wp:positionV>
            <wp:extent cx="17056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5" w:lineRule="exact"/>
        <w:rPr>
          <w:sz w:val="20"/>
          <w:szCs w:val="20"/>
          <w:color w:val="auto"/>
        </w:rPr>
      </w:pPr>
    </w:p>
    <w:p>
      <w:pPr>
        <w:ind w:left="7820"/>
        <w:spacing w:after="0"/>
        <w:tabs>
          <w:tab w:leader="none" w:pos="9260" w:val="left"/>
        </w:tabs>
        <w:rPr>
          <w:sz w:val="20"/>
          <w:szCs w:val="20"/>
          <w:color w:val="auto"/>
        </w:rPr>
      </w:pPr>
      <w:r>
        <w:rPr>
          <w:rFonts w:ascii="Calibri" w:cs="Calibri" w:eastAsia="Calibri" w:hAnsi="Calibri"/>
          <w:sz w:val="14"/>
          <w:szCs w:val="14"/>
          <w:b w:val="1"/>
          <w:bCs w:val="1"/>
          <w:color w:val="auto"/>
        </w:rPr>
        <w:t>2023</w:t>
      </w:r>
      <w:r>
        <w:rPr>
          <w:sz w:val="20"/>
          <w:szCs w:val="20"/>
          <w:color w:val="auto"/>
        </w:rPr>
        <w:tab/>
      </w:r>
      <w:r>
        <w:rPr>
          <w:rFonts w:ascii="Calibri" w:cs="Calibri" w:eastAsia="Calibri" w:hAnsi="Calibri"/>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20955</wp:posOffset>
            </wp:positionV>
            <wp:extent cx="17056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5" w:lineRule="exact"/>
        <w:rPr>
          <w:sz w:val="20"/>
          <w:szCs w:val="20"/>
          <w:color w:val="auto"/>
        </w:rPr>
      </w:pPr>
    </w:p>
    <w:p>
      <w:pPr>
        <w:ind w:left="834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p>
    <w:p>
      <w:pPr>
        <w:ind w:left="1140"/>
        <w:spacing w:after="0"/>
        <w:tabs>
          <w:tab w:leader="none" w:pos="7340" w:val="left"/>
          <w:tab w:leader="none" w:pos="8460" w:val="left"/>
          <w:tab w:leader="none" w:pos="8820" w:val="left"/>
          <w:tab w:leader="none" w:pos="9740" w:val="left"/>
        </w:tabs>
        <w:rPr>
          <w:sz w:val="20"/>
          <w:szCs w:val="20"/>
          <w:color w:val="auto"/>
        </w:rPr>
      </w:pPr>
      <w:r>
        <w:rPr>
          <w:rFonts w:ascii="Calibri" w:cs="Calibri" w:eastAsia="Calibri" w:hAnsi="Calibri"/>
          <w:sz w:val="18"/>
          <w:szCs w:val="18"/>
          <w:color w:val="auto"/>
        </w:rPr>
        <w:t>Loss on sale of business and asset impairment charge</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3</w:t>
        <w:tab/>
        <w:t>$</w:t>
      </w:r>
      <w:r>
        <w:rPr>
          <w:sz w:val="20"/>
          <w:szCs w:val="20"/>
          <w:color w:val="auto"/>
        </w:rPr>
        <w:tab/>
      </w:r>
      <w:r>
        <w:rPr>
          <w:rFonts w:ascii="Calibri" w:cs="Calibri" w:eastAsia="Calibri" w:hAnsi="Calibri"/>
          <w:sz w:val="17"/>
          <w:szCs w:val="17"/>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97"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The loss on sale and asset impairment charges associated with the sale of the Purifcaton Solutons business are described in Note D of our Notes to the Consolidated Financial Statements.</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Interest and Dividend Income</w:t>
      </w:r>
    </w:p>
    <w:p>
      <w:pPr>
        <w:spacing w:after="0" w:line="103" w:lineRule="exact"/>
        <w:rPr>
          <w:sz w:val="20"/>
          <w:szCs w:val="20"/>
          <w:color w:val="auto"/>
        </w:rPr>
      </w:pPr>
    </w:p>
    <w:p>
      <w:pPr>
        <w:ind w:left="7900"/>
        <w:spacing w:after="0"/>
        <w:rPr>
          <w:sz w:val="20"/>
          <w:szCs w:val="20"/>
          <w:color w:val="auto"/>
        </w:rPr>
      </w:pPr>
      <w:r>
        <w:rPr>
          <w:rFonts w:ascii="Calibri" w:cs="Calibri" w:eastAsia="Calibri" w:hAnsi="Calibri"/>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20955</wp:posOffset>
            </wp:positionV>
            <wp:extent cx="17056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5" w:lineRule="exact"/>
        <w:rPr>
          <w:sz w:val="20"/>
          <w:szCs w:val="20"/>
          <w:color w:val="auto"/>
        </w:rPr>
      </w:pPr>
    </w:p>
    <w:p>
      <w:pPr>
        <w:ind w:left="7820"/>
        <w:spacing w:after="0"/>
        <w:tabs>
          <w:tab w:leader="none" w:pos="9260" w:val="left"/>
        </w:tabs>
        <w:rPr>
          <w:sz w:val="20"/>
          <w:szCs w:val="20"/>
          <w:color w:val="auto"/>
        </w:rPr>
      </w:pPr>
      <w:r>
        <w:rPr>
          <w:rFonts w:ascii="Calibri" w:cs="Calibri" w:eastAsia="Calibri" w:hAnsi="Calibri"/>
          <w:sz w:val="14"/>
          <w:szCs w:val="14"/>
          <w:b w:val="1"/>
          <w:bCs w:val="1"/>
          <w:color w:val="auto"/>
        </w:rPr>
        <w:t>2023</w:t>
      </w:r>
      <w:r>
        <w:rPr>
          <w:sz w:val="20"/>
          <w:szCs w:val="20"/>
          <w:color w:val="auto"/>
        </w:rPr>
        <w:tab/>
      </w:r>
      <w:r>
        <w:rPr>
          <w:rFonts w:ascii="Calibri" w:cs="Calibri" w:eastAsia="Calibri" w:hAnsi="Calibri"/>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20955</wp:posOffset>
            </wp:positionV>
            <wp:extent cx="17056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5" w:lineRule="exact"/>
        <w:rPr>
          <w:sz w:val="20"/>
          <w:szCs w:val="20"/>
          <w:color w:val="auto"/>
        </w:rPr>
      </w:pPr>
    </w:p>
    <w:p>
      <w:pPr>
        <w:ind w:left="834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p>
    <w:p>
      <w:pPr>
        <w:ind w:left="1140"/>
        <w:spacing w:after="0"/>
        <w:tabs>
          <w:tab w:leader="none" w:pos="7340" w:val="left"/>
          <w:tab w:leader="none" w:pos="8380" w:val="left"/>
          <w:tab w:leader="none" w:pos="8820" w:val="left"/>
          <w:tab w:leader="none" w:pos="9820" w:val="left"/>
        </w:tabs>
        <w:rPr>
          <w:sz w:val="20"/>
          <w:szCs w:val="20"/>
          <w:color w:val="auto"/>
        </w:rPr>
      </w:pPr>
      <w:r>
        <w:rPr>
          <w:rFonts w:ascii="Calibri" w:cs="Calibri" w:eastAsia="Calibri" w:hAnsi="Calibri"/>
          <w:sz w:val="18"/>
          <w:szCs w:val="18"/>
          <w:color w:val="auto"/>
        </w:rPr>
        <w:t>Interest and dividend income</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31</w:t>
        <w:tab/>
        <w:t>$</w:t>
      </w:r>
      <w:r>
        <w:rPr>
          <w:sz w:val="20"/>
          <w:szCs w:val="20"/>
          <w:color w:val="auto"/>
        </w:rPr>
        <w:tab/>
      </w:r>
      <w:r>
        <w:rPr>
          <w:rFonts w:ascii="Calibri" w:cs="Calibri" w:eastAsia="Calibri" w:hAnsi="Calibri"/>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57" w:lineRule="exact"/>
        <w:rPr>
          <w:sz w:val="20"/>
          <w:szCs w:val="20"/>
          <w:color w:val="auto"/>
        </w:rPr>
      </w:pPr>
    </w:p>
    <w:p>
      <w:pPr>
        <w:ind w:left="260" w:right="1280" w:firstLine="254"/>
        <w:spacing w:after="0" w:line="319" w:lineRule="auto"/>
        <w:rPr>
          <w:sz w:val="20"/>
          <w:szCs w:val="20"/>
          <w:color w:val="auto"/>
        </w:rPr>
      </w:pPr>
      <w:r>
        <w:rPr>
          <w:rFonts w:ascii="Calibri" w:cs="Calibri" w:eastAsia="Calibri" w:hAnsi="Calibri"/>
          <w:sz w:val="18"/>
          <w:szCs w:val="18"/>
          <w:color w:val="auto"/>
        </w:rPr>
        <w:t xml:space="preserve">Interest and dividend income in fscal 2023 increased by $20 million as compared to fscal 2022 primarily due to higher interest rates. </w:t>
      </w:r>
      <w:r>
        <w:rPr>
          <w:rFonts w:ascii="Calibri" w:cs="Calibri" w:eastAsia="Calibri" w:hAnsi="Calibri"/>
          <w:sz w:val="18"/>
          <w:szCs w:val="18"/>
          <w:i w:val="1"/>
          <w:iCs w:val="1"/>
          <w:color w:val="auto"/>
        </w:rPr>
        <w:t>Interest Expense</w:t>
      </w:r>
    </w:p>
    <w:p>
      <w:pPr>
        <w:spacing w:after="0" w:line="30" w:lineRule="exact"/>
        <w:rPr>
          <w:sz w:val="20"/>
          <w:szCs w:val="20"/>
          <w:color w:val="auto"/>
        </w:rPr>
      </w:pPr>
    </w:p>
    <w:p>
      <w:pPr>
        <w:ind w:left="7900"/>
        <w:spacing w:after="0"/>
        <w:rPr>
          <w:sz w:val="20"/>
          <w:szCs w:val="20"/>
          <w:color w:val="auto"/>
        </w:rPr>
      </w:pPr>
      <w:r>
        <w:rPr>
          <w:rFonts w:ascii="Calibri" w:cs="Calibri" w:eastAsia="Calibri" w:hAnsi="Calibri"/>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20955</wp:posOffset>
            </wp:positionV>
            <wp:extent cx="17056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5" w:lineRule="exact"/>
        <w:rPr>
          <w:sz w:val="20"/>
          <w:szCs w:val="20"/>
          <w:color w:val="auto"/>
        </w:rPr>
      </w:pPr>
    </w:p>
    <w:p>
      <w:pPr>
        <w:ind w:left="7820"/>
        <w:spacing w:after="0"/>
        <w:tabs>
          <w:tab w:leader="none" w:pos="9260" w:val="left"/>
        </w:tabs>
        <w:rPr>
          <w:sz w:val="20"/>
          <w:szCs w:val="20"/>
          <w:color w:val="auto"/>
        </w:rPr>
      </w:pPr>
      <w:r>
        <w:rPr>
          <w:rFonts w:ascii="Calibri" w:cs="Calibri" w:eastAsia="Calibri" w:hAnsi="Calibri"/>
          <w:sz w:val="14"/>
          <w:szCs w:val="14"/>
          <w:b w:val="1"/>
          <w:bCs w:val="1"/>
          <w:color w:val="auto"/>
        </w:rPr>
        <w:t>2023</w:t>
      </w:r>
      <w:r>
        <w:rPr>
          <w:sz w:val="20"/>
          <w:szCs w:val="20"/>
          <w:color w:val="auto"/>
        </w:rPr>
        <w:tab/>
      </w:r>
      <w:r>
        <w:rPr>
          <w:rFonts w:ascii="Calibri" w:cs="Calibri" w:eastAsia="Calibri" w:hAnsi="Calibri"/>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20955</wp:posOffset>
            </wp:positionV>
            <wp:extent cx="17056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5" w:lineRule="exact"/>
        <w:rPr>
          <w:sz w:val="20"/>
          <w:szCs w:val="20"/>
          <w:color w:val="auto"/>
        </w:rPr>
      </w:pPr>
    </w:p>
    <w:p>
      <w:pPr>
        <w:ind w:left="834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p>
    <w:p>
      <w:pPr>
        <w:ind w:left="1140"/>
        <w:spacing w:after="0"/>
        <w:tabs>
          <w:tab w:leader="none" w:pos="7340" w:val="left"/>
          <w:tab w:leader="none" w:pos="8380" w:val="left"/>
          <w:tab w:leader="none" w:pos="8820" w:val="left"/>
          <w:tab w:leader="none" w:pos="9820" w:val="left"/>
        </w:tabs>
        <w:rPr>
          <w:sz w:val="20"/>
          <w:szCs w:val="20"/>
          <w:color w:val="auto"/>
        </w:rPr>
      </w:pPr>
      <w:r>
        <w:rPr>
          <w:rFonts w:ascii="Calibri" w:cs="Calibri" w:eastAsia="Calibri" w:hAnsi="Calibri"/>
          <w:sz w:val="18"/>
          <w:szCs w:val="18"/>
          <w:color w:val="auto"/>
        </w:rPr>
        <w:t>Interest expense</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90</w:t>
        <w:tab/>
        <w:t>$</w:t>
      </w:r>
      <w:r>
        <w:rPr>
          <w:sz w:val="20"/>
          <w:szCs w:val="20"/>
          <w:color w:val="auto"/>
        </w:rPr>
        <w:tab/>
      </w:r>
      <w:r>
        <w:rPr>
          <w:rFonts w:ascii="Calibri" w:cs="Calibri" w:eastAsia="Calibri" w:hAnsi="Calibri"/>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5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Interest expense increased by $34 million in fscal 2023 as compared to fscal 2022 primarily due to higher interest rates.</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Other Income (Expense)</w:t>
      </w:r>
    </w:p>
    <w:p>
      <w:pPr>
        <w:spacing w:after="0" w:line="103" w:lineRule="exact"/>
        <w:rPr>
          <w:sz w:val="20"/>
          <w:szCs w:val="20"/>
          <w:color w:val="auto"/>
        </w:rPr>
      </w:pPr>
    </w:p>
    <w:p>
      <w:pPr>
        <w:jc w:val="center"/>
        <w:ind w:left="6120"/>
        <w:spacing w:after="0"/>
        <w:rPr>
          <w:sz w:val="20"/>
          <w:szCs w:val="20"/>
          <w:color w:val="auto"/>
        </w:rPr>
      </w:pPr>
      <w:r>
        <w:rPr>
          <w:rFonts w:ascii="Calibri" w:cs="Calibri" w:eastAsia="Calibri" w:hAnsi="Calibri"/>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20955</wp:posOffset>
            </wp:positionV>
            <wp:extent cx="1714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 w:lineRule="exact"/>
        <w:rPr>
          <w:sz w:val="20"/>
          <w:szCs w:val="20"/>
          <w:color w:val="auto"/>
        </w:rPr>
      </w:pPr>
    </w:p>
    <w:p>
      <w:pPr>
        <w:ind w:left="7800"/>
        <w:spacing w:after="0"/>
        <w:tabs>
          <w:tab w:leader="none" w:pos="9260" w:val="left"/>
        </w:tabs>
        <w:rPr>
          <w:sz w:val="20"/>
          <w:szCs w:val="20"/>
          <w:color w:val="auto"/>
        </w:rPr>
      </w:pPr>
      <w:r>
        <w:rPr>
          <w:rFonts w:ascii="Calibri" w:cs="Calibri" w:eastAsia="Calibri" w:hAnsi="Calibri"/>
          <w:sz w:val="14"/>
          <w:szCs w:val="14"/>
          <w:b w:val="1"/>
          <w:bCs w:val="1"/>
          <w:color w:val="auto"/>
        </w:rPr>
        <w:t>2023</w:t>
      </w:r>
      <w:r>
        <w:rPr>
          <w:sz w:val="20"/>
          <w:szCs w:val="20"/>
          <w:color w:val="auto"/>
        </w:rPr>
        <w:tab/>
      </w:r>
      <w:r>
        <w:rPr>
          <w:rFonts w:ascii="Calibri" w:cs="Calibri" w:eastAsia="Calibri" w:hAnsi="Calibri"/>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20955</wp:posOffset>
            </wp:positionV>
            <wp:extent cx="1714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 w:lineRule="exact"/>
        <w:rPr>
          <w:sz w:val="20"/>
          <w:szCs w:val="20"/>
          <w:color w:val="auto"/>
        </w:rPr>
      </w:pPr>
    </w:p>
    <w:p>
      <w:pPr>
        <w:ind w:left="832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p>
    <w:p>
      <w:pPr>
        <w:ind w:left="1140"/>
        <w:spacing w:after="0"/>
        <w:tabs>
          <w:tab w:leader="none" w:pos="7320" w:val="left"/>
          <w:tab w:leader="none" w:pos="8300" w:val="left"/>
          <w:tab w:leader="none" w:pos="8800" w:val="left"/>
          <w:tab w:leader="none" w:pos="9860" w:val="left"/>
        </w:tabs>
        <w:rPr>
          <w:sz w:val="20"/>
          <w:szCs w:val="20"/>
          <w:color w:val="auto"/>
        </w:rPr>
      </w:pPr>
      <w:r>
        <w:rPr>
          <w:rFonts w:ascii="Calibri" w:cs="Calibri" w:eastAsia="Calibri" w:hAnsi="Calibri"/>
          <w:sz w:val="18"/>
          <w:szCs w:val="18"/>
          <w:color w:val="auto"/>
        </w:rPr>
        <w:t>Other income (expense)</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(16 )</w:t>
        <w:tab/>
        <w:t>$</w:t>
      </w:r>
      <w:r>
        <w:rPr>
          <w:sz w:val="20"/>
          <w:szCs w:val="20"/>
          <w:color w:val="auto"/>
        </w:rPr>
        <w:tab/>
      </w:r>
      <w:r>
        <w:rPr>
          <w:rFonts w:ascii="Calibri" w:cs="Calibri" w:eastAsia="Calibri" w:hAnsi="Calibri"/>
          <w:sz w:val="16"/>
          <w:szCs w:val="16"/>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57" w:lineRule="exact"/>
        <w:rPr>
          <w:sz w:val="20"/>
          <w:szCs w:val="20"/>
          <w:color w:val="auto"/>
        </w:rPr>
      </w:pPr>
    </w:p>
    <w:p>
      <w:pPr>
        <w:ind w:right="640" w:firstLine="509"/>
        <w:spacing w:after="0" w:line="235" w:lineRule="auto"/>
        <w:rPr>
          <w:sz w:val="20"/>
          <w:szCs w:val="20"/>
          <w:color w:val="auto"/>
        </w:rPr>
      </w:pPr>
      <w:r>
        <w:rPr>
          <w:rFonts w:ascii="Calibri" w:cs="Calibri" w:eastAsia="Calibri" w:hAnsi="Calibri"/>
          <w:sz w:val="18"/>
          <w:szCs w:val="18"/>
          <w:color w:val="auto"/>
        </w:rPr>
        <w:t>Other expense increased during fscal 2023 by $7 million as compared to fscal 2022. The change was driven by higher foreign currency losses, primarily in Argentna, partally ofset by an increase in investment income in Argentna and Brazil.</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(Provision) Beneft for Income Taxes and Reconciliaton of Efectve Tax Rate to Operatng Tax Rate</w:t>
      </w:r>
    </w:p>
    <w:p>
      <w:pPr>
        <w:spacing w:after="0" w:line="103" w:lineRule="exact"/>
        <w:rPr>
          <w:sz w:val="20"/>
          <w:szCs w:val="20"/>
          <w:color w:val="auto"/>
        </w:rPr>
      </w:pPr>
    </w:p>
    <w:p>
      <w:pPr>
        <w:ind w:left="6980"/>
        <w:spacing w:after="0"/>
        <w:rPr>
          <w:sz w:val="20"/>
          <w:szCs w:val="20"/>
          <w:color w:val="auto"/>
        </w:rPr>
      </w:pPr>
      <w:r>
        <w:rPr>
          <w:rFonts w:ascii="Calibri" w:cs="Calibri" w:eastAsia="Calibri" w:hAnsi="Calibri"/>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8255</wp:posOffset>
            </wp:positionV>
            <wp:extent cx="293560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35605" cy="171450"/>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p>
      <w:pPr>
        <w:spacing w:after="0" w:line="45" w:lineRule="exact"/>
        <w:rPr>
          <w:sz w:val="20"/>
          <w:szCs w:val="20"/>
          <w:color w:val="auto"/>
        </w:rPr>
      </w:pPr>
    </w:p>
    <w:p>
      <w:pPr>
        <w:ind w:left="6400"/>
        <w:spacing w:after="0"/>
        <w:rPr>
          <w:sz w:val="20"/>
          <w:szCs w:val="20"/>
          <w:color w:val="auto"/>
        </w:rPr>
      </w:pPr>
      <w:r>
        <w:rPr>
          <w:rFonts w:ascii="Calibri" w:cs="Calibri" w:eastAsia="Calibri" w:hAnsi="Calibri"/>
          <w:sz w:val="14"/>
          <w:szCs w:val="14"/>
          <w:b w:val="1"/>
          <w:bCs w:val="1"/>
          <w:color w:val="auto"/>
        </w:rPr>
        <w:t>2023</w:t>
      </w:r>
    </w:p>
    <w:p>
      <w:pPr>
        <w:spacing w:after="0" w:line="45" w:lineRule="exact"/>
        <w:rPr>
          <w:sz w:val="20"/>
          <w:szCs w:val="20"/>
          <w:color w:val="auto"/>
        </w:rPr>
      </w:pPr>
    </w:p>
    <w:p>
      <w:pPr>
        <w:jc w:val="center"/>
        <w:ind w:left="4740"/>
        <w:spacing w:after="0"/>
        <w:rPr>
          <w:sz w:val="20"/>
          <w:szCs w:val="20"/>
          <w:color w:val="auto"/>
        </w:rPr>
      </w:pPr>
      <w:r>
        <w:rPr>
          <w:rFonts w:ascii="Calibri" w:cs="Calibri" w:eastAsia="Calibri" w:hAnsi="Calibri"/>
          <w:sz w:val="14"/>
          <w:szCs w:val="14"/>
          <w:b w:val="1"/>
          <w:bCs w:val="1"/>
          <w:color w:val="auto"/>
        </w:rPr>
        <w:t>(Provision) /</w:t>
      </w:r>
    </w:p>
    <w:p>
      <w:pPr>
        <w:spacing w:after="0" w:line="5" w:lineRule="exact"/>
        <w:rPr>
          <w:sz w:val="20"/>
          <w:szCs w:val="20"/>
          <w:color w:val="auto"/>
        </w:rPr>
      </w:pPr>
    </w:p>
    <w:p>
      <w:pPr>
        <w:jc w:val="center"/>
        <w:ind w:left="4740"/>
        <w:spacing w:after="0"/>
        <w:rPr>
          <w:sz w:val="20"/>
          <w:szCs w:val="20"/>
          <w:color w:val="auto"/>
        </w:rPr>
      </w:pPr>
      <w:r>
        <w:rPr>
          <w:rFonts w:ascii="Calibri" w:cs="Calibri" w:eastAsia="Calibri" w:hAnsi="Calibri"/>
          <w:sz w:val="14"/>
          <w:szCs w:val="14"/>
          <w:b w:val="1"/>
          <w:bCs w:val="1"/>
          <w:color w:val="auto"/>
        </w:rPr>
        <w:t>Beneft for</w:t>
      </w:r>
    </w:p>
    <w:p>
      <w:pPr>
        <w:spacing w:after="0" w:line="5" w:lineRule="exact"/>
        <w:rPr>
          <w:sz w:val="20"/>
          <w:szCs w:val="20"/>
          <w:color w:val="auto"/>
        </w:rPr>
      </w:pPr>
    </w:p>
    <w:p>
      <w:pPr>
        <w:ind w:left="5600"/>
        <w:spacing w:after="0"/>
        <w:tabs>
          <w:tab w:leader="none" w:pos="6920" w:val="left"/>
        </w:tabs>
        <w:rPr>
          <w:sz w:val="20"/>
          <w:szCs w:val="20"/>
          <w:color w:val="auto"/>
        </w:rPr>
      </w:pPr>
      <w:r>
        <w:rPr>
          <w:rFonts w:ascii="Calibri" w:cs="Calibri" w:eastAsia="Calibri" w:hAnsi="Calibri"/>
          <w:sz w:val="14"/>
          <w:szCs w:val="14"/>
          <w:b w:val="1"/>
          <w:bCs w:val="1"/>
          <w:color w:val="auto"/>
        </w:rPr>
        <w:t>Income Taxes</w:t>
      </w:r>
      <w:r>
        <w:rPr>
          <w:sz w:val="20"/>
          <w:szCs w:val="20"/>
          <w:color w:val="auto"/>
        </w:rPr>
        <w:tab/>
      </w:r>
      <w:r>
        <w:rPr>
          <w:rFonts w:ascii="Calibri" w:cs="Calibri" w:eastAsia="Calibri" w:hAnsi="Calibri"/>
          <w:sz w:val="14"/>
          <w:szCs w:val="14"/>
          <w:b w:val="1"/>
          <w:bCs w:val="1"/>
          <w:color w:val="auto"/>
        </w:rPr>
        <w: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20955</wp:posOffset>
            </wp:positionV>
            <wp:extent cx="13112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260" w:type="dxa"/>
            <w:vAlign w:val="bottom"/>
          </w:tcPr>
          <w:p>
            <w:pPr>
              <w:jc w:val="right"/>
              <w:ind w:right="868"/>
              <w:spacing w:after="0"/>
              <w:rPr>
                <w:sz w:val="20"/>
                <w:szCs w:val="20"/>
                <w:color w:val="auto"/>
              </w:rPr>
            </w:pPr>
            <w:r>
              <w:rPr>
                <w:rFonts w:ascii="Calibri" w:cs="Calibri" w:eastAsia="Calibri" w:hAnsi="Calibri"/>
                <w:sz w:val="14"/>
                <w:szCs w:val="14"/>
                <w:b w:val="1"/>
                <w:bCs w:val="1"/>
                <w:color w:val="auto"/>
              </w:rPr>
              <w:t>2022</w:t>
            </w:r>
          </w:p>
        </w:tc>
      </w:tr>
      <w:tr>
        <w:trPr>
          <w:trHeight w:val="33"/>
        </w:trPr>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63"/>
        </w:trPr>
        <w:tc>
          <w:tcPr>
            <w:tcW w:w="920" w:type="dxa"/>
            <w:vAlign w:val="bottom"/>
          </w:tcPr>
          <w:p>
            <w:pPr>
              <w:jc w:val="center"/>
              <w:spacing w:after="0" w:line="164" w:lineRule="exact"/>
              <w:rPr>
                <w:sz w:val="20"/>
                <w:szCs w:val="20"/>
                <w:color w:val="auto"/>
              </w:rPr>
            </w:pPr>
            <w:r>
              <w:rPr>
                <w:rFonts w:ascii="Calibri" w:cs="Calibri" w:eastAsia="Calibri" w:hAnsi="Calibri"/>
                <w:sz w:val="14"/>
                <w:szCs w:val="14"/>
                <w:b w:val="1"/>
                <w:bCs w:val="1"/>
                <w:color w:val="auto"/>
              </w:rPr>
              <w:t>(Provision) /</w:t>
            </w:r>
          </w:p>
        </w:tc>
        <w:tc>
          <w:tcPr>
            <w:tcW w:w="1260" w:type="dxa"/>
            <w:vAlign w:val="bottom"/>
          </w:tcPr>
          <w:p>
            <w:pPr>
              <w:spacing w:after="0"/>
              <w:rPr>
                <w:sz w:val="14"/>
                <w:szCs w:val="14"/>
                <w:color w:val="auto"/>
              </w:rPr>
            </w:pPr>
          </w:p>
        </w:tc>
      </w:tr>
      <w:tr>
        <w:trPr>
          <w:trHeight w:val="175"/>
        </w:trPr>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Beneft for</w:t>
            </w:r>
          </w:p>
        </w:tc>
        <w:tc>
          <w:tcPr>
            <w:tcW w:w="1260" w:type="dxa"/>
            <w:vAlign w:val="bottom"/>
          </w:tcPr>
          <w:p>
            <w:pPr>
              <w:spacing w:after="0"/>
              <w:rPr>
                <w:sz w:val="15"/>
                <w:szCs w:val="15"/>
                <w:color w:val="auto"/>
              </w:rPr>
            </w:pPr>
          </w:p>
        </w:tc>
      </w:tr>
      <w:tr>
        <w:trPr>
          <w:trHeight w:val="175"/>
        </w:trPr>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Income Taxes</w:t>
            </w:r>
          </w:p>
        </w:tc>
        <w:tc>
          <w:tcPr>
            <w:tcW w:w="1260" w:type="dxa"/>
            <w:vAlign w:val="bottom"/>
          </w:tcPr>
          <w:p>
            <w:pPr>
              <w:jc w:val="right"/>
              <w:ind w:right="368"/>
              <w:spacing w:after="0"/>
              <w:rPr>
                <w:sz w:val="20"/>
                <w:szCs w:val="20"/>
                <w:color w:val="auto"/>
              </w:rPr>
            </w:pPr>
            <w:r>
              <w:rPr>
                <w:rFonts w:ascii="Calibri" w:cs="Calibri" w:eastAsia="Calibri" w:hAnsi="Calibri"/>
                <w:sz w:val="14"/>
                <w:szCs w:val="14"/>
                <w:b w:val="1"/>
                <w:bCs w:val="1"/>
                <w:color w:val="auto"/>
              </w:rPr>
              <w:t>Rate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13798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7220" w:space="640"/>
            <w:col w:w="3380"/>
          </w:cols>
          <w:pgMar w:left="320" w:top="495" w:right="33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Calibri" w:cs="Calibri" w:eastAsia="Calibri" w:hAnsi="Calibri"/>
                <w:sz w:val="14"/>
                <w:szCs w:val="14"/>
                <w:color w:val="auto"/>
              </w:rPr>
              <w:t>(Dollars in millions)</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77"/>
        </w:trPr>
        <w:tc>
          <w:tcPr>
            <w:tcW w:w="1140" w:type="dxa"/>
            <w:vAlign w:val="bottom"/>
          </w:tcPr>
          <w:p>
            <w:pPr>
              <w:spacing w:after="0"/>
              <w:rPr>
                <w:sz w:val="24"/>
                <w:szCs w:val="24"/>
                <w:color w:val="auto"/>
              </w:rPr>
            </w:pPr>
          </w:p>
        </w:tc>
        <w:tc>
          <w:tcPr>
            <w:tcW w:w="4380" w:type="dxa"/>
            <w:vAlign w:val="bottom"/>
          </w:tcPr>
          <w:p>
            <w:pPr>
              <w:spacing w:after="0" w:line="276" w:lineRule="exact"/>
              <w:rPr>
                <w:sz w:val="20"/>
                <w:szCs w:val="20"/>
                <w:color w:val="auto"/>
              </w:rPr>
            </w:pPr>
            <w:r>
              <w:rPr>
                <w:rFonts w:ascii="Calibri" w:cs="Calibri" w:eastAsia="Calibri" w:hAnsi="Calibri"/>
                <w:sz w:val="18"/>
                <w:szCs w:val="18"/>
                <w:color w:val="auto"/>
              </w:rPr>
              <w:t>Efectve tax rate</w:t>
            </w:r>
            <w:r>
              <w:rPr>
                <w:rFonts w:ascii="Calibri" w:cs="Calibri" w:eastAsia="Calibri" w:hAnsi="Calibri"/>
                <w:sz w:val="24"/>
                <w:szCs w:val="24"/>
                <w:color w:val="auto"/>
                <w:vertAlign w:val="superscript"/>
              </w:rPr>
              <w:t>(1)</w:t>
            </w:r>
          </w:p>
        </w:tc>
        <w:tc>
          <w:tcPr>
            <w:tcW w:w="420" w:type="dxa"/>
            <w:vAlign w:val="bottom"/>
          </w:tcPr>
          <w:p>
            <w:pPr>
              <w:spacing w:after="0"/>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28</w:t>
            </w:r>
          </w:p>
        </w:tc>
        <w:tc>
          <w:tcPr>
            <w:tcW w:w="1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-6 %</w:t>
            </w:r>
          </w:p>
        </w:tc>
        <w:tc>
          <w:tcPr>
            <w:tcW w:w="360" w:type="dxa"/>
            <w:vAlign w:val="bottom"/>
          </w:tcPr>
          <w:p>
            <w:pPr>
              <w:jc w:val="right"/>
              <w:ind w:right="170"/>
              <w:spacing w:after="0"/>
              <w:rPr>
                <w:sz w:val="20"/>
                <w:szCs w:val="20"/>
                <w:color w:val="auto"/>
              </w:rPr>
            </w:pPr>
            <w:r>
              <w:rPr>
                <w:rFonts w:ascii="Calibri" w:cs="Calibri" w:eastAsia="Calibri" w:hAnsi="Calibri"/>
                <w:sz w:val="18"/>
                <w:szCs w:val="18"/>
                <w:color w:val="auto"/>
                <w:w w:val="87"/>
              </w:rPr>
              <w:t>$</w:t>
            </w:r>
          </w:p>
        </w:tc>
        <w:tc>
          <w:tcPr>
            <w:tcW w:w="700" w:type="dxa"/>
            <w:vAlign w:val="bottom"/>
            <w:gridSpan w:val="2"/>
          </w:tcPr>
          <w:p>
            <w:pPr>
              <w:jc w:val="right"/>
              <w:ind w:right="20"/>
              <w:spacing w:after="0"/>
              <w:rPr>
                <w:sz w:val="20"/>
                <w:szCs w:val="20"/>
                <w:color w:val="auto"/>
              </w:rPr>
            </w:pPr>
            <w:r>
              <w:rPr>
                <w:rFonts w:ascii="Calibri" w:cs="Calibri" w:eastAsia="Calibri" w:hAnsi="Calibri"/>
                <w:sz w:val="18"/>
                <w:szCs w:val="18"/>
                <w:color w:val="auto"/>
              </w:rPr>
              <w:t>(102 )</w:t>
            </w:r>
          </w:p>
        </w:tc>
        <w:tc>
          <w:tcPr>
            <w:tcW w:w="2320" w:type="dxa"/>
            <w:vAlign w:val="bottom"/>
            <w:gridSpan w:val="3"/>
          </w:tcPr>
          <w:p>
            <w:pPr>
              <w:jc w:val="right"/>
              <w:ind w:right="1060"/>
              <w:spacing w:after="0"/>
              <w:rPr>
                <w:sz w:val="20"/>
                <w:szCs w:val="20"/>
                <w:color w:val="auto"/>
              </w:rPr>
            </w:pPr>
            <w:r>
              <w:rPr>
                <w:rFonts w:ascii="Calibri" w:cs="Calibri" w:eastAsia="Calibri" w:hAnsi="Calibri"/>
                <w:sz w:val="18"/>
                <w:szCs w:val="18"/>
                <w:color w:val="auto"/>
              </w:rPr>
              <w:t>30 %</w:t>
            </w:r>
          </w:p>
        </w:tc>
      </w:tr>
      <w:tr>
        <w:trPr>
          <w:trHeight w:val="243"/>
        </w:trPr>
        <w:tc>
          <w:tcPr>
            <w:tcW w:w="1140" w:type="dxa"/>
            <w:vAlign w:val="bottom"/>
          </w:tcPr>
          <w:p>
            <w:pPr>
              <w:spacing w:after="0"/>
              <w:rPr>
                <w:sz w:val="21"/>
                <w:szCs w:val="21"/>
                <w:color w:val="auto"/>
              </w:rPr>
            </w:pPr>
          </w:p>
        </w:tc>
        <w:tc>
          <w:tcPr>
            <w:tcW w:w="4380" w:type="dxa"/>
            <w:vAlign w:val="bottom"/>
            <w:tcBorders>
              <w:bottom w:val="single" w:sz="8" w:color="CFF0FC"/>
            </w:tcBorders>
            <w:shd w:val="clear" w:color="auto" w:fill="CFF0FC"/>
          </w:tcPr>
          <w:p>
            <w:pPr>
              <w:spacing w:after="0" w:line="243" w:lineRule="exact"/>
              <w:rPr>
                <w:sz w:val="20"/>
                <w:szCs w:val="20"/>
                <w:color w:val="auto"/>
              </w:rPr>
            </w:pPr>
            <w:r>
              <w:rPr>
                <w:rFonts w:ascii="Calibri" w:cs="Calibri" w:eastAsia="Calibri" w:hAnsi="Calibri"/>
                <w:sz w:val="18"/>
                <w:szCs w:val="18"/>
                <w:color w:val="auto"/>
              </w:rPr>
              <w:t>Less: Non-GAAP tax adjustments</w:t>
            </w:r>
            <w:r>
              <w:rPr>
                <w:rFonts w:ascii="Calibri" w:cs="Calibri" w:eastAsia="Calibri" w:hAnsi="Calibri"/>
                <w:sz w:val="24"/>
                <w:szCs w:val="24"/>
                <w:color w:val="auto"/>
                <w:vertAlign w:val="superscript"/>
              </w:rPr>
              <w:t>(2)</w:t>
            </w:r>
          </w:p>
        </w:tc>
        <w:tc>
          <w:tcPr>
            <w:tcW w:w="4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161</w:t>
            </w: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Calibri" w:cs="Calibri" w:eastAsia="Calibri" w:hAnsi="Calibri"/>
                <w:sz w:val="18"/>
                <w:szCs w:val="18"/>
                <w:color w:val="auto"/>
              </w:rPr>
              <w:t>Operatng tax rate</w:t>
            </w:r>
          </w:p>
        </w:tc>
        <w:tc>
          <w:tcPr>
            <w:tcW w:w="420" w:type="dxa"/>
            <w:vAlign w:val="bottom"/>
          </w:tcPr>
          <w:p>
            <w:pPr>
              <w:spacing w:after="0" w:line="215" w:lineRule="exact"/>
              <w:rPr>
                <w:sz w:val="20"/>
                <w:szCs w:val="20"/>
                <w:color w:val="auto"/>
              </w:rPr>
            </w:pPr>
            <w:r>
              <w:rPr>
                <w:rFonts w:ascii="Calibri" w:cs="Calibri" w:eastAsia="Calibri" w:hAnsi="Calibri"/>
                <w:sz w:val="18"/>
                <w:szCs w:val="18"/>
                <w:color w:val="auto"/>
              </w:rPr>
              <w:t>$</w:t>
            </w:r>
          </w:p>
        </w:tc>
        <w:tc>
          <w:tcPr>
            <w:tcW w:w="6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(133 )</w:t>
            </w:r>
          </w:p>
        </w:tc>
        <w:tc>
          <w:tcPr>
            <w:tcW w:w="12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28 %</w:t>
            </w: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(134 )</w:t>
            </w:r>
          </w:p>
        </w:tc>
        <w:tc>
          <w:tcPr>
            <w:tcW w:w="2320" w:type="dxa"/>
            <w:vAlign w:val="bottom"/>
            <w:gridSpan w:val="3"/>
          </w:tcPr>
          <w:p>
            <w:pPr>
              <w:jc w:val="right"/>
              <w:ind w:right="1060"/>
              <w:spacing w:after="0" w:line="215" w:lineRule="exact"/>
              <w:rPr>
                <w:sz w:val="20"/>
                <w:szCs w:val="20"/>
                <w:color w:val="auto"/>
              </w:rPr>
            </w:pPr>
            <w:r>
              <w:rPr>
                <w:rFonts w:ascii="Calibri" w:cs="Calibri" w:eastAsia="Calibri" w:hAnsi="Calibri"/>
                <w:sz w:val="18"/>
                <w:szCs w:val="18"/>
                <w:color w:val="auto"/>
              </w:rPr>
              <w:t>26 %</w:t>
            </w: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05"/>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Calibri" w:cs="Calibri" w:eastAsia="Calibri" w:hAnsi="Calibri"/>
                <w:sz w:val="18"/>
                <w:szCs w:val="18"/>
                <w:color w:val="auto"/>
              </w:rPr>
              <w:t>32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9"/>
        </w:trPr>
        <w:tc>
          <w:tcPr>
            <w:tcW w:w="1140" w:type="dxa"/>
            <w:vAlign w:val="bottom"/>
            <w:tcBorders>
              <w:bottom w:val="single" w:sz="8" w:color="9A9A9A"/>
            </w:tcBorders>
          </w:tcPr>
          <w:p>
            <w:pPr>
              <w:spacing w:after="0"/>
              <w:rPr>
                <w:sz w:val="12"/>
                <w:szCs w:val="12"/>
                <w:color w:val="auto"/>
              </w:rPr>
            </w:pPr>
          </w:p>
        </w:tc>
        <w:tc>
          <w:tcPr>
            <w:tcW w:w="43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-685165</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-685165</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-685165</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-685165</wp:posOffset>
            </wp:positionV>
            <wp:extent cx="51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type w:val="continuous"/>
        </w:sectPr>
      </w:pPr>
    </w:p>
    <w:bookmarkStart w:id="32" w:name="page33"/>
    <w:bookmarkEnd w:id="32"/>
    <w:p>
      <w:pPr>
        <w:ind w:left="520" w:right="160" w:hanging="512"/>
        <w:spacing w:after="0" w:line="201" w:lineRule="auto"/>
        <w:tabs>
          <w:tab w:leader="none" w:pos="520" w:val="left"/>
        </w:tabs>
        <w:numPr>
          <w:ilvl w:val="0"/>
          <w:numId w:val="13"/>
        </w:numPr>
        <w:rPr>
          <w:rFonts w:ascii="Calibri" w:cs="Calibri" w:eastAsia="Calibri" w:hAnsi="Calibri"/>
          <w:sz w:val="24"/>
          <w:szCs w:val="24"/>
          <w:color w:val="auto"/>
          <w:vertAlign w:val="superscript"/>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1912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91260" cy="8890"/>
                    </a:xfrm>
                    <a:prstGeom prst="rect">
                      <a:avLst/>
                    </a:prstGeom>
                    <a:noFill/>
                  </pic:spPr>
                </pic:pic>
              </a:graphicData>
            </a:graphic>
          </wp:anchor>
        </w:drawing>
        <w:t>Refer to the reconciliaton of computed tax expense at the federal statutory rate to the Provision (beneft) for income taxes in Note Q of our Notes to the Consolidated Financial Statements.</w:t>
      </w:r>
    </w:p>
    <w:p>
      <w:pPr>
        <w:spacing w:after="0" w:line="43" w:lineRule="exact"/>
        <w:rPr>
          <w:rFonts w:ascii="Calibri" w:cs="Calibri" w:eastAsia="Calibri" w:hAnsi="Calibri"/>
          <w:sz w:val="24"/>
          <w:szCs w:val="24"/>
          <w:color w:val="auto"/>
          <w:vertAlign w:val="superscript"/>
        </w:rPr>
      </w:pPr>
    </w:p>
    <w:p>
      <w:pPr>
        <w:ind w:left="520" w:right="280" w:hanging="512"/>
        <w:spacing w:after="0" w:line="201" w:lineRule="auto"/>
        <w:tabs>
          <w:tab w:leader="none" w:pos="520" w:val="left"/>
        </w:tabs>
        <w:numPr>
          <w:ilvl w:val="0"/>
          <w:numId w:val="13"/>
        </w:numPr>
        <w:rPr>
          <w:rFonts w:ascii="Calibri" w:cs="Calibri" w:eastAsia="Calibri" w:hAnsi="Calibri"/>
          <w:sz w:val="24"/>
          <w:szCs w:val="24"/>
          <w:color w:val="auto"/>
          <w:vertAlign w:val="superscript"/>
        </w:rPr>
      </w:pPr>
      <w:r>
        <w:rPr>
          <w:rFonts w:ascii="Calibri" w:cs="Calibri" w:eastAsia="Calibri" w:hAnsi="Calibri"/>
          <w:sz w:val="18"/>
          <w:szCs w:val="18"/>
          <w:color w:val="auto"/>
        </w:rPr>
        <w:t>Non-GAAP tax adjustments made to arrive at the operatng tax provision include the income tax (expense) beneft on certain items and discrete tax items, as further described above under the heading “Defniton of Terms and Non-GAAP Financial Measures”.</w:t>
      </w:r>
    </w:p>
    <w:p>
      <w:pPr>
        <w:spacing w:after="0" w:line="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For the year ended September 30, 2023, the (Provision) beneft for income taxes was a $28 million beneft compared to a $102 million expense for fscal 2022. Included in the (provision) beneft for income taxes for the year ended September 30, 2023 is a tax beneft of $152 million related to a partal valuaton allowance release on the Company’s U.S. net deferred tax assets. Included in the (Provision) beneft for income taxes for the year ended September 30, 2022 is the tax impact of the divestture of our Purifcaton Solutons business, and withholding tax accruals on historical and current earnings due to changes in indefnite reinvestment asserton on certain enttes. Our income taxes are afected by the mix of earnings in the tax jurisdictons in which we operate, and the presence of valuaton allowances in certain tax jurisdictons.</w:t>
      </w:r>
    </w:p>
    <w:p>
      <w:pPr>
        <w:spacing w:after="0" w:line="86"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For fscal 2024, we expect our Operatng tax rate to be in the range of 28% to 30%. We are not providing a forward-looking reconciliaton of the operatng tax rate range with an efectve tax rate range because, without unreasonable efort, we are unable to predict with reasonable certainty the maters we would allocate to “certain items,” including unusual gains and losses, costs associated with future restructurings, acquisiton-related expenses and litgaton outcomes. These items are uncertain, depend on various factors, and could have a material impact on the efectve tax rate in future periods.</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Equity in Earnings of Afliated Companies and Net Income (Loss) Atributable to Noncontrolling Interest, Net of Tax</w:t>
      </w:r>
    </w:p>
    <w:p>
      <w:pPr>
        <w:spacing w:after="0" w:line="10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340" w:type="dxa"/>
            <w:vAlign w:val="bottom"/>
            <w:gridSpan w:val="4"/>
          </w:tcPr>
          <w:p>
            <w:pPr>
              <w:jc w:val="right"/>
              <w:ind w:right="220"/>
              <w:spacing w:after="0"/>
              <w:rPr>
                <w:sz w:val="20"/>
                <w:szCs w:val="20"/>
                <w:color w:val="auto"/>
              </w:rPr>
            </w:pPr>
            <w:r>
              <w:rPr>
                <w:rFonts w:ascii="Calibri" w:cs="Calibri" w:eastAsia="Calibri" w:hAnsi="Calibri"/>
                <w:sz w:val="14"/>
                <w:szCs w:val="14"/>
                <w:b w:val="1"/>
                <w:bCs w:val="1"/>
                <w:color w:val="auto"/>
              </w:rPr>
              <w:t>Years Ended September 30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6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6220" w:type="dxa"/>
            <w:vAlign w:val="bottom"/>
          </w:tcPr>
          <w:p>
            <w:pPr>
              <w:spacing w:after="0"/>
              <w:rPr>
                <w:sz w:val="14"/>
                <w:szCs w:val="14"/>
                <w:color w:val="auto"/>
              </w:rPr>
            </w:pPr>
          </w:p>
        </w:tc>
        <w:tc>
          <w:tcPr>
            <w:tcW w:w="860" w:type="dxa"/>
            <w:vAlign w:val="bottom"/>
          </w:tcPr>
          <w:p>
            <w:pPr>
              <w:jc w:val="right"/>
              <w:ind w:right="19"/>
              <w:spacing w:after="0" w:line="164" w:lineRule="exact"/>
              <w:rPr>
                <w:sz w:val="20"/>
                <w:szCs w:val="20"/>
                <w:color w:val="auto"/>
              </w:rPr>
            </w:pPr>
            <w:r>
              <w:rPr>
                <w:rFonts w:ascii="Calibri" w:cs="Calibri" w:eastAsia="Calibri" w:hAnsi="Calibri"/>
                <w:sz w:val="14"/>
                <w:szCs w:val="14"/>
                <w:b w:val="1"/>
                <w:bCs w:val="1"/>
                <w:color w:val="auto"/>
              </w:rPr>
              <w:t>2023</w:t>
            </w:r>
          </w:p>
        </w:tc>
        <w:tc>
          <w:tcPr>
            <w:tcW w:w="380" w:type="dxa"/>
            <w:vAlign w:val="bottom"/>
          </w:tcPr>
          <w:p>
            <w:pPr>
              <w:spacing w:after="0"/>
              <w:rPr>
                <w:sz w:val="14"/>
                <w:szCs w:val="14"/>
                <w:color w:val="auto"/>
              </w:rPr>
            </w:pPr>
          </w:p>
        </w:tc>
        <w:tc>
          <w:tcPr>
            <w:tcW w:w="1100" w:type="dxa"/>
            <w:vAlign w:val="bottom"/>
            <w:gridSpan w:val="2"/>
          </w:tcPr>
          <w:p>
            <w:pPr>
              <w:jc w:val="right"/>
              <w:ind w:right="120"/>
              <w:spacing w:after="0" w:line="164" w:lineRule="exact"/>
              <w:rPr>
                <w:sz w:val="20"/>
                <w:szCs w:val="20"/>
                <w:color w:val="auto"/>
              </w:rPr>
            </w:pPr>
            <w:r>
              <w:rPr>
                <w:rFonts w:ascii="Calibri" w:cs="Calibri" w:eastAsia="Calibri" w:hAnsi="Calibri"/>
                <w:sz w:val="14"/>
                <w:szCs w:val="14"/>
                <w:b w:val="1"/>
                <w:bCs w:val="1"/>
                <w:color w:val="auto"/>
              </w:rPr>
              <w:t>2022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6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6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jc w:val="right"/>
              <w:ind w:right="16"/>
              <w:spacing w:after="0" w:line="164" w:lineRule="exact"/>
              <w:rPr>
                <w:sz w:val="20"/>
                <w:szCs w:val="20"/>
                <w:color w:val="auto"/>
              </w:rPr>
            </w:pPr>
            <w:r>
              <w:rPr>
                <w:rFonts w:ascii="Calibri" w:cs="Calibri" w:eastAsia="Calibri" w:hAnsi="Calibri"/>
                <w:sz w:val="14"/>
                <w:szCs w:val="14"/>
                <w:b w:val="1"/>
                <w:bCs w:val="1"/>
                <w:color w:val="auto"/>
              </w:rPr>
              <w:t>(In</w:t>
            </w:r>
          </w:p>
        </w:tc>
        <w:tc>
          <w:tcPr>
            <w:tcW w:w="1100" w:type="dxa"/>
            <w:vAlign w:val="bottom"/>
            <w:gridSpan w:val="2"/>
          </w:tcPr>
          <w:p>
            <w:pPr>
              <w:jc w:val="right"/>
              <w:ind w:right="660"/>
              <w:spacing w:after="0" w:line="164" w:lineRule="exact"/>
              <w:rPr>
                <w:sz w:val="20"/>
                <w:szCs w:val="20"/>
                <w:color w:val="auto"/>
              </w:rPr>
            </w:pPr>
            <w:r>
              <w:rPr>
                <w:rFonts w:ascii="Calibri" w:cs="Calibri" w:eastAsia="Calibri" w:hAnsi="Calibri"/>
                <w:sz w:val="14"/>
                <w:szCs w:val="14"/>
                <w:b w:val="1"/>
                <w:bCs w:val="1"/>
                <w:color w:val="auto"/>
                <w:w w:val="83"/>
              </w:rPr>
              <w:t>millions)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6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62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Equity in earnings of afliated companies, net of tax</w:t>
            </w:r>
          </w:p>
        </w:tc>
        <w:tc>
          <w:tcPr>
            <w:tcW w:w="860" w:type="dxa"/>
            <w:vAlign w:val="bottom"/>
            <w:tcBorders>
              <w:bottom w:val="single" w:sz="8" w:color="CFF0FC"/>
            </w:tcBorders>
            <w:shd w:val="clear" w:color="auto" w:fill="CFF0FC"/>
          </w:tcPr>
          <w:p>
            <w:pPr>
              <w:jc w:val="right"/>
              <w:ind w:right="679"/>
              <w:spacing w:after="0" w:line="215" w:lineRule="exact"/>
              <w:rPr>
                <w:sz w:val="20"/>
                <w:szCs w:val="20"/>
                <w:color w:val="auto"/>
              </w:rPr>
            </w:pPr>
            <w:r>
              <w:rPr>
                <w:rFonts w:ascii="Calibri" w:cs="Calibri" w:eastAsia="Calibri" w:hAnsi="Calibri"/>
                <w:sz w:val="18"/>
                <w:szCs w:val="18"/>
                <w:color w:val="auto"/>
                <w:w w:val="87"/>
              </w:rPr>
              <w:t>$</w:t>
            </w:r>
          </w:p>
        </w:tc>
        <w:tc>
          <w:tcPr>
            <w:tcW w:w="3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1100" w:type="dxa"/>
            <w:vAlign w:val="bottom"/>
            <w:tcBorders>
              <w:bottom w:val="single" w:sz="8" w:color="CFF0FC"/>
            </w:tcBorders>
            <w:gridSpan w:val="2"/>
            <w:shd w:val="clear" w:color="auto" w:fill="CFF0FC"/>
          </w:tcPr>
          <w:p>
            <w:pPr>
              <w:jc w:val="right"/>
              <w:ind w:right="78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7"/>
        </w:trPr>
        <w:tc>
          <w:tcPr>
            <w:tcW w:w="6220" w:type="dxa"/>
            <w:vAlign w:val="bottom"/>
          </w:tcPr>
          <w:p>
            <w:pPr>
              <w:spacing w:after="0" w:line="207" w:lineRule="exact"/>
              <w:rPr>
                <w:sz w:val="20"/>
                <w:szCs w:val="20"/>
                <w:color w:val="auto"/>
              </w:rPr>
            </w:pPr>
            <w:r>
              <w:rPr>
                <w:rFonts w:ascii="Calibri" w:cs="Calibri" w:eastAsia="Calibri" w:hAnsi="Calibri"/>
                <w:sz w:val="18"/>
                <w:szCs w:val="18"/>
                <w:color w:val="auto"/>
              </w:rPr>
              <w:t>Net income (loss) atributable to noncontrolling interests,</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6220" w:type="dxa"/>
            <w:vAlign w:val="bottom"/>
          </w:tcPr>
          <w:p>
            <w:pPr>
              <w:ind w:left="120"/>
              <w:spacing w:after="0" w:line="215" w:lineRule="exact"/>
              <w:rPr>
                <w:sz w:val="20"/>
                <w:szCs w:val="20"/>
                <w:color w:val="auto"/>
              </w:rPr>
            </w:pPr>
            <w:r>
              <w:rPr>
                <w:rFonts w:ascii="Calibri" w:cs="Calibri" w:eastAsia="Calibri" w:hAnsi="Calibri"/>
                <w:sz w:val="18"/>
                <w:szCs w:val="18"/>
                <w:color w:val="auto"/>
              </w:rPr>
              <w:t>net of tax</w:t>
            </w:r>
          </w:p>
        </w:tc>
        <w:tc>
          <w:tcPr>
            <w:tcW w:w="860" w:type="dxa"/>
            <w:vAlign w:val="bottom"/>
          </w:tcPr>
          <w:p>
            <w:pPr>
              <w:jc w:val="right"/>
              <w:ind w:right="679"/>
              <w:spacing w:after="0" w:line="215" w:lineRule="exact"/>
              <w:rPr>
                <w:sz w:val="20"/>
                <w:szCs w:val="20"/>
                <w:color w:val="auto"/>
              </w:rPr>
            </w:pPr>
            <w:r>
              <w:rPr>
                <w:rFonts w:ascii="Calibri" w:cs="Calibri" w:eastAsia="Calibri" w:hAnsi="Calibri"/>
                <w:sz w:val="18"/>
                <w:szCs w:val="18"/>
                <w:color w:val="auto"/>
                <w:w w:val="87"/>
              </w:rPr>
              <w:t>$</w:t>
            </w:r>
          </w:p>
        </w:tc>
        <w:tc>
          <w:tcPr>
            <w:tcW w:w="380" w:type="dxa"/>
            <w:vAlign w:val="bottom"/>
          </w:tcPr>
          <w:p>
            <w:pPr>
              <w:jc w:val="right"/>
              <w:spacing w:after="0" w:line="215" w:lineRule="exact"/>
              <w:rPr>
                <w:sz w:val="20"/>
                <w:szCs w:val="20"/>
                <w:color w:val="auto"/>
              </w:rPr>
            </w:pPr>
            <w:r>
              <w:rPr>
                <w:rFonts w:ascii="Calibri" w:cs="Calibri" w:eastAsia="Calibri" w:hAnsi="Calibri"/>
                <w:sz w:val="18"/>
                <w:szCs w:val="18"/>
                <w:color w:val="auto"/>
              </w:rPr>
              <w:t>39</w:t>
            </w:r>
          </w:p>
        </w:tc>
        <w:tc>
          <w:tcPr>
            <w:tcW w:w="1100" w:type="dxa"/>
            <w:vAlign w:val="bottom"/>
            <w:gridSpan w:val="2"/>
          </w:tcPr>
          <w:p>
            <w:pPr>
              <w:jc w:val="right"/>
              <w:ind w:right="78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34</w:t>
            </w:r>
          </w:p>
        </w:tc>
        <w:tc>
          <w:tcPr>
            <w:tcW w:w="80" w:type="dxa"/>
            <w:vAlign w:val="bottom"/>
          </w:tcPr>
          <w:p>
            <w:pPr>
              <w:spacing w:after="0"/>
              <w:rPr>
                <w:sz w:val="18"/>
                <w:szCs w:val="18"/>
                <w:color w:val="auto"/>
              </w:rPr>
            </w:pPr>
          </w:p>
        </w:tc>
      </w:tr>
    </w:tbl>
    <w:p>
      <w:pPr>
        <w:spacing w:after="0" w:line="20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Equity in earnings of afliated companies, net of tax, decreased by $5 million in fscal 2023 compared to fscal 2022 primarily due to lower proftability at our equity afliates in India and Venezuela.</w:t>
      </w:r>
    </w:p>
    <w:p>
      <w:pPr>
        <w:spacing w:after="0" w:line="83"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Net income (loss) atributable to noncontrolling interests, net of tax, increased by $5 million in fscal 2023 compared to fscal 2022 primarily due to increased earnings of our joint venture in the Czech Republic, partally ofset by lower earnings of our joint ventures in China.</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Net Income (Loss) Atributable to Cabot Corporaton</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fscal 2023, we reported net income atributable to Cabot Corporaton of $445 million ($7.73 earnings per diluted common share). In fscal 2022, we reported net income atributable to Cabot Corporaton of $209 million ($3.62 earnings per diluted common share). The increase in fscal 2023 was primarily due to a partal release of the valuaton allowance on our U.S. deferred tax assets of $152 million, the absence of the Purifcaton Solutons loss on sale and asset impairment charge of $207 million that occurred in fscal 2022, and higher segment EBIT of $74 million in the Reinforcement Materials segment, partally ofset by lower segment EBIT of $109 million in the Performance Chemicals segment.</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Fiscal 2023 compared to Fiscal 2022—By Business Segment</w:t>
      </w:r>
    </w:p>
    <w:p>
      <w:pPr>
        <w:spacing w:after="0" w:line="82" w:lineRule="exact"/>
        <w:rPr>
          <w:sz w:val="20"/>
          <w:szCs w:val="20"/>
          <w:color w:val="auto"/>
        </w:rPr>
      </w:pPr>
    </w:p>
    <w:p>
      <w:pPr>
        <w:jc w:val="both"/>
        <w:ind w:right="120" w:firstLine="509"/>
        <w:spacing w:after="0" w:line="235" w:lineRule="auto"/>
        <w:rPr>
          <w:sz w:val="20"/>
          <w:szCs w:val="20"/>
          <w:color w:val="auto"/>
        </w:rPr>
      </w:pPr>
      <w:r>
        <w:rPr>
          <w:rFonts w:ascii="Calibri" w:cs="Calibri" w:eastAsia="Calibri" w:hAnsi="Calibri"/>
          <w:sz w:val="18"/>
          <w:szCs w:val="18"/>
          <w:color w:val="auto"/>
        </w:rPr>
        <w:t>Income (loss) from operatons before income taxes and equity in earnings of afliated companies, pre-tax certain items, other unallocated items and Total segment EBIT for fscal 2023 and 2022 are set forth in the table below. The details of certain items and other unallocated items are shown below and in Note T of our Notes to the Consolidated Financial Statements.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00" w:type="dxa"/>
            <w:vAlign w:val="bottom"/>
            <w:gridSpan w:val="4"/>
          </w:tcPr>
          <w:p>
            <w:pPr>
              <w:jc w:val="right"/>
              <w:ind w:right="76"/>
              <w:spacing w:after="0"/>
              <w:rPr>
                <w:sz w:val="20"/>
                <w:szCs w:val="20"/>
                <w:color w:val="auto"/>
              </w:rPr>
            </w:pPr>
            <w:r>
              <w:rPr>
                <w:rFonts w:ascii="Calibri" w:cs="Calibri" w:eastAsia="Calibri" w:hAnsi="Calibri"/>
                <w:sz w:val="14"/>
                <w:szCs w:val="14"/>
                <w:b w:val="1"/>
                <w:bCs w:val="1"/>
                <w:color w:val="auto"/>
              </w:rPr>
              <w:t>Years Ended September 30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4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080" w:type="dxa"/>
            <w:vAlign w:val="bottom"/>
            <w:gridSpan w:val="2"/>
          </w:tcPr>
          <w:p>
            <w:pPr>
              <w:jc w:val="right"/>
              <w:ind w:right="516"/>
              <w:spacing w:after="0" w:line="164" w:lineRule="exact"/>
              <w:rPr>
                <w:sz w:val="20"/>
                <w:szCs w:val="20"/>
                <w:color w:val="auto"/>
              </w:rPr>
            </w:pPr>
            <w:r>
              <w:rPr>
                <w:rFonts w:ascii="Calibri" w:cs="Calibri" w:eastAsia="Calibri" w:hAnsi="Calibri"/>
                <w:sz w:val="14"/>
                <w:szCs w:val="14"/>
                <w:b w:val="1"/>
                <w:bCs w:val="1"/>
                <w:color w:val="auto"/>
                <w:w w:val="91"/>
              </w:rPr>
              <w:t>millions)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tcPr>
          <w:p>
            <w:pPr>
              <w:spacing w:after="0"/>
              <w:rPr>
                <w:sz w:val="18"/>
                <w:szCs w:val="18"/>
                <w:color w:val="auto"/>
              </w:rPr>
            </w:pPr>
          </w:p>
        </w:tc>
        <w:tc>
          <w:tcPr>
            <w:tcW w:w="4080" w:type="dxa"/>
            <w:vAlign w:val="bottom"/>
            <w:shd w:val="clear" w:color="auto" w:fill="CFF0FC"/>
          </w:tcPr>
          <w:p>
            <w:pPr>
              <w:spacing w:after="0" w:line="207" w:lineRule="exact"/>
              <w:rPr>
                <w:sz w:val="20"/>
                <w:szCs w:val="20"/>
                <w:color w:val="auto"/>
              </w:rPr>
            </w:pPr>
            <w:r>
              <w:rPr>
                <w:rFonts w:ascii="Calibri" w:cs="Calibri" w:eastAsia="Calibri" w:hAnsi="Calibri"/>
                <w:sz w:val="18"/>
                <w:szCs w:val="18"/>
                <w:color w:val="auto"/>
              </w:rPr>
              <w:t>Income (loss) from operatons before income</w:t>
            </w:r>
          </w:p>
        </w:tc>
        <w:tc>
          <w:tcPr>
            <w:tcW w:w="2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40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taxes and equity in earnings of afliated companies</w:t>
            </w:r>
          </w:p>
        </w:tc>
        <w:tc>
          <w:tcPr>
            <w:tcW w:w="2940" w:type="dxa"/>
            <w:vAlign w:val="bottom"/>
            <w:tcBorders>
              <w:bottom w:val="single" w:sz="8" w:color="CFF0FC"/>
            </w:tcBorders>
            <w:gridSpan w:val="2"/>
            <w:shd w:val="clear" w:color="auto" w:fill="CFF0FC"/>
          </w:tcPr>
          <w:p>
            <w:pPr>
              <w:jc w:val="right"/>
              <w:ind w:right="642"/>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451</w:t>
            </w:r>
          </w:p>
        </w:tc>
        <w:tc>
          <w:tcPr>
            <w:tcW w:w="2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ind w:right="656"/>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335</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080" w:type="dxa"/>
            <w:vAlign w:val="bottom"/>
          </w:tcPr>
          <w:p>
            <w:pPr>
              <w:spacing w:after="0" w:line="215" w:lineRule="exact"/>
              <w:rPr>
                <w:sz w:val="20"/>
                <w:szCs w:val="20"/>
                <w:color w:val="auto"/>
              </w:rPr>
            </w:pPr>
            <w:r>
              <w:rPr>
                <w:rFonts w:ascii="Calibri" w:cs="Calibri" w:eastAsia="Calibri" w:hAnsi="Calibri"/>
                <w:sz w:val="18"/>
                <w:szCs w:val="18"/>
                <w:color w:val="auto"/>
              </w:rPr>
              <w:t>Less: Certain items, pre-tax</w:t>
            </w:r>
          </w:p>
        </w:tc>
        <w:tc>
          <w:tcPr>
            <w:tcW w:w="2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(29 )</w:t>
            </w:r>
          </w:p>
        </w:tc>
        <w:tc>
          <w:tcPr>
            <w:tcW w:w="840" w:type="dxa"/>
            <w:vAlign w:val="bottom"/>
          </w:tcPr>
          <w:p>
            <w:pPr>
              <w:spacing w:after="0"/>
              <w:rPr>
                <w:sz w:val="18"/>
                <w:szCs w:val="18"/>
                <w:color w:val="auto"/>
              </w:rPr>
            </w:pPr>
          </w:p>
        </w:tc>
        <w:tc>
          <w:tcPr>
            <w:tcW w:w="4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(183 )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140" w:type="dxa"/>
            <w:vAlign w:val="bottom"/>
          </w:tcPr>
          <w:p>
            <w:pPr>
              <w:spacing w:after="0"/>
              <w:rPr>
                <w:sz w:val="21"/>
                <w:szCs w:val="21"/>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Less: Other unallocated items</w:t>
            </w:r>
          </w:p>
        </w:tc>
        <w:tc>
          <w:tcPr>
            <w:tcW w:w="2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gridSpan w:val="2"/>
            <w:shd w:val="clear" w:color="auto" w:fill="CFF0FC"/>
          </w:tcPr>
          <w:p>
            <w:pPr>
              <w:jc w:val="right"/>
              <w:ind w:right="108"/>
              <w:spacing w:after="0" w:line="215" w:lineRule="exact"/>
              <w:rPr>
                <w:sz w:val="20"/>
                <w:szCs w:val="20"/>
                <w:color w:val="auto"/>
              </w:rPr>
            </w:pPr>
            <w:r>
              <w:rPr>
                <w:rFonts w:ascii="Calibri" w:cs="Calibri" w:eastAsia="Calibri" w:hAnsi="Calibri"/>
                <w:sz w:val="18"/>
                <w:szCs w:val="18"/>
                <w:color w:val="auto"/>
              </w:rPr>
              <w:t>(127 )</w:t>
            </w:r>
          </w:p>
        </w:tc>
        <w:tc>
          <w:tcPr>
            <w:tcW w:w="8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(124 )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080" w:type="dxa"/>
            <w:vAlign w:val="bottom"/>
            <w:tcBorders>
              <w:top w:val="single" w:sz="8" w:color="CFF0FC"/>
            </w:tcBorders>
          </w:tcPr>
          <w:p>
            <w:pPr>
              <w:spacing w:after="0"/>
              <w:rPr>
                <w:sz w:val="20"/>
                <w:szCs w:val="20"/>
                <w:color w:val="auto"/>
              </w:rPr>
            </w:pPr>
            <w:r>
              <w:rPr>
                <w:rFonts w:ascii="Calibri" w:cs="Calibri" w:eastAsia="Calibri" w:hAnsi="Calibri"/>
                <w:sz w:val="18"/>
                <w:szCs w:val="18"/>
                <w:color w:val="auto"/>
              </w:rPr>
              <w:t>Total segment EBIT</w:t>
            </w:r>
          </w:p>
        </w:tc>
        <w:tc>
          <w:tcPr>
            <w:tcW w:w="2120" w:type="dxa"/>
            <w:vAlign w:val="bottom"/>
            <w:tcBorders>
              <w:top w:val="single" w:sz="8" w:color="CFF0FC"/>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642"/>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607</w:t>
            </w:r>
          </w:p>
        </w:tc>
        <w:tc>
          <w:tcPr>
            <w:tcW w:w="240" w:type="dxa"/>
            <w:vAlign w:val="bottom"/>
            <w:tcBorders>
              <w:top w:val="single" w:sz="8" w:color="CFF0FC"/>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656"/>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642</w:t>
            </w:r>
          </w:p>
        </w:tc>
        <w:tc>
          <w:tcPr>
            <w:tcW w:w="80" w:type="dxa"/>
            <w:vAlign w:val="bottom"/>
            <w:tcBorders>
              <w:top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120" w:type="dxa"/>
            <w:vAlign w:val="bottom"/>
            <w:vMerge w:val="restart"/>
          </w:tcPr>
          <w:p>
            <w:pPr>
              <w:jc w:val="right"/>
              <w:ind w:right="1530"/>
              <w:spacing w:after="0"/>
              <w:rPr>
                <w:sz w:val="20"/>
                <w:szCs w:val="20"/>
                <w:color w:val="auto"/>
              </w:rPr>
            </w:pPr>
            <w:r>
              <w:rPr>
                <w:rFonts w:ascii="Calibri" w:cs="Calibri" w:eastAsia="Calibri" w:hAnsi="Calibri"/>
                <w:sz w:val="18"/>
                <w:szCs w:val="18"/>
                <w:color w:val="auto"/>
              </w:rPr>
              <w:t>33</w:t>
            </w: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1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9A9A9A"/>
            </w:tcBorders>
          </w:tcPr>
          <w:p>
            <w:pPr>
              <w:spacing w:after="0"/>
              <w:rPr>
                <w:sz w:val="12"/>
                <w:szCs w:val="12"/>
                <w:color w:val="auto"/>
              </w:rPr>
            </w:pPr>
          </w:p>
        </w:tc>
        <w:tc>
          <w:tcPr>
            <w:tcW w:w="4080" w:type="dxa"/>
            <w:vAlign w:val="bottom"/>
            <w:tcBorders>
              <w:bottom w:val="single" w:sz="8" w:color="9A9A9A"/>
            </w:tcBorders>
          </w:tcPr>
          <w:p>
            <w:pPr>
              <w:spacing w:after="0"/>
              <w:rPr>
                <w:sz w:val="12"/>
                <w:szCs w:val="12"/>
                <w:color w:val="auto"/>
              </w:rPr>
            </w:pPr>
          </w:p>
        </w:tc>
        <w:tc>
          <w:tcPr>
            <w:tcW w:w="2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-685165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-685165</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33" w:name="page34"/>
    <w:bookmarkEnd w:id="33"/>
    <w:p>
      <w:pPr>
        <w:ind w:firstLine="509"/>
        <w:spacing w:after="0" w:line="235" w:lineRule="auto"/>
        <w:rPr>
          <w:sz w:val="20"/>
          <w:szCs w:val="20"/>
          <w:color w:val="auto"/>
        </w:rPr>
      </w:pPr>
      <w:r>
        <w:rPr>
          <w:rFonts w:ascii="Calibri" w:cs="Calibri" w:eastAsia="Calibri" w:hAnsi="Calibri"/>
          <w:sz w:val="18"/>
          <w:szCs w:val="18"/>
          <w:color w:val="auto"/>
        </w:rPr>
        <w:t>In fscal 2023, Income (loss) from operatons before income taxes and equity in earnings of afliated companies increased by $116 million. The increase is primarily due to the absence of the Purifcaton Solutons loss on sale and asset impairment charge of $207 million that occurred in fscal 2022, partally ofset by the gain on the Tokai Carbon acquisiton of $24 million that did not reoccur in fscal 2023. Total segment EBIT decreased by $35 million in fscal 2023 compared to fscal 2022 driven by lower volumes, the unfavorable impact of foreign currency movements, partally ofset by higher unit margins in the Reinforcement Materials segment. Lower volumes in the Reinforcement Materials ($48 million) and Performance Chemicals ($51 million) segments were primarily due to demand sofness in key end markets and destocking. Higher unit margins in the Reinforcement Materials segment ($128 million) were primarily due to improved pricing and product mix in our calendar year 2023 annual tre customer agreements.</w:t>
      </w:r>
    </w:p>
    <w:p>
      <w:pPr>
        <w:spacing w:after="0" w:line="82"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Certain Items: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Details of the certain items for fscal 2023 and 2022 are as follows:</w:t>
      </w:r>
    </w:p>
    <w:p>
      <w:pPr>
        <w:spacing w:after="0" w:line="10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300" w:type="dxa"/>
            <w:vAlign w:val="bottom"/>
            <w:gridSpan w:val="4"/>
          </w:tcPr>
          <w:p>
            <w:pPr>
              <w:jc w:val="right"/>
              <w:ind w:right="76"/>
              <w:spacing w:after="0"/>
              <w:rPr>
                <w:sz w:val="20"/>
                <w:szCs w:val="20"/>
                <w:color w:val="auto"/>
              </w:rPr>
            </w:pPr>
            <w:r>
              <w:rPr>
                <w:rFonts w:ascii="Calibri" w:cs="Calibri" w:eastAsia="Calibri" w:hAnsi="Calibri"/>
                <w:sz w:val="14"/>
                <w:szCs w:val="14"/>
                <w:b w:val="1"/>
                <w:bCs w:val="1"/>
                <w:color w:val="auto"/>
              </w:rPr>
              <w:t>Years Ended September 30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6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620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6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6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080" w:type="dxa"/>
            <w:vAlign w:val="bottom"/>
            <w:gridSpan w:val="2"/>
          </w:tcPr>
          <w:p>
            <w:pPr>
              <w:jc w:val="right"/>
              <w:ind w:right="516"/>
              <w:spacing w:after="0" w:line="164" w:lineRule="exact"/>
              <w:rPr>
                <w:sz w:val="20"/>
                <w:szCs w:val="20"/>
                <w:color w:val="auto"/>
              </w:rPr>
            </w:pPr>
            <w:r>
              <w:rPr>
                <w:rFonts w:ascii="Calibri" w:cs="Calibri" w:eastAsia="Calibri" w:hAnsi="Calibri"/>
                <w:sz w:val="14"/>
                <w:szCs w:val="14"/>
                <w:b w:val="1"/>
                <w:bCs w:val="1"/>
                <w:color w:val="auto"/>
                <w:w w:val="91"/>
              </w:rPr>
              <w:t>millions)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6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6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Gain on sale of land</w:t>
            </w:r>
          </w:p>
        </w:tc>
        <w:tc>
          <w:tcPr>
            <w:tcW w:w="840" w:type="dxa"/>
            <w:vAlign w:val="bottom"/>
            <w:tcBorders>
              <w:bottom w:val="single" w:sz="8" w:color="CFF0FC"/>
            </w:tcBorders>
            <w:shd w:val="clear" w:color="auto" w:fill="CFF0FC"/>
          </w:tcPr>
          <w:p>
            <w:pPr>
              <w:jc w:val="right"/>
              <w:ind w:right="659"/>
              <w:spacing w:after="0" w:line="215" w:lineRule="exact"/>
              <w:rPr>
                <w:sz w:val="20"/>
                <w:szCs w:val="20"/>
                <w:color w:val="auto"/>
              </w:rPr>
            </w:pPr>
            <w:r>
              <w:rPr>
                <w:rFonts w:ascii="Calibri" w:cs="Calibri" w:eastAsia="Calibri" w:hAnsi="Calibri"/>
                <w:sz w:val="18"/>
                <w:szCs w:val="18"/>
                <w:color w:val="auto"/>
                <w:w w:val="87"/>
              </w:rPr>
              <w:t>$</w:t>
            </w:r>
          </w:p>
        </w:tc>
        <w:tc>
          <w:tcPr>
            <w:tcW w:w="3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ind w:right="656"/>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6200" w:type="dxa"/>
            <w:vAlign w:val="bottom"/>
          </w:tcPr>
          <w:p>
            <w:pPr>
              <w:spacing w:after="0" w:line="215" w:lineRule="exact"/>
              <w:rPr>
                <w:sz w:val="20"/>
                <w:szCs w:val="20"/>
                <w:color w:val="auto"/>
              </w:rPr>
            </w:pPr>
            <w:r>
              <w:rPr>
                <w:rFonts w:ascii="Calibri" w:cs="Calibri" w:eastAsia="Calibri" w:hAnsi="Calibri"/>
                <w:sz w:val="18"/>
                <w:szCs w:val="18"/>
                <w:color w:val="auto"/>
              </w:rPr>
              <w:t>Legal and environmental maters and reserves (Note S)</w:t>
            </w:r>
          </w:p>
        </w:tc>
        <w:tc>
          <w:tcPr>
            <w:tcW w:w="840" w:type="dxa"/>
            <w:vAlign w:val="bottom"/>
          </w:tcPr>
          <w:p>
            <w:pPr>
              <w:spacing w:after="0"/>
              <w:rPr>
                <w:sz w:val="18"/>
                <w:szCs w:val="18"/>
                <w:color w:val="auto"/>
              </w:rPr>
            </w:pPr>
          </w:p>
        </w:tc>
        <w:tc>
          <w:tcPr>
            <w:tcW w:w="62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(10 )</w:t>
            </w:r>
          </w:p>
        </w:tc>
        <w:tc>
          <w:tcPr>
            <w:tcW w:w="840" w:type="dxa"/>
            <w:vAlign w:val="bottom"/>
          </w:tcPr>
          <w:p>
            <w:pPr>
              <w:spacing w:after="0"/>
              <w:rPr>
                <w:sz w:val="18"/>
                <w:szCs w:val="18"/>
                <w:color w:val="auto"/>
              </w:rPr>
            </w:pPr>
          </w:p>
        </w:tc>
        <w:tc>
          <w:tcPr>
            <w:tcW w:w="4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(9 )</w:t>
            </w:r>
          </w:p>
        </w:tc>
      </w:tr>
      <w:tr>
        <w:trPr>
          <w:trHeight w:val="28"/>
        </w:trPr>
        <w:tc>
          <w:tcPr>
            <w:tcW w:w="6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6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Argentna controlled currency devaluaton loss</w:t>
            </w:r>
          </w:p>
        </w:tc>
        <w:tc>
          <w:tcPr>
            <w:tcW w:w="8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108"/>
              <w:spacing w:after="0" w:line="215" w:lineRule="exact"/>
              <w:rPr>
                <w:sz w:val="20"/>
                <w:szCs w:val="20"/>
                <w:color w:val="auto"/>
              </w:rPr>
            </w:pPr>
            <w:r>
              <w:rPr>
                <w:rFonts w:ascii="Calibri" w:cs="Calibri" w:eastAsia="Calibri" w:hAnsi="Calibri"/>
                <w:sz w:val="18"/>
                <w:szCs w:val="18"/>
                <w:color w:val="auto"/>
              </w:rPr>
              <w:t>(7 )</w:t>
            </w:r>
          </w:p>
        </w:tc>
        <w:tc>
          <w:tcPr>
            <w:tcW w:w="8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6200" w:type="dxa"/>
            <w:vAlign w:val="bottom"/>
          </w:tcPr>
          <w:p>
            <w:pPr>
              <w:spacing w:after="0" w:line="215" w:lineRule="exact"/>
              <w:rPr>
                <w:sz w:val="20"/>
                <w:szCs w:val="20"/>
                <w:color w:val="auto"/>
              </w:rPr>
            </w:pPr>
            <w:r>
              <w:rPr>
                <w:rFonts w:ascii="Calibri" w:cs="Calibri" w:eastAsia="Calibri" w:hAnsi="Calibri"/>
                <w:sz w:val="18"/>
                <w:szCs w:val="18"/>
                <w:color w:val="auto"/>
              </w:rPr>
              <w:t>Acquisiton and integraton-related charges</w:t>
            </w:r>
          </w:p>
        </w:tc>
        <w:tc>
          <w:tcPr>
            <w:tcW w:w="840" w:type="dxa"/>
            <w:vAlign w:val="bottom"/>
          </w:tcPr>
          <w:p>
            <w:pPr>
              <w:spacing w:after="0"/>
              <w:rPr>
                <w:sz w:val="18"/>
                <w:szCs w:val="18"/>
                <w:color w:val="auto"/>
              </w:rPr>
            </w:pPr>
          </w:p>
        </w:tc>
        <w:tc>
          <w:tcPr>
            <w:tcW w:w="62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(4 )</w:t>
            </w:r>
          </w:p>
        </w:tc>
        <w:tc>
          <w:tcPr>
            <w:tcW w:w="840" w:type="dxa"/>
            <w:vAlign w:val="bottom"/>
          </w:tcPr>
          <w:p>
            <w:pPr>
              <w:spacing w:after="0"/>
              <w:rPr>
                <w:sz w:val="18"/>
                <w:szCs w:val="18"/>
                <w:color w:val="auto"/>
              </w:rPr>
            </w:pPr>
          </w:p>
        </w:tc>
        <w:tc>
          <w:tcPr>
            <w:tcW w:w="4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(6 )</w:t>
            </w:r>
          </w:p>
        </w:tc>
      </w:tr>
      <w:tr>
        <w:trPr>
          <w:trHeight w:val="28"/>
        </w:trPr>
        <w:tc>
          <w:tcPr>
            <w:tcW w:w="6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6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Global restructuring actvites</w:t>
            </w:r>
          </w:p>
        </w:tc>
        <w:tc>
          <w:tcPr>
            <w:tcW w:w="8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108"/>
              <w:spacing w:after="0" w:line="215" w:lineRule="exact"/>
              <w:rPr>
                <w:sz w:val="20"/>
                <w:szCs w:val="20"/>
                <w:color w:val="auto"/>
              </w:rPr>
            </w:pPr>
            <w:r>
              <w:rPr>
                <w:rFonts w:ascii="Calibri" w:cs="Calibri" w:eastAsia="Calibri" w:hAnsi="Calibri"/>
                <w:sz w:val="18"/>
                <w:szCs w:val="18"/>
                <w:color w:val="auto"/>
              </w:rPr>
              <w:t>(4 )</w:t>
            </w:r>
          </w:p>
        </w:tc>
        <w:tc>
          <w:tcPr>
            <w:tcW w:w="8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(3 )</w:t>
            </w:r>
          </w:p>
        </w:tc>
      </w:tr>
      <w:tr>
        <w:trPr>
          <w:trHeight w:val="215"/>
        </w:trPr>
        <w:tc>
          <w:tcPr>
            <w:tcW w:w="6200" w:type="dxa"/>
            <w:vAlign w:val="bottom"/>
          </w:tcPr>
          <w:p>
            <w:pPr>
              <w:spacing w:after="0" w:line="215" w:lineRule="exact"/>
              <w:rPr>
                <w:sz w:val="20"/>
                <w:szCs w:val="20"/>
                <w:color w:val="auto"/>
              </w:rPr>
            </w:pPr>
            <w:r>
              <w:rPr>
                <w:rFonts w:ascii="Calibri" w:cs="Calibri" w:eastAsia="Calibri" w:hAnsi="Calibri"/>
                <w:sz w:val="18"/>
                <w:szCs w:val="18"/>
                <w:color w:val="auto"/>
              </w:rPr>
              <w:t>Loss on sale of business and asset impairment charge (Note D)</w:t>
            </w:r>
          </w:p>
        </w:tc>
        <w:tc>
          <w:tcPr>
            <w:tcW w:w="840" w:type="dxa"/>
            <w:vAlign w:val="bottom"/>
          </w:tcPr>
          <w:p>
            <w:pPr>
              <w:spacing w:after="0"/>
              <w:rPr>
                <w:sz w:val="18"/>
                <w:szCs w:val="18"/>
                <w:color w:val="auto"/>
              </w:rPr>
            </w:pPr>
          </w:p>
        </w:tc>
        <w:tc>
          <w:tcPr>
            <w:tcW w:w="62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(3 )</w:t>
            </w:r>
          </w:p>
        </w:tc>
        <w:tc>
          <w:tcPr>
            <w:tcW w:w="840" w:type="dxa"/>
            <w:vAlign w:val="bottom"/>
          </w:tcPr>
          <w:p>
            <w:pPr>
              <w:spacing w:after="0"/>
              <w:rPr>
                <w:sz w:val="18"/>
                <w:szCs w:val="18"/>
                <w:color w:val="auto"/>
              </w:rPr>
            </w:pPr>
          </w:p>
        </w:tc>
        <w:tc>
          <w:tcPr>
            <w:tcW w:w="4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(207 )</w:t>
            </w:r>
          </w:p>
        </w:tc>
      </w:tr>
      <w:tr>
        <w:trPr>
          <w:trHeight w:val="28"/>
        </w:trPr>
        <w:tc>
          <w:tcPr>
            <w:tcW w:w="6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6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Other certain items</w:t>
            </w:r>
          </w:p>
        </w:tc>
        <w:tc>
          <w:tcPr>
            <w:tcW w:w="8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108"/>
              <w:spacing w:after="0" w:line="215" w:lineRule="exact"/>
              <w:rPr>
                <w:sz w:val="20"/>
                <w:szCs w:val="20"/>
                <w:color w:val="auto"/>
              </w:rPr>
            </w:pPr>
            <w:r>
              <w:rPr>
                <w:rFonts w:ascii="Calibri" w:cs="Calibri" w:eastAsia="Calibri" w:hAnsi="Calibri"/>
                <w:sz w:val="18"/>
                <w:szCs w:val="18"/>
                <w:color w:val="auto"/>
              </w:rPr>
              <w:t>(2 )</w:t>
            </w:r>
          </w:p>
        </w:tc>
        <w:tc>
          <w:tcPr>
            <w:tcW w:w="8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6200" w:type="dxa"/>
            <w:vAlign w:val="bottom"/>
          </w:tcPr>
          <w:p>
            <w:pPr>
              <w:spacing w:after="0" w:line="215" w:lineRule="exact"/>
              <w:rPr>
                <w:sz w:val="20"/>
                <w:szCs w:val="20"/>
                <w:color w:val="auto"/>
              </w:rPr>
            </w:pPr>
            <w:r>
              <w:rPr>
                <w:rFonts w:ascii="Calibri" w:cs="Calibri" w:eastAsia="Calibri" w:hAnsi="Calibri"/>
                <w:sz w:val="18"/>
                <w:szCs w:val="18"/>
                <w:color w:val="auto"/>
              </w:rPr>
              <w:t>Gain on bargain purchase of a business (Note C)</w:t>
            </w:r>
          </w:p>
        </w:tc>
        <w:tc>
          <w:tcPr>
            <w:tcW w:w="840" w:type="dxa"/>
            <w:vAlign w:val="bottom"/>
          </w:tcPr>
          <w:p>
            <w:pPr>
              <w:spacing w:after="0"/>
              <w:rPr>
                <w:sz w:val="18"/>
                <w:szCs w:val="18"/>
                <w:color w:val="auto"/>
              </w:rPr>
            </w:pPr>
          </w:p>
        </w:tc>
        <w:tc>
          <w:tcPr>
            <w:tcW w:w="620" w:type="dxa"/>
            <w:vAlign w:val="bottom"/>
            <w:gridSpan w:val="2"/>
          </w:tcPr>
          <w:p>
            <w:pPr>
              <w:jc w:val="right"/>
              <w:ind w:right="168"/>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24</w:t>
            </w:r>
          </w:p>
        </w:tc>
        <w:tc>
          <w:tcPr>
            <w:tcW w:w="80" w:type="dxa"/>
            <w:vAlign w:val="bottom"/>
          </w:tcPr>
          <w:p>
            <w:pPr>
              <w:spacing w:after="0"/>
              <w:rPr>
                <w:sz w:val="18"/>
                <w:szCs w:val="18"/>
                <w:color w:val="auto"/>
              </w:rPr>
            </w:pPr>
          </w:p>
        </w:tc>
      </w:tr>
      <w:tr>
        <w:trPr>
          <w:trHeight w:val="28"/>
        </w:trPr>
        <w:tc>
          <w:tcPr>
            <w:tcW w:w="6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6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Specialty Fluids divestture related beneft</w:t>
            </w:r>
          </w:p>
        </w:tc>
        <w:tc>
          <w:tcPr>
            <w:tcW w:w="8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168"/>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6200" w:type="dxa"/>
            <w:vAlign w:val="bottom"/>
          </w:tcPr>
          <w:p>
            <w:pPr>
              <w:spacing w:after="0" w:line="215" w:lineRule="exact"/>
              <w:rPr>
                <w:sz w:val="20"/>
                <w:szCs w:val="20"/>
                <w:color w:val="auto"/>
              </w:rPr>
            </w:pPr>
            <w:r>
              <w:rPr>
                <w:rFonts w:ascii="Calibri" w:cs="Calibri" w:eastAsia="Calibri" w:hAnsi="Calibri"/>
                <w:sz w:val="18"/>
                <w:szCs w:val="18"/>
                <w:color w:val="auto"/>
              </w:rPr>
              <w:t>Employee beneft plan setlement and other charges</w:t>
            </w:r>
          </w:p>
        </w:tc>
        <w:tc>
          <w:tcPr>
            <w:tcW w:w="840" w:type="dxa"/>
            <w:vAlign w:val="bottom"/>
          </w:tcPr>
          <w:p>
            <w:pPr>
              <w:spacing w:after="0"/>
              <w:rPr>
                <w:sz w:val="18"/>
                <w:szCs w:val="18"/>
                <w:color w:val="auto"/>
              </w:rPr>
            </w:pPr>
          </w:p>
        </w:tc>
        <w:tc>
          <w:tcPr>
            <w:tcW w:w="620" w:type="dxa"/>
            <w:vAlign w:val="bottom"/>
            <w:gridSpan w:val="2"/>
          </w:tcPr>
          <w:p>
            <w:pPr>
              <w:jc w:val="right"/>
              <w:ind w:right="168"/>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r>
      <w:tr>
        <w:trPr>
          <w:trHeight w:val="28"/>
        </w:trPr>
        <w:tc>
          <w:tcPr>
            <w:tcW w:w="6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6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Purifcaton Solutons divestture related charges</w:t>
            </w:r>
          </w:p>
        </w:tc>
        <w:tc>
          <w:tcPr>
            <w:tcW w:w="8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168"/>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(5 )</w:t>
            </w:r>
          </w:p>
        </w:tc>
      </w:tr>
      <w:tr>
        <w:trPr>
          <w:trHeight w:val="20"/>
        </w:trPr>
        <w:tc>
          <w:tcPr>
            <w:tcW w:w="6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8"/>
        </w:trPr>
        <w:tc>
          <w:tcPr>
            <w:tcW w:w="6200" w:type="dxa"/>
            <w:vAlign w:val="bottom"/>
          </w:tcPr>
          <w:p>
            <w:pPr>
              <w:ind w:left="180"/>
              <w:spacing w:after="0" w:line="208" w:lineRule="exact"/>
              <w:rPr>
                <w:sz w:val="20"/>
                <w:szCs w:val="20"/>
                <w:color w:val="auto"/>
              </w:rPr>
            </w:pPr>
            <w:r>
              <w:rPr>
                <w:rFonts w:ascii="Calibri" w:cs="Calibri" w:eastAsia="Calibri" w:hAnsi="Calibri"/>
                <w:sz w:val="18"/>
                <w:szCs w:val="18"/>
                <w:color w:val="auto"/>
              </w:rPr>
              <w:t>Total certain items, pre-tax</w:t>
            </w:r>
          </w:p>
        </w:tc>
        <w:tc>
          <w:tcPr>
            <w:tcW w:w="840" w:type="dxa"/>
            <w:vAlign w:val="bottom"/>
          </w:tcPr>
          <w:p>
            <w:pPr>
              <w:spacing w:after="0"/>
              <w:rPr>
                <w:sz w:val="18"/>
                <w:szCs w:val="18"/>
                <w:color w:val="auto"/>
              </w:rPr>
            </w:pPr>
          </w:p>
        </w:tc>
        <w:tc>
          <w:tcPr>
            <w:tcW w:w="620" w:type="dxa"/>
            <w:vAlign w:val="bottom"/>
            <w:gridSpan w:val="2"/>
          </w:tcPr>
          <w:p>
            <w:pPr>
              <w:jc w:val="right"/>
              <w:ind w:right="108"/>
              <w:spacing w:after="0" w:line="208" w:lineRule="exact"/>
              <w:rPr>
                <w:sz w:val="20"/>
                <w:szCs w:val="20"/>
                <w:color w:val="auto"/>
              </w:rPr>
            </w:pPr>
            <w:r>
              <w:rPr>
                <w:rFonts w:ascii="Calibri" w:cs="Calibri" w:eastAsia="Calibri" w:hAnsi="Calibri"/>
                <w:sz w:val="18"/>
                <w:szCs w:val="18"/>
                <w:color w:val="auto"/>
              </w:rPr>
              <w:t>(29 )</w:t>
            </w:r>
          </w:p>
        </w:tc>
        <w:tc>
          <w:tcPr>
            <w:tcW w:w="840" w:type="dxa"/>
            <w:vAlign w:val="bottom"/>
          </w:tcPr>
          <w:p>
            <w:pPr>
              <w:spacing w:after="0"/>
              <w:rPr>
                <w:sz w:val="18"/>
                <w:szCs w:val="18"/>
                <w:color w:val="auto"/>
              </w:rPr>
            </w:pPr>
          </w:p>
        </w:tc>
        <w:tc>
          <w:tcPr>
            <w:tcW w:w="480" w:type="dxa"/>
            <w:vAlign w:val="bottom"/>
            <w:gridSpan w:val="2"/>
          </w:tcPr>
          <w:p>
            <w:pPr>
              <w:jc w:val="right"/>
              <w:ind w:right="20"/>
              <w:spacing w:after="0" w:line="208" w:lineRule="exact"/>
              <w:rPr>
                <w:sz w:val="20"/>
                <w:szCs w:val="20"/>
                <w:color w:val="auto"/>
              </w:rPr>
            </w:pPr>
            <w:r>
              <w:rPr>
                <w:rFonts w:ascii="Calibri" w:cs="Calibri" w:eastAsia="Calibri" w:hAnsi="Calibri"/>
                <w:sz w:val="18"/>
                <w:szCs w:val="18"/>
                <w:color w:val="auto"/>
              </w:rPr>
              <w:t>(183 )</w:t>
            </w:r>
          </w:p>
        </w:tc>
      </w:tr>
      <w:tr>
        <w:trPr>
          <w:trHeight w:val="28"/>
        </w:trPr>
        <w:tc>
          <w:tcPr>
            <w:tcW w:w="6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6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Non-GAAP tax adjustments</w:t>
            </w:r>
          </w:p>
        </w:tc>
        <w:tc>
          <w:tcPr>
            <w:tcW w:w="8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161</w:t>
            </w:r>
          </w:p>
        </w:tc>
        <w:tc>
          <w:tcPr>
            <w:tcW w:w="2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6200" w:type="dxa"/>
            <w:vAlign w:val="bottom"/>
          </w:tcPr>
          <w:p>
            <w:pPr>
              <w:spacing w:after="0"/>
              <w:rPr>
                <w:sz w:val="20"/>
                <w:szCs w:val="20"/>
                <w:color w:val="auto"/>
              </w:rPr>
            </w:pPr>
            <w:r>
              <w:rPr>
                <w:rFonts w:ascii="Calibri" w:cs="Calibri" w:eastAsia="Calibri" w:hAnsi="Calibri"/>
                <w:sz w:val="18"/>
                <w:szCs w:val="18"/>
                <w:color w:val="auto"/>
              </w:rPr>
              <w:t>Total certain items, net of tax</w:t>
            </w:r>
          </w:p>
        </w:tc>
        <w:tc>
          <w:tcPr>
            <w:tcW w:w="840" w:type="dxa"/>
            <w:vAlign w:val="bottom"/>
          </w:tcPr>
          <w:p>
            <w:pPr>
              <w:jc w:val="right"/>
              <w:ind w:right="659"/>
              <w:spacing w:after="0" w:line="215" w:lineRule="exact"/>
              <w:rPr>
                <w:sz w:val="20"/>
                <w:szCs w:val="20"/>
                <w:color w:val="auto"/>
              </w:rPr>
            </w:pPr>
            <w:r>
              <w:rPr>
                <w:rFonts w:ascii="Calibri" w:cs="Calibri" w:eastAsia="Calibri" w:hAnsi="Calibri"/>
                <w:sz w:val="18"/>
                <w:szCs w:val="18"/>
                <w:color w:val="auto"/>
                <w:w w:val="87"/>
              </w:rPr>
              <w:t>$</w:t>
            </w:r>
          </w:p>
        </w:tc>
        <w:tc>
          <w:tcPr>
            <w:tcW w:w="380" w:type="dxa"/>
            <w:vAlign w:val="bottom"/>
          </w:tcPr>
          <w:p>
            <w:pPr>
              <w:jc w:val="right"/>
              <w:spacing w:after="0" w:line="215" w:lineRule="exact"/>
              <w:rPr>
                <w:sz w:val="20"/>
                <w:szCs w:val="20"/>
                <w:color w:val="auto"/>
              </w:rPr>
            </w:pPr>
            <w:r>
              <w:rPr>
                <w:rFonts w:ascii="Calibri" w:cs="Calibri" w:eastAsia="Calibri" w:hAnsi="Calibri"/>
                <w:sz w:val="18"/>
                <w:szCs w:val="18"/>
                <w:color w:val="auto"/>
              </w:rPr>
              <w:t>132</w:t>
            </w:r>
          </w:p>
        </w:tc>
        <w:tc>
          <w:tcPr>
            <w:tcW w:w="240" w:type="dxa"/>
            <w:vAlign w:val="bottom"/>
          </w:tcPr>
          <w:p>
            <w:pPr>
              <w:spacing w:after="0"/>
              <w:rPr>
                <w:sz w:val="20"/>
                <w:szCs w:val="20"/>
                <w:color w:val="auto"/>
              </w:rPr>
            </w:pPr>
          </w:p>
        </w:tc>
        <w:tc>
          <w:tcPr>
            <w:tcW w:w="840" w:type="dxa"/>
            <w:vAlign w:val="bottom"/>
          </w:tcPr>
          <w:p>
            <w:pPr>
              <w:jc w:val="right"/>
              <w:ind w:right="656"/>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(151 )</w:t>
            </w:r>
          </w:p>
        </w:tc>
      </w:tr>
      <w:tr>
        <w:trPr>
          <w:trHeight w:val="20"/>
        </w:trPr>
        <w:tc>
          <w:tcPr>
            <w:tcW w:w="6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-504825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-504825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0"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An explanaton of these items of expense and income is included in our discussion under the heading “Defniton of Terms and Non-GAAP Financial Measures”.</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Other Unallocated Items:</w:t>
      </w:r>
    </w:p>
    <w:p>
      <w:pPr>
        <w:spacing w:after="0" w:line="10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300" w:type="dxa"/>
            <w:vAlign w:val="bottom"/>
            <w:gridSpan w:val="4"/>
          </w:tcPr>
          <w:p>
            <w:pPr>
              <w:jc w:val="right"/>
              <w:ind w:right="76"/>
              <w:spacing w:after="0"/>
              <w:rPr>
                <w:sz w:val="20"/>
                <w:szCs w:val="20"/>
                <w:color w:val="auto"/>
              </w:rPr>
            </w:pPr>
            <w:r>
              <w:rPr>
                <w:rFonts w:ascii="Calibri" w:cs="Calibri" w:eastAsia="Calibri" w:hAnsi="Calibri"/>
                <w:sz w:val="14"/>
                <w:szCs w:val="14"/>
                <w:b w:val="1"/>
                <w:bCs w:val="1"/>
                <w:color w:val="auto"/>
              </w:rPr>
              <w:t>Years Ended September 30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6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6200" w:type="dxa"/>
            <w:vAlign w:val="bottom"/>
          </w:tcPr>
          <w:p>
            <w:pPr>
              <w:spacing w:after="0"/>
              <w:rPr>
                <w:sz w:val="14"/>
                <w:szCs w:val="14"/>
                <w:color w:val="auto"/>
              </w:rPr>
            </w:pPr>
          </w:p>
        </w:tc>
        <w:tc>
          <w:tcPr>
            <w:tcW w:w="8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6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6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1080" w:type="dxa"/>
            <w:vAlign w:val="bottom"/>
            <w:gridSpan w:val="2"/>
          </w:tcPr>
          <w:p>
            <w:pPr>
              <w:jc w:val="right"/>
              <w:ind w:right="516"/>
              <w:spacing w:after="0" w:line="164" w:lineRule="exact"/>
              <w:rPr>
                <w:sz w:val="20"/>
                <w:szCs w:val="20"/>
                <w:color w:val="auto"/>
              </w:rPr>
            </w:pPr>
            <w:r>
              <w:rPr>
                <w:rFonts w:ascii="Calibri" w:cs="Calibri" w:eastAsia="Calibri" w:hAnsi="Calibri"/>
                <w:sz w:val="14"/>
                <w:szCs w:val="14"/>
                <w:b w:val="1"/>
                <w:bCs w:val="1"/>
                <w:color w:val="auto"/>
                <w:w w:val="91"/>
              </w:rPr>
              <w:t>millions)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6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6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Interest expense</w:t>
            </w:r>
          </w:p>
        </w:tc>
        <w:tc>
          <w:tcPr>
            <w:tcW w:w="820" w:type="dxa"/>
            <w:vAlign w:val="bottom"/>
            <w:tcBorders>
              <w:bottom w:val="single" w:sz="8" w:color="CFF0FC"/>
            </w:tcBorders>
            <w:shd w:val="clear" w:color="auto" w:fill="CFF0FC"/>
          </w:tcPr>
          <w:p>
            <w:pPr>
              <w:jc w:val="right"/>
              <w:ind w:right="639"/>
              <w:spacing w:after="0" w:line="215" w:lineRule="exact"/>
              <w:rPr>
                <w:sz w:val="20"/>
                <w:szCs w:val="20"/>
                <w:color w:val="auto"/>
              </w:rPr>
            </w:pPr>
            <w:r>
              <w:rPr>
                <w:rFonts w:ascii="Calibri" w:cs="Calibri" w:eastAsia="Calibri" w:hAnsi="Calibri"/>
                <w:sz w:val="18"/>
                <w:szCs w:val="18"/>
                <w:color w:val="auto"/>
                <w:w w:val="87"/>
              </w:rPr>
              <w:t>$</w:t>
            </w:r>
          </w:p>
        </w:tc>
        <w:tc>
          <w:tcPr>
            <w:tcW w:w="640" w:type="dxa"/>
            <w:vAlign w:val="bottom"/>
            <w:tcBorders>
              <w:bottom w:val="single" w:sz="8" w:color="CFF0FC"/>
            </w:tcBorders>
            <w:gridSpan w:val="2"/>
            <w:shd w:val="clear" w:color="auto" w:fill="CFF0FC"/>
          </w:tcPr>
          <w:p>
            <w:pPr>
              <w:jc w:val="right"/>
              <w:ind w:right="108"/>
              <w:spacing w:after="0" w:line="215" w:lineRule="exact"/>
              <w:rPr>
                <w:sz w:val="20"/>
                <w:szCs w:val="20"/>
                <w:color w:val="auto"/>
              </w:rPr>
            </w:pPr>
            <w:r>
              <w:rPr>
                <w:rFonts w:ascii="Calibri" w:cs="Calibri" w:eastAsia="Calibri" w:hAnsi="Calibri"/>
                <w:sz w:val="18"/>
                <w:szCs w:val="18"/>
                <w:color w:val="auto"/>
              </w:rPr>
              <w:t>(90 )</w:t>
            </w:r>
          </w:p>
        </w:tc>
        <w:tc>
          <w:tcPr>
            <w:tcW w:w="840" w:type="dxa"/>
            <w:vAlign w:val="bottom"/>
            <w:tcBorders>
              <w:bottom w:val="single" w:sz="8" w:color="CFF0FC"/>
            </w:tcBorders>
            <w:shd w:val="clear" w:color="auto" w:fill="CFF0FC"/>
          </w:tcPr>
          <w:p>
            <w:pPr>
              <w:jc w:val="right"/>
              <w:ind w:right="656"/>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(56 )</w:t>
            </w:r>
          </w:p>
        </w:tc>
      </w:tr>
      <w:tr>
        <w:trPr>
          <w:trHeight w:val="215"/>
        </w:trPr>
        <w:tc>
          <w:tcPr>
            <w:tcW w:w="6200" w:type="dxa"/>
            <w:vAlign w:val="bottom"/>
          </w:tcPr>
          <w:p>
            <w:pPr>
              <w:spacing w:after="0" w:line="215" w:lineRule="exact"/>
              <w:rPr>
                <w:sz w:val="20"/>
                <w:szCs w:val="20"/>
                <w:color w:val="auto"/>
              </w:rPr>
            </w:pPr>
            <w:r>
              <w:rPr>
                <w:rFonts w:ascii="Calibri" w:cs="Calibri" w:eastAsia="Calibri" w:hAnsi="Calibri"/>
                <w:sz w:val="18"/>
                <w:szCs w:val="18"/>
                <w:color w:val="auto"/>
              </w:rPr>
              <w:t>Unallocated corporate costs</w:t>
            </w:r>
          </w:p>
        </w:tc>
        <w:tc>
          <w:tcPr>
            <w:tcW w:w="820" w:type="dxa"/>
            <w:vAlign w:val="bottom"/>
          </w:tcPr>
          <w:p>
            <w:pPr>
              <w:spacing w:after="0"/>
              <w:rPr>
                <w:sz w:val="18"/>
                <w:szCs w:val="18"/>
                <w:color w:val="auto"/>
              </w:rPr>
            </w:pPr>
          </w:p>
        </w:tc>
        <w:tc>
          <w:tcPr>
            <w:tcW w:w="64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(54 )</w:t>
            </w:r>
          </w:p>
        </w:tc>
        <w:tc>
          <w:tcPr>
            <w:tcW w:w="840" w:type="dxa"/>
            <w:vAlign w:val="bottom"/>
          </w:tcPr>
          <w:p>
            <w:pPr>
              <w:spacing w:after="0"/>
              <w:rPr>
                <w:sz w:val="18"/>
                <w:szCs w:val="18"/>
                <w:color w:val="auto"/>
              </w:rPr>
            </w:pPr>
          </w:p>
        </w:tc>
        <w:tc>
          <w:tcPr>
            <w:tcW w:w="4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(59 )</w:t>
            </w:r>
          </w:p>
        </w:tc>
      </w:tr>
      <w:tr>
        <w:trPr>
          <w:trHeight w:val="28"/>
        </w:trPr>
        <w:tc>
          <w:tcPr>
            <w:tcW w:w="6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62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General unallocated income (expense)</w:t>
            </w:r>
          </w:p>
        </w:tc>
        <w:tc>
          <w:tcPr>
            <w:tcW w:w="8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w:t>
            </w:r>
          </w:p>
        </w:tc>
        <w:tc>
          <w:tcPr>
            <w:tcW w:w="2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0"/>
        </w:trPr>
        <w:tc>
          <w:tcPr>
            <w:tcW w:w="6200" w:type="dxa"/>
            <w:vAlign w:val="bottom"/>
          </w:tcPr>
          <w:p>
            <w:pPr>
              <w:spacing w:after="0"/>
              <w:rPr>
                <w:sz w:val="20"/>
                <w:szCs w:val="20"/>
                <w:color w:val="auto"/>
              </w:rPr>
            </w:pPr>
            <w:r>
              <w:rPr>
                <w:rFonts w:ascii="Calibri" w:cs="Calibri" w:eastAsia="Calibri" w:hAnsi="Calibri"/>
                <w:sz w:val="18"/>
                <w:szCs w:val="18"/>
                <w:color w:val="auto"/>
              </w:rPr>
              <w:t>Less: Equity in earnings of afliated companies, net of tax</w:t>
            </w:r>
          </w:p>
        </w:tc>
        <w:tc>
          <w:tcPr>
            <w:tcW w:w="820" w:type="dxa"/>
            <w:vAlign w:val="bottom"/>
          </w:tcPr>
          <w:p>
            <w:pPr>
              <w:spacing w:after="0"/>
              <w:rPr>
                <w:sz w:val="19"/>
                <w:szCs w:val="19"/>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80" w:type="dxa"/>
            <w:vAlign w:val="bottom"/>
          </w:tcPr>
          <w:p>
            <w:pPr>
              <w:spacing w:after="0"/>
              <w:rPr>
                <w:sz w:val="19"/>
                <w:szCs w:val="19"/>
                <w:color w:val="auto"/>
              </w:rPr>
            </w:pPr>
          </w:p>
        </w:tc>
      </w:tr>
      <w:tr>
        <w:trPr>
          <w:trHeight w:val="23"/>
        </w:trPr>
        <w:tc>
          <w:tcPr>
            <w:tcW w:w="6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6"/>
        </w:trPr>
        <w:tc>
          <w:tcPr>
            <w:tcW w:w="6200" w:type="dxa"/>
            <w:vAlign w:val="bottom"/>
            <w:shd w:val="clear" w:color="auto" w:fill="CFF0FC"/>
          </w:tcPr>
          <w:p>
            <w:pPr>
              <w:ind w:left="180"/>
              <w:spacing w:after="0"/>
              <w:rPr>
                <w:sz w:val="20"/>
                <w:szCs w:val="20"/>
                <w:color w:val="auto"/>
              </w:rPr>
            </w:pPr>
            <w:r>
              <w:rPr>
                <w:rFonts w:ascii="Calibri" w:cs="Calibri" w:eastAsia="Calibri" w:hAnsi="Calibri"/>
                <w:sz w:val="18"/>
                <w:szCs w:val="18"/>
                <w:color w:val="auto"/>
              </w:rPr>
              <w:t>Total other unallocated items</w:t>
            </w:r>
          </w:p>
        </w:tc>
        <w:tc>
          <w:tcPr>
            <w:tcW w:w="820" w:type="dxa"/>
            <w:vAlign w:val="bottom"/>
            <w:shd w:val="clear" w:color="auto" w:fill="CFF0FC"/>
          </w:tcPr>
          <w:p>
            <w:pPr>
              <w:jc w:val="right"/>
              <w:ind w:right="639"/>
              <w:spacing w:after="0" w:line="215" w:lineRule="exact"/>
              <w:rPr>
                <w:sz w:val="20"/>
                <w:szCs w:val="20"/>
                <w:color w:val="auto"/>
              </w:rPr>
            </w:pPr>
            <w:r>
              <w:rPr>
                <w:rFonts w:ascii="Calibri" w:cs="Calibri" w:eastAsia="Calibri" w:hAnsi="Calibri"/>
                <w:sz w:val="18"/>
                <w:szCs w:val="18"/>
                <w:color w:val="auto"/>
                <w:w w:val="87"/>
              </w:rPr>
              <w:t>$</w:t>
            </w:r>
          </w:p>
        </w:tc>
        <w:tc>
          <w:tcPr>
            <w:tcW w:w="640" w:type="dxa"/>
            <w:vAlign w:val="bottom"/>
            <w:gridSpan w:val="2"/>
            <w:shd w:val="clear" w:color="auto" w:fill="CFF0FC"/>
          </w:tcPr>
          <w:p>
            <w:pPr>
              <w:jc w:val="right"/>
              <w:ind w:right="108"/>
              <w:spacing w:after="0" w:line="215" w:lineRule="exact"/>
              <w:rPr>
                <w:sz w:val="20"/>
                <w:szCs w:val="20"/>
                <w:color w:val="auto"/>
              </w:rPr>
            </w:pPr>
            <w:r>
              <w:rPr>
                <w:rFonts w:ascii="Calibri" w:cs="Calibri" w:eastAsia="Calibri" w:hAnsi="Calibri"/>
                <w:sz w:val="18"/>
                <w:szCs w:val="18"/>
                <w:color w:val="auto"/>
              </w:rPr>
              <w:t>(127 )</w:t>
            </w:r>
          </w:p>
        </w:tc>
        <w:tc>
          <w:tcPr>
            <w:tcW w:w="840" w:type="dxa"/>
            <w:vAlign w:val="bottom"/>
            <w:shd w:val="clear" w:color="auto" w:fill="CFF0FC"/>
          </w:tcPr>
          <w:p>
            <w:pPr>
              <w:jc w:val="right"/>
              <w:ind w:right="656"/>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(124 )</w:t>
            </w: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 discussion of items that we refer to as “other unallocated items” can be found under the heading “Defniton of Terms and Non-GAAP Financial Measures”. The balances of unallocated corporate costs are primarily comprised of expenditures related to managing a public company that are not allocated to the segments and corporate business development costs related to ongoing corporate projects. The balances of General unallocated income (expense) consist of gains (losses) arising from foreign currency transactons, net of other foreign currency risk management actvites, interest and dividend income, and the proft or loss related to the corporate adjustment for unearned revenue.</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fscal 2023, total other unallocated items increased by $3 million as compared to fscal 2022 primarily due to increased interest expense from higher interest rates, partally ofset by higher general unallocated income due to higher interest and investment income.</w:t>
      </w:r>
    </w:p>
    <w:p>
      <w:pPr>
        <w:spacing w:after="0" w:line="21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5" w:right="359" w:bottom="1440" w:gutter="0" w:footer="0" w:header="0"/>
        </w:sectPr>
      </w:pPr>
    </w:p>
    <w:bookmarkStart w:id="34" w:name="page35"/>
    <w:bookmarkEnd w:id="34"/>
    <w:p>
      <w:pPr>
        <w:ind w:left="260"/>
        <w:spacing w:after="0"/>
        <w:rPr>
          <w:sz w:val="20"/>
          <w:szCs w:val="20"/>
          <w:color w:val="auto"/>
        </w:rPr>
      </w:pPr>
      <w:r>
        <w:rPr>
          <w:rFonts w:ascii="Calibri" w:cs="Calibri" w:eastAsia="Calibri" w:hAnsi="Calibri"/>
          <w:sz w:val="18"/>
          <w:szCs w:val="18"/>
          <w:b w:val="1"/>
          <w:bCs w:val="1"/>
          <w:i w:val="1"/>
          <w:iCs w:val="1"/>
          <w:color w:val="auto"/>
        </w:rPr>
        <w:t>Reinforcement Materials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Sales and EBIT for Reinforcement Materials for fscal 2023 and 2022 are as follows:</w:t>
      </w:r>
    </w:p>
    <w:p>
      <w:pPr>
        <w:spacing w:after="0" w:line="10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5"/>
          </w:tcPr>
          <w:p>
            <w:pPr>
              <w:ind w:left="260"/>
              <w:spacing w:after="0"/>
              <w:rPr>
                <w:sz w:val="20"/>
                <w:szCs w:val="20"/>
                <w:color w:val="auto"/>
              </w:rPr>
            </w:pPr>
            <w:r>
              <w:rPr>
                <w:rFonts w:ascii="Calibri" w:cs="Calibri" w:eastAsia="Calibri" w:hAnsi="Calibri"/>
                <w:sz w:val="14"/>
                <w:szCs w:val="14"/>
                <w:b w:val="1"/>
                <w:bCs w:val="1"/>
                <w:color w:val="auto"/>
              </w:rPr>
              <w:t>Years Ended September 30</w:t>
            </w:r>
          </w:p>
        </w:tc>
      </w:tr>
      <w:tr>
        <w:trPr>
          <w:trHeight w:val="33"/>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01"/>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76"/>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r>
      <w:tr>
        <w:trPr>
          <w:trHeight w:val="33"/>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21"/>
              <w:spacing w:after="0" w:line="164" w:lineRule="exact"/>
              <w:rPr>
                <w:sz w:val="20"/>
                <w:szCs w:val="20"/>
                <w:color w:val="auto"/>
              </w:rPr>
            </w:pPr>
            <w:r>
              <w:rPr>
                <w:rFonts w:ascii="Calibri" w:cs="Calibri" w:eastAsia="Calibri" w:hAnsi="Calibri"/>
                <w:sz w:val="14"/>
                <w:szCs w:val="14"/>
                <w:b w:val="1"/>
                <w:bCs w:val="1"/>
                <w:color w:val="auto"/>
              </w:rPr>
              <w:t>(In</w:t>
            </w:r>
          </w:p>
        </w:tc>
        <w:tc>
          <w:tcPr>
            <w:tcW w:w="560" w:type="dxa"/>
            <w:vAlign w:val="bottom"/>
            <w:gridSpan w:val="2"/>
          </w:tcPr>
          <w:p>
            <w:pPr>
              <w:jc w:val="right"/>
              <w:ind w:right="120"/>
              <w:spacing w:after="0" w:line="164" w:lineRule="exact"/>
              <w:rPr>
                <w:sz w:val="20"/>
                <w:szCs w:val="20"/>
                <w:color w:val="auto"/>
              </w:rPr>
            </w:pPr>
            <w:r>
              <w:rPr>
                <w:rFonts w:ascii="Calibri" w:cs="Calibri" w:eastAsia="Calibri" w:hAnsi="Calibri"/>
                <w:sz w:val="14"/>
                <w:szCs w:val="14"/>
                <w:b w:val="1"/>
                <w:bCs w:val="1"/>
                <w:color w:val="auto"/>
                <w:w w:val="83"/>
              </w:rPr>
              <w:t>millions)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6220" w:type="dxa"/>
            <w:vAlign w:val="bottom"/>
            <w:shd w:val="clear" w:color="auto" w:fill="CFF0FC"/>
          </w:tcPr>
          <w:p>
            <w:pPr>
              <w:spacing w:after="0" w:line="243" w:lineRule="exact"/>
              <w:rPr>
                <w:sz w:val="20"/>
                <w:szCs w:val="20"/>
                <w:color w:val="auto"/>
              </w:rPr>
            </w:pPr>
            <w:r>
              <w:rPr>
                <w:rFonts w:ascii="Calibri" w:cs="Calibri" w:eastAsia="Calibri" w:hAnsi="Calibri"/>
                <w:sz w:val="18"/>
                <w:szCs w:val="18"/>
                <w:color w:val="auto"/>
              </w:rPr>
              <w:t xml:space="preserve">Reinforcement Materials Sales </w:t>
            </w:r>
            <w:r>
              <w:rPr>
                <w:rFonts w:ascii="Calibri" w:cs="Calibri" w:eastAsia="Calibri" w:hAnsi="Calibri"/>
                <w:sz w:val="24"/>
                <w:szCs w:val="24"/>
                <w:color w:val="auto"/>
                <w:vertAlign w:val="superscript"/>
              </w:rPr>
              <w:t>(1)</w:t>
            </w:r>
          </w:p>
        </w:tc>
        <w:tc>
          <w:tcPr>
            <w:tcW w:w="280" w:type="dxa"/>
            <w:vAlign w:val="bottom"/>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2,563</w:t>
            </w:r>
          </w:p>
        </w:tc>
        <w:tc>
          <w:tcPr>
            <w:tcW w:w="560" w:type="dxa"/>
            <w:vAlign w:val="bottom"/>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2,673</w:t>
            </w:r>
          </w:p>
        </w:tc>
        <w:tc>
          <w:tcPr>
            <w:tcW w:w="80" w:type="dxa"/>
            <w:vAlign w:val="bottom"/>
            <w:shd w:val="clear" w:color="auto" w:fill="CFF0FC"/>
          </w:tcPr>
          <w:p>
            <w:pPr>
              <w:spacing w:after="0"/>
              <w:rPr>
                <w:sz w:val="21"/>
                <w:szCs w:val="21"/>
                <w:color w:val="auto"/>
              </w:rPr>
            </w:pPr>
          </w:p>
        </w:tc>
      </w:tr>
      <w:tr>
        <w:trPr>
          <w:trHeight w:val="215"/>
        </w:trPr>
        <w:tc>
          <w:tcPr>
            <w:tcW w:w="6220" w:type="dxa"/>
            <w:vAlign w:val="bottom"/>
          </w:tcPr>
          <w:p>
            <w:pPr>
              <w:spacing w:after="0" w:line="215" w:lineRule="exact"/>
              <w:rPr>
                <w:sz w:val="20"/>
                <w:szCs w:val="20"/>
                <w:color w:val="auto"/>
              </w:rPr>
            </w:pPr>
            <w:r>
              <w:rPr>
                <w:rFonts w:ascii="Calibri" w:cs="Calibri" w:eastAsia="Calibri" w:hAnsi="Calibri"/>
                <w:sz w:val="18"/>
                <w:szCs w:val="18"/>
                <w:color w:val="auto"/>
              </w:rPr>
              <w:t>Reinforcement Materials EBIT</w:t>
            </w: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482</w:t>
            </w:r>
          </w:p>
        </w:tc>
        <w:tc>
          <w:tcPr>
            <w:tcW w:w="56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408</w:t>
            </w:r>
          </w:p>
        </w:tc>
        <w:tc>
          <w:tcPr>
            <w:tcW w:w="80" w:type="dxa"/>
            <w:vAlign w:val="bottom"/>
          </w:tcPr>
          <w:p>
            <w:pPr>
              <w:spacing w:after="0"/>
              <w:rPr>
                <w:sz w:val="18"/>
                <w:szCs w:val="18"/>
                <w:color w:val="auto"/>
              </w:rPr>
            </w:pPr>
          </w:p>
        </w:tc>
      </w:tr>
    </w:tbl>
    <w:p>
      <w:pPr>
        <w:spacing w:after="0" w:line="127" w:lineRule="exact"/>
        <w:rPr>
          <w:sz w:val="20"/>
          <w:szCs w:val="20"/>
          <w:color w:val="auto"/>
        </w:rPr>
      </w:pPr>
    </w:p>
    <w:p>
      <w:pPr>
        <w:ind w:left="580" w:right="300" w:hanging="572"/>
        <w:spacing w:after="0" w:line="201" w:lineRule="auto"/>
        <w:tabs>
          <w:tab w:leader="none" w:pos="580" w:val="left"/>
        </w:tabs>
        <w:numPr>
          <w:ilvl w:val="0"/>
          <w:numId w:val="14"/>
        </w:numPr>
        <w:rPr>
          <w:rFonts w:ascii="Calibri" w:cs="Calibri" w:eastAsia="Calibri" w:hAnsi="Calibri"/>
          <w:sz w:val="24"/>
          <w:szCs w:val="24"/>
          <w:color w:val="auto"/>
          <w:vertAlign w:val="superscript"/>
        </w:rPr>
      </w:pPr>
      <w:r>
        <w:rPr>
          <w:rFonts w:ascii="Calibri" w:cs="Calibri" w:eastAsia="Calibri" w:hAnsi="Calibri"/>
          <w:sz w:val="18"/>
          <w:szCs w:val="18"/>
          <w:color w:val="auto"/>
        </w:rPr>
        <w:t>Beginning in fscal 2023, the Company began allocatng energy center revenue to the applicable segment’s Sales. The Company recast prior period fnancial informaton to conform to the new presentaton.</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fscal 2023, sales in Reinforcement Materials decreased by $110 million compared to fscal 2022. The decrease was primarily due to lower volumes ($147 million), the unfavorable impact from foreign currency translaton ($86 million) and lower by-product revenue ($24 million), partally ofset by improved price and product mix (combined $148 million). Lower volumes were primarily due to lower replacement tre demand and customer destocking. The improved price and product mix was primarily due to favorable 2023 calendar year customer agreements. The lower by-product revenue was due to lower utlity and energy costs in fscal 2023 compared to fscal 2022, partcularly in Europe.</w:t>
      </w:r>
    </w:p>
    <w:p>
      <w:pPr>
        <w:spacing w:after="0" w:line="85"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EBIT in Reinforcement Materials increased by $74 million compared to fscal 2022. The increase was driven by higher unit margins, net of higher costs ($128 million) partally ofset by lower volumes ($48 million) and the unfavorable impact from foreign currency translaton ($6 million). The higher unit margins net of higher costs was primarily driven by favorable pricing and product mix in 2023 calendar year customer agreements. Volumes were lower across all regions primarily due to lower replacement tre demand and destocking at our major tre customers.</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Performance Chemicals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Sales and EBIT for Performance Chemicals for fscal 2023 and 2022 are as follows:</w:t>
      </w:r>
    </w:p>
    <w:p>
      <w:pPr>
        <w:spacing w:after="0" w:line="10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5"/>
          </w:tcPr>
          <w:p>
            <w:pPr>
              <w:ind w:left="260"/>
              <w:spacing w:after="0"/>
              <w:rPr>
                <w:sz w:val="20"/>
                <w:szCs w:val="20"/>
                <w:color w:val="auto"/>
              </w:rPr>
            </w:pPr>
            <w:r>
              <w:rPr>
                <w:rFonts w:ascii="Calibri" w:cs="Calibri" w:eastAsia="Calibri" w:hAnsi="Calibri"/>
                <w:sz w:val="14"/>
                <w:szCs w:val="14"/>
                <w:b w:val="1"/>
                <w:bCs w:val="1"/>
                <w:color w:val="auto"/>
              </w:rPr>
              <w:t>Years Ended September 30</w:t>
            </w:r>
          </w:p>
        </w:tc>
        <w:tc>
          <w:tcPr>
            <w:tcW w:w="0" w:type="dxa"/>
            <w:vAlign w:val="bottom"/>
          </w:tcPr>
          <w:p>
            <w:pPr>
              <w:spacing w:after="0"/>
              <w:rPr>
                <w:sz w:val="1"/>
                <w:szCs w:val="1"/>
                <w:color w:val="auto"/>
              </w:rPr>
            </w:pPr>
          </w:p>
        </w:tc>
      </w:tr>
      <w:tr>
        <w:trPr>
          <w:trHeight w:val="33"/>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01"/>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76"/>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220" w:type="dxa"/>
            <w:vAlign w:val="bottom"/>
            <w:vMerge w:val="restart"/>
          </w:tcPr>
          <w:p>
            <w:pPr>
              <w:spacing w:after="0"/>
              <w:rPr>
                <w:sz w:val="20"/>
                <w:szCs w:val="20"/>
                <w:color w:val="auto"/>
              </w:rPr>
            </w:pPr>
            <w:r>
              <w:rPr>
                <w:rFonts w:ascii="Calibri" w:cs="Calibri" w:eastAsia="Calibri" w:hAnsi="Calibri"/>
                <w:sz w:val="18"/>
                <w:szCs w:val="18"/>
                <w:color w:val="auto"/>
              </w:rPr>
              <w:t xml:space="preserve">Performance Chemicals Sales </w:t>
            </w:r>
            <w:r>
              <w:rPr>
                <w:rFonts w:ascii="Calibri" w:cs="Calibri" w:eastAsia="Calibri" w:hAnsi="Calibri"/>
                <w:sz w:val="24"/>
                <w:szCs w:val="24"/>
                <w:color w:val="auto"/>
                <w:vertAlign w:val="superscript"/>
              </w:rPr>
              <w:t>(1)</w:t>
            </w:r>
          </w:p>
        </w:tc>
        <w:tc>
          <w:tcPr>
            <w:tcW w:w="280" w:type="dxa"/>
            <w:vAlign w:val="bottom"/>
          </w:tcPr>
          <w:p>
            <w:pPr>
              <w:spacing w:after="0"/>
              <w:rPr>
                <w:sz w:val="14"/>
                <w:szCs w:val="14"/>
                <w:color w:val="auto"/>
              </w:rPr>
            </w:pPr>
          </w:p>
        </w:tc>
        <w:tc>
          <w:tcPr>
            <w:tcW w:w="960" w:type="dxa"/>
            <w:vAlign w:val="bottom"/>
          </w:tcPr>
          <w:p>
            <w:pPr>
              <w:jc w:val="right"/>
              <w:ind w:right="21"/>
              <w:spacing w:after="0" w:line="164" w:lineRule="exact"/>
              <w:rPr>
                <w:sz w:val="20"/>
                <w:szCs w:val="20"/>
                <w:color w:val="auto"/>
              </w:rPr>
            </w:pPr>
            <w:r>
              <w:rPr>
                <w:rFonts w:ascii="Calibri" w:cs="Calibri" w:eastAsia="Calibri" w:hAnsi="Calibri"/>
                <w:sz w:val="14"/>
                <w:szCs w:val="14"/>
                <w:b w:val="1"/>
                <w:bCs w:val="1"/>
                <w:color w:val="auto"/>
              </w:rPr>
              <w:t>(In</w:t>
            </w:r>
          </w:p>
        </w:tc>
        <w:tc>
          <w:tcPr>
            <w:tcW w:w="560" w:type="dxa"/>
            <w:vAlign w:val="bottom"/>
            <w:gridSpan w:val="2"/>
          </w:tcPr>
          <w:p>
            <w:pPr>
              <w:jc w:val="right"/>
              <w:ind w:right="120"/>
              <w:spacing w:after="0" w:line="164" w:lineRule="exact"/>
              <w:rPr>
                <w:sz w:val="20"/>
                <w:szCs w:val="20"/>
                <w:color w:val="auto"/>
              </w:rPr>
            </w:pPr>
            <w:r>
              <w:rPr>
                <w:rFonts w:ascii="Calibri" w:cs="Calibri" w:eastAsia="Calibri" w:hAnsi="Calibri"/>
                <w:sz w:val="14"/>
                <w:szCs w:val="14"/>
                <w:b w:val="1"/>
                <w:bCs w:val="1"/>
                <w:color w:val="auto"/>
                <w:w w:val="83"/>
              </w:rPr>
              <w:t>millions)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6220" w:type="dxa"/>
            <w:vAlign w:val="bottom"/>
            <w:vMerge w:val="continue"/>
          </w:tcPr>
          <w:p>
            <w:pPr>
              <w:spacing w:after="0"/>
              <w:rPr>
                <w:sz w:val="23"/>
                <w:szCs w:val="23"/>
                <w:color w:val="auto"/>
              </w:rPr>
            </w:pPr>
          </w:p>
        </w:tc>
        <w:tc>
          <w:tcPr>
            <w:tcW w:w="280" w:type="dxa"/>
            <w:vAlign w:val="bottom"/>
          </w:tcPr>
          <w:p>
            <w:pPr>
              <w:jc w:val="right"/>
              <w:ind w:right="90"/>
              <w:spacing w:after="0"/>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rPr>
                <w:sz w:val="20"/>
                <w:szCs w:val="20"/>
                <w:color w:val="auto"/>
              </w:rPr>
            </w:pPr>
            <w:r>
              <w:rPr>
                <w:rFonts w:ascii="Calibri" w:cs="Calibri" w:eastAsia="Calibri" w:hAnsi="Calibri"/>
                <w:sz w:val="18"/>
                <w:szCs w:val="18"/>
                <w:color w:val="auto"/>
              </w:rPr>
              <w:t>1,225</w:t>
            </w:r>
          </w:p>
        </w:tc>
        <w:tc>
          <w:tcPr>
            <w:tcW w:w="560" w:type="dxa"/>
            <w:vAlign w:val="bottom"/>
            <w:gridSpan w:val="2"/>
          </w:tcPr>
          <w:p>
            <w:pPr>
              <w:jc w:val="right"/>
              <w:ind w:right="240"/>
              <w:spacing w:after="0"/>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rPr>
                <w:sz w:val="20"/>
                <w:szCs w:val="20"/>
                <w:color w:val="auto"/>
              </w:rPr>
            </w:pPr>
            <w:r>
              <w:rPr>
                <w:rFonts w:ascii="Calibri" w:cs="Calibri" w:eastAsia="Calibri" w:hAnsi="Calibri"/>
                <w:sz w:val="18"/>
                <w:szCs w:val="18"/>
                <w:color w:val="auto"/>
              </w:rPr>
              <w:t>1,388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line="216" w:lineRule="exact"/>
              <w:rPr>
                <w:sz w:val="20"/>
                <w:szCs w:val="20"/>
                <w:color w:val="auto"/>
              </w:rPr>
            </w:pPr>
            <w:r>
              <w:rPr>
                <w:rFonts w:ascii="Calibri" w:cs="Calibri" w:eastAsia="Calibri" w:hAnsi="Calibri"/>
                <w:sz w:val="18"/>
                <w:szCs w:val="18"/>
                <w:color w:val="auto"/>
              </w:rPr>
              <w:t>Performance Chemicals EBIT</w:t>
            </w:r>
          </w:p>
        </w:tc>
        <w:tc>
          <w:tcPr>
            <w:tcW w:w="280" w:type="dxa"/>
            <w:vAlign w:val="bottom"/>
          </w:tcPr>
          <w:p>
            <w:pPr>
              <w:jc w:val="right"/>
              <w:ind w:right="90"/>
              <w:spacing w:after="0" w:line="216"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6" w:lineRule="exact"/>
              <w:rPr>
                <w:sz w:val="20"/>
                <w:szCs w:val="20"/>
                <w:color w:val="auto"/>
              </w:rPr>
            </w:pPr>
            <w:r>
              <w:rPr>
                <w:rFonts w:ascii="Calibri" w:cs="Calibri" w:eastAsia="Calibri" w:hAnsi="Calibri"/>
                <w:sz w:val="18"/>
                <w:szCs w:val="18"/>
                <w:color w:val="auto"/>
              </w:rPr>
              <w:t>125</w:t>
            </w:r>
          </w:p>
        </w:tc>
        <w:tc>
          <w:tcPr>
            <w:tcW w:w="560" w:type="dxa"/>
            <w:vAlign w:val="bottom"/>
            <w:gridSpan w:val="2"/>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6" w:lineRule="exact"/>
              <w:rPr>
                <w:sz w:val="20"/>
                <w:szCs w:val="20"/>
                <w:color w:val="auto"/>
              </w:rPr>
            </w:pPr>
            <w:r>
              <w:rPr>
                <w:rFonts w:ascii="Calibri" w:cs="Calibri" w:eastAsia="Calibri" w:hAnsi="Calibri"/>
                <w:sz w:val="18"/>
                <w:szCs w:val="18"/>
                <w:color w:val="auto"/>
              </w:rPr>
              <w:t>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-284480</wp:posOffset>
            </wp:positionV>
            <wp:extent cx="570039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03" w:lineRule="exact"/>
        <w:rPr>
          <w:sz w:val="20"/>
          <w:szCs w:val="20"/>
          <w:color w:val="auto"/>
        </w:rPr>
      </w:pPr>
    </w:p>
    <w:p>
      <w:pPr>
        <w:ind w:left="580" w:right="300" w:hanging="572"/>
        <w:spacing w:after="0" w:line="201" w:lineRule="auto"/>
        <w:tabs>
          <w:tab w:leader="none" w:pos="580" w:val="left"/>
        </w:tabs>
        <w:numPr>
          <w:ilvl w:val="0"/>
          <w:numId w:val="15"/>
        </w:numPr>
        <w:rPr>
          <w:rFonts w:ascii="Calibri" w:cs="Calibri" w:eastAsia="Calibri" w:hAnsi="Calibri"/>
          <w:sz w:val="24"/>
          <w:szCs w:val="24"/>
          <w:color w:val="auto"/>
          <w:vertAlign w:val="superscript"/>
        </w:rPr>
      </w:pPr>
      <w:r>
        <w:rPr>
          <w:rFonts w:ascii="Calibri" w:cs="Calibri" w:eastAsia="Calibri" w:hAnsi="Calibri"/>
          <w:sz w:val="18"/>
          <w:szCs w:val="18"/>
          <w:color w:val="auto"/>
        </w:rPr>
        <w:t>Beginning in fscal 2023, the Company began allocatng energy center revenue to the applicable segment’s Sales. The Company recast prior period fnancial informaton to conform to the new presentaton.</w:t>
      </w:r>
    </w:p>
    <w:p>
      <w:pPr>
        <w:spacing w:after="0" w:line="84"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In fscal 2023, sales in Performance Chemicals decreased by $163 million compared to the same period of fscal 2022 due to lower volumes ($65 million), the unfavorable impact of foreign currency translaton ($42 million), less favorable pricing and product mix (combined $49 million) and lower by-product revenue ($6 million). The lower volumes were primarily due to customer destocking, demand sofness in key end markets and prolonged weakness in China following the impact from COVID-19 outbreaks in the frst half of fscal 2023. The less favorable pricing and product mix was primarily due to lower raw material prices that are generally passed through to our customers and a less favorable pricing and product mix within the batery materials product line.</w:t>
      </w:r>
    </w:p>
    <w:p>
      <w:pPr>
        <w:spacing w:after="0" w:line="76"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2E2E2E"/>
        </w:rPr>
        <w:t>EBIT in Performance Chemicals decreased by $109 million compared to the same period of fscal 2022 due to lower volumes ($51 million), lower unit margins ($43 million), the unfavorable impact of a reducton in inventory levels ($10 million) and the unfavorable impact of foreign currency translaton ($10 million). Lower volumes were driven by customer destocking, demand sofness in key end markets, and prolonged weakness in China following the impact from COVID-19 outbreaks in the frst half of fscal 2023. The decrease in unit margins were largely due to a less favorable pricing and product mix in the batery materials and specialty carbons product lines.</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Purifcaton Solutons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Sales and EBIT for Purifcaton Solutons for fscal 2023 and 2022 are as follows:</w:t>
      </w:r>
    </w:p>
    <w:p>
      <w:pPr>
        <w:spacing w:after="0" w:line="10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340" w:type="dxa"/>
            <w:vAlign w:val="bottom"/>
            <w:gridSpan w:val="4"/>
          </w:tcPr>
          <w:p>
            <w:pPr>
              <w:jc w:val="right"/>
              <w:ind w:right="220"/>
              <w:spacing w:after="0"/>
              <w:rPr>
                <w:sz w:val="20"/>
                <w:szCs w:val="20"/>
                <w:color w:val="auto"/>
              </w:rPr>
            </w:pPr>
            <w:r>
              <w:rPr>
                <w:rFonts w:ascii="Calibri" w:cs="Calibri" w:eastAsia="Calibri" w:hAnsi="Calibri"/>
                <w:sz w:val="14"/>
                <w:szCs w:val="14"/>
                <w:b w:val="1"/>
                <w:bCs w:val="1"/>
                <w:color w:val="auto"/>
              </w:rPr>
              <w:t>Years Ended September 30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6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6220" w:type="dxa"/>
            <w:vAlign w:val="bottom"/>
          </w:tcPr>
          <w:p>
            <w:pPr>
              <w:spacing w:after="0"/>
              <w:rPr>
                <w:sz w:val="14"/>
                <w:szCs w:val="14"/>
                <w:color w:val="auto"/>
              </w:rPr>
            </w:pPr>
          </w:p>
        </w:tc>
        <w:tc>
          <w:tcPr>
            <w:tcW w:w="860" w:type="dxa"/>
            <w:vAlign w:val="bottom"/>
          </w:tcPr>
          <w:p>
            <w:pPr>
              <w:jc w:val="right"/>
              <w:ind w:right="19"/>
              <w:spacing w:after="0" w:line="164" w:lineRule="exact"/>
              <w:rPr>
                <w:sz w:val="20"/>
                <w:szCs w:val="20"/>
                <w:color w:val="auto"/>
              </w:rPr>
            </w:pPr>
            <w:r>
              <w:rPr>
                <w:rFonts w:ascii="Calibri" w:cs="Calibri" w:eastAsia="Calibri" w:hAnsi="Calibri"/>
                <w:sz w:val="14"/>
                <w:szCs w:val="14"/>
                <w:b w:val="1"/>
                <w:bCs w:val="1"/>
                <w:color w:val="auto"/>
              </w:rPr>
              <w:t>2023</w:t>
            </w:r>
          </w:p>
        </w:tc>
        <w:tc>
          <w:tcPr>
            <w:tcW w:w="380" w:type="dxa"/>
            <w:vAlign w:val="bottom"/>
          </w:tcPr>
          <w:p>
            <w:pPr>
              <w:spacing w:after="0"/>
              <w:rPr>
                <w:sz w:val="14"/>
                <w:szCs w:val="14"/>
                <w:color w:val="auto"/>
              </w:rPr>
            </w:pPr>
          </w:p>
        </w:tc>
        <w:tc>
          <w:tcPr>
            <w:tcW w:w="1100" w:type="dxa"/>
            <w:vAlign w:val="bottom"/>
            <w:gridSpan w:val="2"/>
          </w:tcPr>
          <w:p>
            <w:pPr>
              <w:jc w:val="right"/>
              <w:ind w:right="120"/>
              <w:spacing w:after="0" w:line="164" w:lineRule="exact"/>
              <w:rPr>
                <w:sz w:val="20"/>
                <w:szCs w:val="20"/>
                <w:color w:val="auto"/>
              </w:rPr>
            </w:pPr>
            <w:r>
              <w:rPr>
                <w:rFonts w:ascii="Calibri" w:cs="Calibri" w:eastAsia="Calibri" w:hAnsi="Calibri"/>
                <w:sz w:val="14"/>
                <w:szCs w:val="14"/>
                <w:b w:val="1"/>
                <w:bCs w:val="1"/>
                <w:color w:val="auto"/>
              </w:rPr>
              <w:t>2022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6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6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ind w:left="120"/>
              <w:spacing w:after="0" w:line="164" w:lineRule="exact"/>
              <w:rPr>
                <w:sz w:val="20"/>
                <w:szCs w:val="20"/>
                <w:color w:val="auto"/>
              </w:rPr>
            </w:pPr>
            <w:r>
              <w:rPr>
                <w:rFonts w:ascii="Calibri" w:cs="Calibri" w:eastAsia="Calibri" w:hAnsi="Calibri"/>
                <w:sz w:val="14"/>
                <w:szCs w:val="14"/>
                <w:b w:val="1"/>
                <w:bCs w:val="1"/>
                <w:color w:val="auto"/>
              </w:rPr>
              <w:t>(In</w:t>
            </w:r>
          </w:p>
        </w:tc>
        <w:tc>
          <w:tcPr>
            <w:tcW w:w="1100" w:type="dxa"/>
            <w:vAlign w:val="bottom"/>
            <w:gridSpan w:val="2"/>
          </w:tcPr>
          <w:p>
            <w:pPr>
              <w:jc w:val="right"/>
              <w:ind w:right="660"/>
              <w:spacing w:after="0" w:line="164" w:lineRule="exact"/>
              <w:rPr>
                <w:sz w:val="20"/>
                <w:szCs w:val="20"/>
                <w:color w:val="auto"/>
              </w:rPr>
            </w:pPr>
            <w:r>
              <w:rPr>
                <w:rFonts w:ascii="Calibri" w:cs="Calibri" w:eastAsia="Calibri" w:hAnsi="Calibri"/>
                <w:sz w:val="14"/>
                <w:szCs w:val="14"/>
                <w:b w:val="1"/>
                <w:bCs w:val="1"/>
                <w:color w:val="auto"/>
                <w:w w:val="83"/>
              </w:rPr>
              <w:t>millions)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6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62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Purifcaton Solutons Sales</w:t>
            </w:r>
          </w:p>
        </w:tc>
        <w:tc>
          <w:tcPr>
            <w:tcW w:w="860" w:type="dxa"/>
            <w:vAlign w:val="bottom"/>
            <w:tcBorders>
              <w:bottom w:val="single" w:sz="8" w:color="CFF0FC"/>
            </w:tcBorders>
            <w:shd w:val="clear" w:color="auto" w:fill="CFF0FC"/>
          </w:tcPr>
          <w:p>
            <w:pPr>
              <w:jc w:val="right"/>
              <w:ind w:right="679"/>
              <w:spacing w:after="0" w:line="215" w:lineRule="exact"/>
              <w:rPr>
                <w:sz w:val="20"/>
                <w:szCs w:val="20"/>
                <w:color w:val="auto"/>
              </w:rPr>
            </w:pPr>
            <w:r>
              <w:rPr>
                <w:rFonts w:ascii="Calibri" w:cs="Calibri" w:eastAsia="Calibri" w:hAnsi="Calibri"/>
                <w:sz w:val="18"/>
                <w:szCs w:val="18"/>
                <w:color w:val="auto"/>
                <w:w w:val="87"/>
              </w:rPr>
              <w:t>$</w:t>
            </w:r>
          </w:p>
        </w:tc>
        <w:tc>
          <w:tcPr>
            <w:tcW w:w="3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w w:val="97"/>
              </w:rPr>
              <w:t>—</w:t>
            </w:r>
          </w:p>
        </w:tc>
        <w:tc>
          <w:tcPr>
            <w:tcW w:w="1100" w:type="dxa"/>
            <w:vAlign w:val="bottom"/>
            <w:tcBorders>
              <w:bottom w:val="single" w:sz="8" w:color="CFF0FC"/>
            </w:tcBorders>
            <w:gridSpan w:val="2"/>
            <w:shd w:val="clear" w:color="auto" w:fill="CFF0FC"/>
          </w:tcPr>
          <w:p>
            <w:pPr>
              <w:jc w:val="right"/>
              <w:ind w:right="78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6220" w:type="dxa"/>
            <w:vAlign w:val="bottom"/>
          </w:tcPr>
          <w:p>
            <w:pPr>
              <w:spacing w:after="0" w:line="215" w:lineRule="exact"/>
              <w:rPr>
                <w:sz w:val="20"/>
                <w:szCs w:val="20"/>
                <w:color w:val="auto"/>
              </w:rPr>
            </w:pPr>
            <w:r>
              <w:rPr>
                <w:rFonts w:ascii="Calibri" w:cs="Calibri" w:eastAsia="Calibri" w:hAnsi="Calibri"/>
                <w:sz w:val="18"/>
                <w:szCs w:val="18"/>
                <w:color w:val="auto"/>
              </w:rPr>
              <w:t>Purifcaton Solutons EBIT</w:t>
            </w:r>
          </w:p>
        </w:tc>
        <w:tc>
          <w:tcPr>
            <w:tcW w:w="860" w:type="dxa"/>
            <w:vAlign w:val="bottom"/>
          </w:tcPr>
          <w:p>
            <w:pPr>
              <w:jc w:val="right"/>
              <w:ind w:right="679"/>
              <w:spacing w:after="0" w:line="215" w:lineRule="exact"/>
              <w:rPr>
                <w:sz w:val="20"/>
                <w:szCs w:val="20"/>
                <w:color w:val="auto"/>
              </w:rPr>
            </w:pPr>
            <w:r>
              <w:rPr>
                <w:rFonts w:ascii="Calibri" w:cs="Calibri" w:eastAsia="Calibri" w:hAnsi="Calibri"/>
                <w:sz w:val="18"/>
                <w:szCs w:val="18"/>
                <w:color w:val="auto"/>
                <w:w w:val="87"/>
              </w:rPr>
              <w:t>$</w:t>
            </w:r>
          </w:p>
        </w:tc>
        <w:tc>
          <w:tcPr>
            <w:tcW w:w="380" w:type="dxa"/>
            <w:vAlign w:val="bottom"/>
          </w:tcPr>
          <w:p>
            <w:pPr>
              <w:ind w:left="200"/>
              <w:spacing w:after="0" w:line="215" w:lineRule="exact"/>
              <w:rPr>
                <w:sz w:val="20"/>
                <w:szCs w:val="20"/>
                <w:color w:val="auto"/>
              </w:rPr>
            </w:pPr>
            <w:r>
              <w:rPr>
                <w:rFonts w:ascii="Calibri" w:cs="Calibri" w:eastAsia="Calibri" w:hAnsi="Calibri"/>
                <w:sz w:val="18"/>
                <w:szCs w:val="18"/>
                <w:color w:val="auto"/>
                <w:w w:val="97"/>
              </w:rPr>
              <w:t>—</w:t>
            </w:r>
          </w:p>
        </w:tc>
        <w:tc>
          <w:tcPr>
            <w:tcW w:w="1100" w:type="dxa"/>
            <w:vAlign w:val="bottom"/>
            <w:gridSpan w:val="2"/>
          </w:tcPr>
          <w:p>
            <w:pPr>
              <w:jc w:val="right"/>
              <w:ind w:right="78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bl>
    <w:p>
      <w:pPr>
        <w:spacing w:after="0" w:line="16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We divested the Purifcaton Solutons business in March 2022. Refer to Note D of our Notes to the Consolidated Financial Statements.</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5" w:name="page36"/>
    <w:bookmarkEnd w:id="35"/>
    <w:p>
      <w:pPr>
        <w:spacing w:after="0"/>
        <w:rPr>
          <w:sz w:val="20"/>
          <w:szCs w:val="20"/>
          <w:color w:val="auto"/>
        </w:rPr>
      </w:pPr>
      <w:r>
        <w:rPr>
          <w:rFonts w:ascii="Calibri" w:cs="Calibri" w:eastAsia="Calibri" w:hAnsi="Calibri"/>
          <w:sz w:val="18"/>
          <w:szCs w:val="18"/>
          <w:b w:val="1"/>
          <w:bCs w:val="1"/>
          <w:i w:val="1"/>
          <w:iCs w:val="1"/>
          <w:color w:val="auto"/>
        </w:rPr>
        <w:t>Fiscal 2024 Outlook</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Looking forward to fscal 2024, we remain focused on our strategy of Creatng for Tomorrow, advancing several strategic initatves, generatng strong cash fows, and maintaining a disciplined approach to capital allocaton. While we believe that customer destocking is largely over in our key end markets, both for our Reinforcement Materials and Performance Chemicals segments, we expect the challenging macroeconomic conditons seen in fscal 2023 to persist into fscal 2024 which may drive certain customers to be cautous in their short-term purchasing behavior, partcularly those of our Performance Chemicals segment, which could impact our fscal 2024 results. We do not expect this short-term behavior to have a long-term impact on the business as the conditons subside.</w:t>
      </w:r>
    </w:p>
    <w:p>
      <w:pPr>
        <w:spacing w:after="0" w:line="81"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Overview</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liquidity positon, as measured by cash and cash equivalents plus borrowing availability, increased by $200 million during fscal 2023, primarily due to a higher cash balance and lower outstanding commercial paper balance at the end of the period. As of September 30, 2023, we had cash and cash equivalents of $238 million and borrowing availability under our revolving credit agreements of $1 billion.</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We have access to borrowings under the following two credit agreements:</w:t>
      </w:r>
    </w:p>
    <w:p>
      <w:pPr>
        <w:spacing w:after="0" w:line="96" w:lineRule="exact"/>
        <w:rPr>
          <w:sz w:val="20"/>
          <w:szCs w:val="20"/>
          <w:color w:val="auto"/>
        </w:rPr>
      </w:pPr>
    </w:p>
    <w:p>
      <w:pPr>
        <w:ind w:left="900" w:right="40" w:hanging="383"/>
        <w:spacing w:after="0" w:line="254" w:lineRule="auto"/>
        <w:tabs>
          <w:tab w:leader="none" w:pos="900" w:val="left"/>
        </w:tabs>
        <w:numPr>
          <w:ilvl w:val="0"/>
          <w:numId w:val="16"/>
        </w:numPr>
        <w:rPr>
          <w:rFonts w:ascii="Times New Roman" w:cs="Times New Roman" w:eastAsia="Times New Roman" w:hAnsi="Times New Roman"/>
          <w:sz w:val="17"/>
          <w:szCs w:val="17"/>
          <w:color w:val="auto"/>
        </w:rPr>
      </w:pPr>
      <w:r>
        <w:rPr>
          <w:rFonts w:ascii="Calibri" w:cs="Calibri" w:eastAsia="Calibri" w:hAnsi="Calibri"/>
          <w:sz w:val="17"/>
          <w:szCs w:val="17"/>
          <w:color w:val="auto"/>
        </w:rPr>
        <w:t>$1 billion unsecured revolving credit agreement (the “U.S. Credit Agreement”) with JPMorgan Chase Bank, N.A., as Administratve Agent, Citbank, N.A., as Syndicaton Agent, and the other lenders party thereto, which matures in August 2027. The U.S. Credit Agreement supports our issuance of commercial paper, and borrowings under it may be used for working capital, leters of credit and other general corporate purposes.</w:t>
      </w:r>
    </w:p>
    <w:p>
      <w:pPr>
        <w:spacing w:after="0" w:line="83" w:lineRule="exact"/>
        <w:rPr>
          <w:rFonts w:ascii="Times New Roman" w:cs="Times New Roman" w:eastAsia="Times New Roman" w:hAnsi="Times New Roman"/>
          <w:sz w:val="17"/>
          <w:szCs w:val="17"/>
          <w:color w:val="auto"/>
        </w:rPr>
      </w:pPr>
    </w:p>
    <w:p>
      <w:pPr>
        <w:ind w:left="900" w:right="20" w:hanging="383"/>
        <w:spacing w:after="0" w:line="235" w:lineRule="auto"/>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€300 million unsecured revolving credit agreement (the “Euro Credit Agreement”, and together with the U.S. Credit Agreement, the “Credit Agreements”), with PNC Bank, Natonal Associaton, as Administratve Agent, and the other lenders party thereto, which matures in August 2027. Borrowings under the Euro Credit Agreement may be used for the repatriaton of earnings of our foreign subsidiaries to the United States, the repayment of indebtedness of our foreign subsidiaries owing to us or any of our subsidiaries and for working capital and general corporate purposes.</w:t>
      </w:r>
    </w:p>
    <w:p>
      <w:pPr>
        <w:spacing w:after="0" w:line="85" w:lineRule="exact"/>
        <w:rPr>
          <w:sz w:val="20"/>
          <w:szCs w:val="20"/>
          <w:color w:val="auto"/>
        </w:rPr>
      </w:pPr>
    </w:p>
    <w:p>
      <w:pPr>
        <w:jc w:val="both"/>
        <w:ind w:right="40" w:firstLine="509"/>
        <w:spacing w:after="0" w:line="235" w:lineRule="auto"/>
        <w:rPr>
          <w:sz w:val="20"/>
          <w:szCs w:val="20"/>
          <w:color w:val="auto"/>
        </w:rPr>
      </w:pPr>
      <w:r>
        <w:rPr>
          <w:rFonts w:ascii="Calibri" w:cs="Calibri" w:eastAsia="Calibri" w:hAnsi="Calibri"/>
          <w:sz w:val="18"/>
          <w:szCs w:val="18"/>
          <w:color w:val="auto"/>
        </w:rPr>
        <w:t>As of September 30, 2023, we were in compliance with the debt covenants under the Credit Agreements, which, with limited exceptons, require us to comply on a quarterly basis with a leverage test requiring the rato of consolidated net debt to consolidated EBITDA not to exceed 3.50 to 1.00. Consolidated net debt is defned as consolidated debt ofset by the lesser of (i) unrestricted cash and cash equivalents and (ii) $150 million.</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 signifcant porton of our business occurs outside the U.S. and our cash generaton does not always align geographically with our cash needs. The vast majority of our cash and cash equivalent holdings tend to be held outside the U.S. We generally use a combinaton of U.S. earnings, repatriaton of certain foreign earnings, commercial paper issuances and borrowings under our U.S. Credit Agreement to meet our U.S. cash needs. With the excepton of Argentna, which has currency controls that prevent the distributon of cash, we are generally able to move cash throughout the Company through our cash pooling structures, intercompany accounts and/or distributons, as needed. Although we repatriate certain foreign earnings, cash held by foreign subsidiaries is generally considered permanently reinvested and is used to fnance the subsidiaries’ operatonal actvites and future investments. We usually reduce our commercial paper balance and, if applicable, borrowings under our Credit Agreements, at quarter-end using cash derived from customer collectons, setlement of intercompany balances and short-term intercompany loans. If additonal funds are needed in the U.S., we expect to be able to repatriate cash, including cash from China, while paying any withholding or other taxes. Changes in tax laws in the U.S. or foreign countries could restrict our ability to transfer funds or impose material costs on such transfers.</w:t>
      </w:r>
    </w:p>
    <w:p>
      <w:pPr>
        <w:spacing w:after="0" w:line="8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of September 30, 2023, we had $1 billion of availability under our Credit Agreements. As of September 30, 2023, we had $120 million of borrowings outstanding under the Euro Credit Agreement and no outstanding borrowings under the U.S. Credit Agreement. There was $172 million and $322 million of commercial paper outstanding at September 30, 2023 and 2022, respectvely.</w:t>
      </w:r>
    </w:p>
    <w:p>
      <w:pPr>
        <w:spacing w:after="0" w:line="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antcipate sufcient liquidity from (i) cash on hand; (ii) cash fows from operatng actvites; and (iii) cash available from the Credit Agreements and our commercial paper program to meet our operatonal and capital investment needs and fnancial obligatons for the foreseeable future. The liquidity we derive from cash fows from operatons is, to a large degree, predicated on our ability to collect our receivables in a tmely manner, the cost of our raw materials, and our ability to manage inventory levels.</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discussion of the changes in our cash balance refers to the various sectons of our Consolidated Statements of Cash Flows.</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6" w:name="page37"/>
    <w:bookmarkEnd w:id="36"/>
    <w:p>
      <w:pPr>
        <w:ind w:left="260"/>
        <w:spacing w:after="0"/>
        <w:rPr>
          <w:sz w:val="20"/>
          <w:szCs w:val="20"/>
          <w:color w:val="auto"/>
        </w:rPr>
      </w:pPr>
      <w:r>
        <w:rPr>
          <w:rFonts w:ascii="Calibri" w:cs="Calibri" w:eastAsia="Calibri" w:hAnsi="Calibri"/>
          <w:sz w:val="18"/>
          <w:szCs w:val="18"/>
          <w:b w:val="1"/>
          <w:bCs w:val="1"/>
          <w:i w:val="1"/>
          <w:iCs w:val="1"/>
          <w:color w:val="auto"/>
        </w:rPr>
        <w:t>Cash Flows from Operatng Actvites</w:t>
      </w:r>
    </w:p>
    <w:p>
      <w:pPr>
        <w:spacing w:after="0" w:line="82" w:lineRule="exact"/>
        <w:rPr>
          <w:sz w:val="20"/>
          <w:szCs w:val="20"/>
          <w:color w:val="auto"/>
        </w:rPr>
      </w:pPr>
    </w:p>
    <w:p>
      <w:pPr>
        <w:jc w:val="both"/>
        <w:ind w:right="260" w:firstLine="509"/>
        <w:spacing w:after="0" w:line="235" w:lineRule="auto"/>
        <w:rPr>
          <w:sz w:val="20"/>
          <w:szCs w:val="20"/>
          <w:color w:val="auto"/>
        </w:rPr>
      </w:pPr>
      <w:r>
        <w:rPr>
          <w:rFonts w:ascii="Calibri" w:cs="Calibri" w:eastAsia="Calibri" w:hAnsi="Calibri"/>
          <w:sz w:val="18"/>
          <w:szCs w:val="18"/>
          <w:color w:val="auto"/>
        </w:rPr>
        <w:t>Cash provided by operatng actvites, which consists of net income adjusted for the various non-cash items included in income, changes in working capital and changes in certain other balance sheet accounts, totaled $595 million in fscal 2023. Operatng actvites provided $100 million of cash in fscal 2022.</w:t>
      </w:r>
    </w:p>
    <w:p>
      <w:pPr>
        <w:spacing w:after="0" w:line="84"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Cash provided by operatng actvites in fscal 2023 was driven by business earnings excluding the non-cash impacts of depreciaton and amortzaton of $144 million, plus a decrease in net working capital of $97 million. The decrease in net working capital was largely driven by a decrease in accounts receivable due to lower customer prices from lower cost of raw materials and decreased sales volumes and a decrease in inventories, partally ofset by a decrease in accounts payable and accrued expenses driven by lower cost of raw materials.</w:t>
      </w:r>
    </w:p>
    <w:p>
      <w:pPr>
        <w:spacing w:after="0" w:line="84" w:lineRule="exact"/>
        <w:rPr>
          <w:sz w:val="20"/>
          <w:szCs w:val="20"/>
          <w:color w:val="auto"/>
        </w:rPr>
      </w:pPr>
    </w:p>
    <w:p>
      <w:pPr>
        <w:jc w:val="both"/>
        <w:ind w:right="40" w:firstLine="509"/>
        <w:spacing w:after="0" w:line="235" w:lineRule="auto"/>
        <w:rPr>
          <w:sz w:val="20"/>
          <w:szCs w:val="20"/>
          <w:color w:val="auto"/>
        </w:rPr>
      </w:pPr>
      <w:r>
        <w:rPr>
          <w:rFonts w:ascii="Calibri" w:cs="Calibri" w:eastAsia="Calibri" w:hAnsi="Calibri"/>
          <w:sz w:val="18"/>
          <w:szCs w:val="18"/>
          <w:color w:val="auto"/>
        </w:rPr>
        <w:t>Cash provided by operatng actvites in fscal 2022 was driven by business earnings excluding the non-cash impacts of depreciaton and amortzaton of $146 million, which was partally ofset by an increase in net working capital of $431 million. The increase in net working capital was driven by an increase in accounts receivable due to higher sales, including the pass through of higher raw material costs, and an increase in inventory driven by a higher cost of raw materials, partally ofset by an increase in accounts payable.</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Cash Flows from Investng Actvites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Investng actvites consumed $214 million of cash in fscal 2023 compared to $118 million in fscal 2022. In fscal 2023, the use of cash by investng actvites primarily consisted of $244 million of capital expenditures for sustaining and compliance capital projects at our operatng facilites as well as growth-related capital, including a capacity expansion project in Performance Chemicals, partally ofset by proceeds from insurance setlements of $12 million, proceeds from the sale of land of $7 million, and proceeds from the sale of our Purifcaton Solutons business of $6 million.</w:t>
      </w:r>
    </w:p>
    <w:p>
      <w:pPr>
        <w:spacing w:after="0" w:line="84"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In fscal 2022, the use of cash by investng actvites primarily consisted of $211 million of capital expenditures for sustaining and compliance capital projects at our operatng facilites as well as growth-related capital, including a capacity expansion project in Performance Chemicals, partally ofset by proceeds from the sale of our Purifcaton Solutons business of $79 million and proceeds from the sale of land of $18 million.</w:t>
      </w:r>
    </w:p>
    <w:p>
      <w:pPr>
        <w:spacing w:after="0" w:line="84" w:lineRule="exact"/>
        <w:rPr>
          <w:sz w:val="20"/>
          <w:szCs w:val="20"/>
          <w:color w:val="auto"/>
        </w:rPr>
      </w:pPr>
    </w:p>
    <w:p>
      <w:pPr>
        <w:ind w:right="20" w:firstLine="509"/>
        <w:spacing w:after="0" w:line="258" w:lineRule="auto"/>
        <w:rPr>
          <w:sz w:val="20"/>
          <w:szCs w:val="20"/>
          <w:color w:val="auto"/>
        </w:rPr>
      </w:pPr>
      <w:r>
        <w:rPr>
          <w:rFonts w:ascii="Calibri" w:cs="Calibri" w:eastAsia="Calibri" w:hAnsi="Calibri"/>
          <w:sz w:val="17"/>
          <w:szCs w:val="17"/>
          <w:color w:val="auto"/>
        </w:rPr>
        <w:t>Capital expenditures for fscal 2024 are expected to be between $250 million and $275 million. Our planned capital spending program for fscal 2024 is primarily for sustaining, compliance and improvement capital projects at our operatng facilites as well as capacity expansion capital expenditures.</w:t>
      </w:r>
    </w:p>
    <w:p>
      <w:pPr>
        <w:spacing w:after="0" w:line="62"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Cash Flows from Financing Actvites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Financing actvites consumed $403 million of cash in fscal 2023 compared to $145 million provided in fscal 2022. The cash consumed by fnancing actvites in fscal 2023 primarily consisted of net repayments of long-term debt of $6 million, which consisted of repayments of $90 million partally ofset by proceeds of $84 million, net repayments of commercial paper of $149 million, net repayments of credit facility borrowings of $24 million, dividend payments to stockholders of $88 million, purchases of common stock of $98 million and dividend payments to noncontrolling interests of $42 million.</w:t>
      </w:r>
    </w:p>
    <w:p>
      <w:pPr>
        <w:spacing w:after="0" w:line="84"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cash provided by fnancing actvites in fscal 2022 primarily consisted of net proceeds from long-term debt of $22 million, which consisted of proceeds of $394 million less repayments of $372 million, net proceeds from the issuance of commercial paper of $250 million, and proceeds from short-term borrowings of $26 million, partally ofset by dividend payments to stockholders of $84 million, purchases of common stock of $53 million and dividend payments to noncontrolling interests of $22 million.</w:t>
      </w:r>
    </w:p>
    <w:p>
      <w:pPr>
        <w:spacing w:after="0" w:line="84"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Our long-term total debt, of which $8 million is current, matures at various tmes as presented in Note I of our Notes to the Consolidated Financial Statements. The weighted-average interest rate on our fxed rate long-term debt was 4.29% as of September 30, 2023.</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Share Repurchases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fscal 2018, our Board of Directors authorized us to repurchase up to an additonal ten million shares of common stock. In fscal 2023, we repurchased approximately 1.3 million shares of common stock on the open market for $91 million. In fscal 2022 we repurchased approximately 0.8 million shares of common stock on the open market for $49 million. Additonally, during both fscal 2023 and fscal 2022 we repurchased 0.1 million shares of our common stock associated with employee tax obligatons on stock-based compensaton awards for $7 million and $4 million, respectvely. As of September 30, 2023, we had approximately 3.0 million shares available for repurchase under the Board of Directors’ share repurchase authorizaton.</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Dividend Payments</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fscal 2023 and fscal 2022, we paid cash dividends on our common stock of $1.54 and $1.48 per share, respectvely. These cash dividend payments totaled $88 million and $84 million in fscal 2023 and fscal 2022, respectvely.</w:t>
      </w:r>
    </w:p>
    <w:p>
      <w:pPr>
        <w:spacing w:after="0" w:line="21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37" w:name="page38"/>
    <w:bookmarkEnd w:id="37"/>
    <w:p>
      <w:pPr>
        <w:ind w:left="260"/>
        <w:spacing w:after="0"/>
        <w:rPr>
          <w:sz w:val="20"/>
          <w:szCs w:val="20"/>
          <w:color w:val="auto"/>
        </w:rPr>
      </w:pPr>
      <w:r>
        <w:rPr>
          <w:rFonts w:ascii="Calibri" w:cs="Calibri" w:eastAsia="Calibri" w:hAnsi="Calibri"/>
          <w:sz w:val="18"/>
          <w:szCs w:val="18"/>
          <w:b w:val="1"/>
          <w:bCs w:val="1"/>
          <w:i w:val="1"/>
          <w:iCs w:val="1"/>
          <w:color w:val="auto"/>
        </w:rPr>
        <w:t>Employee Beneft Plans</w:t>
      </w:r>
    </w:p>
    <w:p>
      <w:pPr>
        <w:spacing w:after="0" w:line="82" w:lineRule="exact"/>
        <w:rPr>
          <w:sz w:val="20"/>
          <w:szCs w:val="20"/>
          <w:color w:val="auto"/>
        </w:rPr>
      </w:pPr>
    </w:p>
    <w:p>
      <w:pPr>
        <w:ind w:right="440" w:firstLine="509"/>
        <w:spacing w:after="0" w:line="235" w:lineRule="auto"/>
        <w:rPr>
          <w:sz w:val="20"/>
          <w:szCs w:val="20"/>
          <w:color w:val="auto"/>
        </w:rPr>
      </w:pPr>
      <w:r>
        <w:rPr>
          <w:rFonts w:ascii="Calibri" w:cs="Calibri" w:eastAsia="Calibri" w:hAnsi="Calibri"/>
          <w:sz w:val="18"/>
          <w:szCs w:val="18"/>
          <w:color w:val="auto"/>
        </w:rPr>
        <w:t>As of September 30, 2023, we had a consolidated pension obligaton, net of the fair value of plan assets, of $22 million, primarily associated with postretrement beneft plan liabilites.</w:t>
      </w:r>
    </w:p>
    <w:p>
      <w:pPr>
        <w:spacing w:after="0" w:line="83" w:lineRule="exact"/>
        <w:rPr>
          <w:sz w:val="20"/>
          <w:szCs w:val="20"/>
          <w:color w:val="auto"/>
        </w:rPr>
      </w:pPr>
    </w:p>
    <w:p>
      <w:pPr>
        <w:ind w:right="960" w:firstLine="509"/>
        <w:spacing w:after="0" w:line="235" w:lineRule="auto"/>
        <w:rPr>
          <w:sz w:val="20"/>
          <w:szCs w:val="20"/>
          <w:color w:val="auto"/>
        </w:rPr>
      </w:pPr>
      <w:r>
        <w:rPr>
          <w:rFonts w:ascii="Calibri" w:cs="Calibri" w:eastAsia="Calibri" w:hAnsi="Calibri"/>
          <w:sz w:val="18"/>
          <w:szCs w:val="18"/>
          <w:color w:val="auto"/>
        </w:rPr>
        <w:t>In fscal 2023, we made cash contributons totaling $4 million to our defned beneft pension plans. In fscal 2024, we expect to make cash contributons of $4 million to our defned beneft pension plans.</w:t>
      </w:r>
    </w:p>
    <w:p>
      <w:pPr>
        <w:spacing w:after="0" w:line="83" w:lineRule="exact"/>
        <w:rPr>
          <w:sz w:val="20"/>
          <w:szCs w:val="20"/>
          <w:color w:val="auto"/>
        </w:rPr>
      </w:pPr>
    </w:p>
    <w:p>
      <w:pPr>
        <w:ind w:right="40" w:firstLine="509"/>
        <w:spacing w:after="0" w:line="252" w:lineRule="auto"/>
        <w:rPr>
          <w:sz w:val="20"/>
          <w:szCs w:val="20"/>
          <w:color w:val="auto"/>
        </w:rPr>
      </w:pPr>
      <w:r>
        <w:rPr>
          <w:rFonts w:ascii="Calibri" w:cs="Calibri" w:eastAsia="Calibri" w:hAnsi="Calibri"/>
          <w:sz w:val="17"/>
          <w:szCs w:val="17"/>
          <w:color w:val="auto"/>
        </w:rPr>
        <w:t>The $25 million of unfunded postretrement beneft plan liabilites is comprised of $14 million for our U.S. and $11 million for our foreign postretrement beneft plans. These postretrement beneft plans provide certain health care and life insurance benefts for retred employees. Typical of such plans, our postretrement plans are unfunded and, therefore, have no plan assets. We fund these plans as claims or insurance premiums come due. In fscal 2023, we paid postretrement benefts of $3 million. For fscal 2024, our beneft payments for our postretrement plans are expected to be $3 million.</w:t>
      </w:r>
    </w:p>
    <w:p>
      <w:pPr>
        <w:spacing w:after="0" w:line="7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fscal 2023, we commenced the plan terminaton process for the Cabot Carbon Limited Pension Plan and Carbon Plastcs Pension Plan and expect to complete this process in fscal 2024.</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Contractual Obligatons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sets forth our long-term contractual obligatons.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7"/>
          </w:tcPr>
          <w:p>
            <w:pPr>
              <w:jc w:val="center"/>
              <w:ind w:left="374"/>
              <w:spacing w:after="0"/>
              <w:rPr>
                <w:sz w:val="20"/>
                <w:szCs w:val="20"/>
                <w:color w:val="auto"/>
              </w:rPr>
            </w:pPr>
            <w:r>
              <w:rPr>
                <w:rFonts w:ascii="Calibri" w:cs="Calibri" w:eastAsia="Calibri" w:hAnsi="Calibri"/>
                <w:sz w:val="14"/>
                <w:szCs w:val="14"/>
                <w:b w:val="1"/>
                <w:bCs w:val="1"/>
                <w:color w:val="auto"/>
              </w:rPr>
              <w:t>Payments Due by Fiscal Year</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163"/>
        </w:trPr>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212"/>
              <w:spacing w:after="0" w:line="164" w:lineRule="exact"/>
              <w:rPr>
                <w:sz w:val="20"/>
                <w:szCs w:val="20"/>
                <w:color w:val="auto"/>
              </w:rPr>
            </w:pPr>
            <w:r>
              <w:rPr>
                <w:rFonts w:ascii="Calibri" w:cs="Calibri" w:eastAsia="Calibri" w:hAnsi="Calibri"/>
                <w:sz w:val="14"/>
                <w:szCs w:val="14"/>
                <w:b w:val="1"/>
                <w:bCs w:val="1"/>
                <w:color w:val="auto"/>
              </w:rPr>
              <w:t>2025</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14"/>
              <w:spacing w:after="0" w:line="164" w:lineRule="exact"/>
              <w:rPr>
                <w:sz w:val="20"/>
                <w:szCs w:val="20"/>
                <w:color w:val="auto"/>
              </w:rPr>
            </w:pPr>
            <w:r>
              <w:rPr>
                <w:rFonts w:ascii="Calibri" w:cs="Calibri" w:eastAsia="Calibri" w:hAnsi="Calibri"/>
                <w:sz w:val="14"/>
                <w:szCs w:val="14"/>
                <w:b w:val="1"/>
                <w:bCs w:val="1"/>
                <w:color w:val="auto"/>
              </w:rPr>
              <w:t>2026</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center"/>
              <w:ind w:right="112"/>
              <w:spacing w:after="0" w:line="164" w:lineRule="exact"/>
              <w:rPr>
                <w:sz w:val="20"/>
                <w:szCs w:val="20"/>
                <w:color w:val="auto"/>
              </w:rPr>
            </w:pPr>
            <w:r>
              <w:rPr>
                <w:rFonts w:ascii="Calibri" w:cs="Calibri" w:eastAsia="Calibri" w:hAnsi="Calibri"/>
                <w:sz w:val="14"/>
                <w:szCs w:val="14"/>
                <w:b w:val="1"/>
                <w:bCs w:val="1"/>
                <w:color w:val="auto"/>
                <w:w w:val="98"/>
              </w:rPr>
              <w:t>2027</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92"/>
              <w:spacing w:after="0" w:line="164" w:lineRule="exact"/>
              <w:rPr>
                <w:sz w:val="20"/>
                <w:szCs w:val="20"/>
                <w:color w:val="auto"/>
              </w:rPr>
            </w:pPr>
            <w:r>
              <w:rPr>
                <w:rFonts w:ascii="Calibri" w:cs="Calibri" w:eastAsia="Calibri" w:hAnsi="Calibri"/>
                <w:sz w:val="14"/>
                <w:szCs w:val="14"/>
                <w:b w:val="1"/>
                <w:bCs w:val="1"/>
                <w:color w:val="auto"/>
              </w:rPr>
              <w:t>2028</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32"/>
              <w:spacing w:after="0" w:line="164" w:lineRule="exact"/>
              <w:rPr>
                <w:sz w:val="20"/>
                <w:szCs w:val="20"/>
                <w:color w:val="auto"/>
              </w:rPr>
            </w:pPr>
            <w:r>
              <w:rPr>
                <w:rFonts w:ascii="Calibri" w:cs="Calibri" w:eastAsia="Calibri" w:hAnsi="Calibri"/>
                <w:sz w:val="14"/>
                <w:szCs w:val="14"/>
                <w:b w:val="1"/>
                <w:bCs w:val="1"/>
                <w:color w:val="auto"/>
              </w:rPr>
              <w:t>Thereafer</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72"/>
              <w:spacing w:after="0" w:line="164" w:lineRule="exact"/>
              <w:rPr>
                <w:sz w:val="20"/>
                <w:szCs w:val="20"/>
                <w:color w:val="auto"/>
              </w:rPr>
            </w:pPr>
            <w:r>
              <w:rPr>
                <w:rFonts w:ascii="Calibri" w:cs="Calibri" w:eastAsia="Calibri" w:hAnsi="Calibri"/>
                <w:sz w:val="14"/>
                <w:szCs w:val="14"/>
                <w:b w:val="1"/>
                <w:bCs w:val="1"/>
                <w:color w:val="auto"/>
              </w:rPr>
              <w:t>Total</w:t>
            </w:r>
          </w:p>
        </w:tc>
        <w:tc>
          <w:tcPr>
            <w:tcW w:w="100" w:type="dxa"/>
            <w:vAlign w:val="bottom"/>
          </w:tcPr>
          <w:p>
            <w:pPr>
              <w:spacing w:after="0"/>
              <w:rPr>
                <w:sz w:val="14"/>
                <w:szCs w:val="14"/>
                <w:color w:val="auto"/>
              </w:rPr>
            </w:pPr>
          </w:p>
        </w:tc>
      </w:tr>
      <w:tr>
        <w:trPr>
          <w:trHeight w:val="33"/>
        </w:trPr>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spacing w:after="0" w:line="164" w:lineRule="exact"/>
              <w:rPr>
                <w:sz w:val="20"/>
                <w:szCs w:val="20"/>
                <w:color w:val="auto"/>
              </w:rPr>
            </w:pPr>
            <w:r>
              <w:rPr>
                <w:rFonts w:ascii="Calibri" w:cs="Calibri" w:eastAsia="Calibri" w:hAnsi="Calibri"/>
                <w:sz w:val="14"/>
                <w:szCs w:val="14"/>
                <w:b w:val="1"/>
                <w:bCs w:val="1"/>
                <w:color w:val="auto"/>
              </w:rPr>
              <w:t>(In millions)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188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480" w:type="dxa"/>
            <w:vAlign w:val="bottom"/>
            <w:tcBorders>
              <w:bottom w:val="single" w:sz="8" w:color="CFF0FC"/>
            </w:tcBorders>
            <w:gridSpan w:val="3"/>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Purchase commitments</w:t>
            </w:r>
          </w:p>
        </w:tc>
        <w:tc>
          <w:tcPr>
            <w:tcW w:w="600" w:type="dxa"/>
            <w:vAlign w:val="bottom"/>
            <w:tcBorders>
              <w:bottom w:val="single" w:sz="8" w:color="CFF0FC"/>
            </w:tcBorders>
            <w:shd w:val="clear" w:color="auto" w:fill="CFF0FC"/>
          </w:tcPr>
          <w:p>
            <w:pPr>
              <w:jc w:val="right"/>
              <w:ind w:right="416"/>
              <w:spacing w:after="0" w:line="215" w:lineRule="exact"/>
              <w:rPr>
                <w:sz w:val="20"/>
                <w:szCs w:val="20"/>
                <w:color w:val="auto"/>
              </w:rPr>
            </w:pPr>
            <w:r>
              <w:rPr>
                <w:rFonts w:ascii="Calibri" w:cs="Calibri" w:eastAsia="Calibri" w:hAnsi="Calibri"/>
                <w:sz w:val="18"/>
                <w:szCs w:val="18"/>
                <w:color w:val="auto"/>
                <w:w w:val="87"/>
              </w:rPr>
              <w:t>$</w:t>
            </w:r>
          </w:p>
        </w:tc>
        <w:tc>
          <w:tcPr>
            <w:tcW w:w="2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4"/>
              </w:rPr>
              <w:t>249</w:t>
            </w:r>
          </w:p>
        </w:tc>
        <w:tc>
          <w:tcPr>
            <w:tcW w:w="46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223</w:t>
            </w:r>
          </w:p>
        </w:tc>
        <w:tc>
          <w:tcPr>
            <w:tcW w:w="440" w:type="dxa"/>
            <w:vAlign w:val="bottom"/>
            <w:tcBorders>
              <w:bottom w:val="single" w:sz="8" w:color="CFF0FC"/>
            </w:tcBorders>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217</w:t>
            </w:r>
          </w:p>
        </w:tc>
        <w:tc>
          <w:tcPr>
            <w:tcW w:w="440" w:type="dxa"/>
            <w:vAlign w:val="bottom"/>
            <w:tcBorders>
              <w:bottom w:val="single" w:sz="8" w:color="CFF0FC"/>
            </w:tcBorders>
            <w:gridSpan w:val="2"/>
            <w:shd w:val="clear" w:color="auto" w:fill="CFF0FC"/>
          </w:tcPr>
          <w:p>
            <w:pPr>
              <w:jc w:val="right"/>
              <w:ind w:right="28"/>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197</w:t>
            </w:r>
          </w:p>
        </w:tc>
        <w:tc>
          <w:tcPr>
            <w:tcW w:w="440" w:type="dxa"/>
            <w:vAlign w:val="bottom"/>
            <w:tcBorders>
              <w:bottom w:val="single" w:sz="8" w:color="CFF0FC"/>
            </w:tcBorders>
            <w:gridSpan w:val="3"/>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122</w:t>
            </w:r>
          </w:p>
        </w:tc>
        <w:tc>
          <w:tcPr>
            <w:tcW w:w="3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1,477</w:t>
            </w:r>
          </w:p>
        </w:tc>
        <w:tc>
          <w:tcPr>
            <w:tcW w:w="44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2,485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3480" w:type="dxa"/>
            <w:vAlign w:val="bottom"/>
            <w:gridSpan w:val="3"/>
          </w:tcPr>
          <w:p>
            <w:pPr>
              <w:ind w:left="20"/>
              <w:spacing w:after="0" w:line="215" w:lineRule="exact"/>
              <w:rPr>
                <w:sz w:val="20"/>
                <w:szCs w:val="20"/>
                <w:color w:val="auto"/>
              </w:rPr>
            </w:pPr>
            <w:r>
              <w:rPr>
                <w:rFonts w:ascii="Calibri" w:cs="Calibri" w:eastAsia="Calibri" w:hAnsi="Calibri"/>
                <w:sz w:val="18"/>
                <w:szCs w:val="18"/>
                <w:color w:val="auto"/>
              </w:rPr>
              <w:t>Long-term debt</w:t>
            </w:r>
          </w:p>
        </w:tc>
        <w:tc>
          <w:tcPr>
            <w:tcW w:w="600" w:type="dxa"/>
            <w:vAlign w:val="bottom"/>
          </w:tcPr>
          <w:p>
            <w:pPr>
              <w:spacing w:after="0"/>
              <w:rPr>
                <w:sz w:val="18"/>
                <w:szCs w:val="18"/>
                <w:color w:val="auto"/>
              </w:rPr>
            </w:pPr>
          </w:p>
        </w:tc>
        <w:tc>
          <w:tcPr>
            <w:tcW w:w="28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250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700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1,082</w:t>
            </w:r>
          </w:p>
        </w:tc>
        <w:tc>
          <w:tcPr>
            <w:tcW w:w="100" w:type="dxa"/>
            <w:vAlign w:val="bottom"/>
          </w:tcPr>
          <w:p>
            <w:pPr>
              <w:spacing w:after="0"/>
              <w:rPr>
                <w:sz w:val="18"/>
                <w:szCs w:val="18"/>
                <w:color w:val="auto"/>
              </w:rPr>
            </w:pPr>
          </w:p>
        </w:tc>
      </w:tr>
      <w:tr>
        <w:trPr>
          <w:trHeight w:val="28"/>
        </w:trPr>
        <w:tc>
          <w:tcPr>
            <w:tcW w:w="188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480" w:type="dxa"/>
            <w:vAlign w:val="bottom"/>
            <w:tcBorders>
              <w:bottom w:val="single" w:sz="8" w:color="CFF0FC"/>
            </w:tcBorders>
            <w:gridSpan w:val="3"/>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Fixed interest on long-term debt</w:t>
            </w:r>
          </w:p>
        </w:tc>
        <w:tc>
          <w:tcPr>
            <w:tcW w:w="6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3480" w:type="dxa"/>
            <w:vAlign w:val="bottom"/>
            <w:gridSpan w:val="3"/>
          </w:tcPr>
          <w:p>
            <w:pPr>
              <w:ind w:left="20"/>
              <w:spacing w:after="0" w:line="215" w:lineRule="exact"/>
              <w:rPr>
                <w:sz w:val="20"/>
                <w:szCs w:val="20"/>
                <w:color w:val="auto"/>
              </w:rPr>
            </w:pPr>
            <w:r>
              <w:rPr>
                <w:rFonts w:ascii="Calibri" w:cs="Calibri" w:eastAsia="Calibri" w:hAnsi="Calibri"/>
                <w:sz w:val="18"/>
                <w:szCs w:val="18"/>
                <w:color w:val="auto"/>
              </w:rPr>
              <w:t>Variable interest on long-term debt</w:t>
            </w:r>
          </w:p>
        </w:tc>
        <w:tc>
          <w:tcPr>
            <w:tcW w:w="600" w:type="dxa"/>
            <w:vAlign w:val="bottom"/>
          </w:tcPr>
          <w:p>
            <w:pPr>
              <w:spacing w:after="0"/>
              <w:rPr>
                <w:sz w:val="18"/>
                <w:szCs w:val="18"/>
                <w:color w:val="auto"/>
              </w:rPr>
            </w:pPr>
          </w:p>
        </w:tc>
        <w:tc>
          <w:tcPr>
            <w:tcW w:w="28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24</w:t>
            </w:r>
          </w:p>
        </w:tc>
        <w:tc>
          <w:tcPr>
            <w:tcW w:w="100" w:type="dxa"/>
            <w:vAlign w:val="bottom"/>
          </w:tcPr>
          <w:p>
            <w:pPr>
              <w:spacing w:after="0"/>
              <w:rPr>
                <w:sz w:val="18"/>
                <w:szCs w:val="18"/>
                <w:color w:val="auto"/>
              </w:rPr>
            </w:pPr>
          </w:p>
        </w:tc>
      </w:tr>
      <w:tr>
        <w:trPr>
          <w:trHeight w:val="28"/>
        </w:trPr>
        <w:tc>
          <w:tcPr>
            <w:tcW w:w="188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480" w:type="dxa"/>
            <w:vAlign w:val="bottom"/>
            <w:gridSpan w:val="3"/>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Finance leases</w:t>
            </w:r>
            <w:r>
              <w:rPr>
                <w:rFonts w:ascii="Calibri" w:cs="Calibri" w:eastAsia="Calibri" w:hAnsi="Calibri"/>
                <w:sz w:val="24"/>
                <w:szCs w:val="24"/>
                <w:color w:val="auto"/>
                <w:vertAlign w:val="superscript"/>
              </w:rPr>
              <w:t>(1)</w:t>
            </w: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w:t>
            </w:r>
          </w:p>
        </w:tc>
        <w:tc>
          <w:tcPr>
            <w:tcW w:w="100" w:type="dxa"/>
            <w:vAlign w:val="bottom"/>
            <w:shd w:val="clear" w:color="auto" w:fill="CFF0FC"/>
          </w:tcPr>
          <w:p>
            <w:pPr>
              <w:spacing w:after="0"/>
              <w:rPr>
                <w:sz w:val="21"/>
                <w:szCs w:val="21"/>
                <w:color w:val="auto"/>
              </w:rPr>
            </w:pPr>
          </w:p>
        </w:tc>
      </w:tr>
      <w:tr>
        <w:trPr>
          <w:trHeight w:val="243"/>
        </w:trPr>
        <w:tc>
          <w:tcPr>
            <w:tcW w:w="3480" w:type="dxa"/>
            <w:vAlign w:val="bottom"/>
            <w:gridSpan w:val="3"/>
          </w:tcPr>
          <w:p>
            <w:pPr>
              <w:ind w:left="20"/>
              <w:spacing w:after="0" w:line="243" w:lineRule="exact"/>
              <w:rPr>
                <w:sz w:val="20"/>
                <w:szCs w:val="20"/>
                <w:color w:val="auto"/>
              </w:rPr>
            </w:pPr>
            <w:r>
              <w:rPr>
                <w:rFonts w:ascii="Calibri" w:cs="Calibri" w:eastAsia="Calibri" w:hAnsi="Calibri"/>
                <w:sz w:val="18"/>
                <w:szCs w:val="18"/>
                <w:color w:val="auto"/>
              </w:rPr>
              <w:t>Operatng leases</w:t>
            </w:r>
            <w:r>
              <w:rPr>
                <w:rFonts w:ascii="Calibri" w:cs="Calibri" w:eastAsia="Calibri" w:hAnsi="Calibri"/>
                <w:sz w:val="24"/>
                <w:szCs w:val="24"/>
                <w:color w:val="auto"/>
                <w:vertAlign w:val="superscript"/>
              </w:rPr>
              <w:t>(1)</w:t>
            </w:r>
          </w:p>
        </w:tc>
        <w:tc>
          <w:tcPr>
            <w:tcW w:w="6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51</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120</w:t>
            </w:r>
          </w:p>
        </w:tc>
        <w:tc>
          <w:tcPr>
            <w:tcW w:w="100" w:type="dxa"/>
            <w:vAlign w:val="bottom"/>
          </w:tcPr>
          <w:p>
            <w:pPr>
              <w:spacing w:after="0"/>
              <w:rPr>
                <w:sz w:val="21"/>
                <w:szCs w:val="21"/>
                <w:color w:val="auto"/>
              </w:rPr>
            </w:pPr>
          </w:p>
        </w:tc>
      </w:tr>
      <w:tr>
        <w:trPr>
          <w:trHeight w:val="277"/>
        </w:trPr>
        <w:tc>
          <w:tcPr>
            <w:tcW w:w="180" w:type="dxa"/>
            <w:vAlign w:val="bottom"/>
            <w:shd w:val="clear" w:color="auto" w:fill="CFF0FC"/>
          </w:tcPr>
          <w:p>
            <w:pPr>
              <w:spacing w:after="0"/>
              <w:rPr>
                <w:sz w:val="24"/>
                <w:szCs w:val="24"/>
                <w:color w:val="auto"/>
              </w:rPr>
            </w:pPr>
          </w:p>
        </w:tc>
        <w:tc>
          <w:tcPr>
            <w:tcW w:w="3300" w:type="dxa"/>
            <w:vAlign w:val="bottom"/>
            <w:gridSpan w:val="2"/>
            <w:shd w:val="clear" w:color="auto" w:fill="CFF0FC"/>
          </w:tcPr>
          <w:p>
            <w:pPr>
              <w:ind w:left="20"/>
              <w:spacing w:after="0"/>
              <w:rPr>
                <w:sz w:val="20"/>
                <w:szCs w:val="20"/>
                <w:color w:val="auto"/>
              </w:rPr>
            </w:pPr>
            <w:r>
              <w:rPr>
                <w:rFonts w:ascii="Calibri" w:cs="Calibri" w:eastAsia="Calibri" w:hAnsi="Calibri"/>
                <w:sz w:val="18"/>
                <w:szCs w:val="18"/>
                <w:color w:val="auto"/>
              </w:rPr>
              <w:t>Total</w:t>
            </w:r>
          </w:p>
        </w:tc>
        <w:tc>
          <w:tcPr>
            <w:tcW w:w="600" w:type="dxa"/>
            <w:vAlign w:val="bottom"/>
            <w:shd w:val="clear" w:color="auto" w:fill="CFF0FC"/>
          </w:tcPr>
          <w:p>
            <w:pPr>
              <w:jc w:val="right"/>
              <w:ind w:right="416"/>
              <w:spacing w:after="0" w:line="215" w:lineRule="exact"/>
              <w:rPr>
                <w:sz w:val="20"/>
                <w:szCs w:val="20"/>
                <w:color w:val="auto"/>
              </w:rPr>
            </w:pPr>
            <w:r>
              <w:rPr>
                <w:rFonts w:ascii="Calibri" w:cs="Calibri" w:eastAsia="Calibri" w:hAnsi="Calibri"/>
                <w:sz w:val="18"/>
                <w:szCs w:val="18"/>
                <w:color w:val="auto"/>
                <w:w w:val="87"/>
              </w:rPr>
              <w:t>$</w:t>
            </w:r>
          </w:p>
        </w:tc>
        <w:tc>
          <w:tcPr>
            <w:tcW w:w="2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4"/>
              </w:rPr>
              <w:t>323</w:t>
            </w:r>
          </w:p>
        </w:tc>
        <w:tc>
          <w:tcPr>
            <w:tcW w:w="460" w:type="dxa"/>
            <w:vAlign w:val="bottom"/>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290</w:t>
            </w:r>
          </w:p>
        </w:tc>
        <w:tc>
          <w:tcPr>
            <w:tcW w:w="440" w:type="dxa"/>
            <w:vAlign w:val="bottom"/>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531</w:t>
            </w:r>
          </w:p>
        </w:tc>
        <w:tc>
          <w:tcPr>
            <w:tcW w:w="440" w:type="dxa"/>
            <w:vAlign w:val="bottom"/>
            <w:gridSpan w:val="2"/>
            <w:shd w:val="clear" w:color="auto" w:fill="CFF0FC"/>
          </w:tcPr>
          <w:p>
            <w:pPr>
              <w:jc w:val="right"/>
              <w:ind w:right="28"/>
              <w:spacing w:after="0" w:line="215" w:lineRule="exact"/>
              <w:rPr>
                <w:sz w:val="20"/>
                <w:szCs w:val="20"/>
                <w:color w:val="auto"/>
              </w:rPr>
            </w:pPr>
            <w:r>
              <w:rPr>
                <w:rFonts w:ascii="Calibri" w:cs="Calibri" w:eastAsia="Calibri" w:hAnsi="Calibri"/>
                <w:sz w:val="18"/>
                <w:szCs w:val="18"/>
                <w:color w:val="auto"/>
              </w:rPr>
              <w:t>$</w:t>
            </w:r>
          </w:p>
        </w:tc>
        <w:tc>
          <w:tcPr>
            <w:tcW w:w="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371</w:t>
            </w:r>
          </w:p>
        </w:tc>
        <w:tc>
          <w:tcPr>
            <w:tcW w:w="440" w:type="dxa"/>
            <w:vAlign w:val="bottom"/>
            <w:gridSpan w:val="3"/>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6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175</w:t>
            </w:r>
          </w:p>
        </w:tc>
        <w:tc>
          <w:tcPr>
            <w:tcW w:w="32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2,325</w:t>
            </w:r>
          </w:p>
        </w:tc>
        <w:tc>
          <w:tcPr>
            <w:tcW w:w="44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4,015</w:t>
            </w:r>
          </w:p>
        </w:tc>
        <w:tc>
          <w:tcPr>
            <w:tcW w:w="100" w:type="dxa"/>
            <w:vAlign w:val="bottom"/>
            <w:shd w:val="clear" w:color="auto" w:fill="CFF0FC"/>
          </w:tcPr>
          <w:p>
            <w:pPr>
              <w:spacing w:after="0"/>
              <w:rPr>
                <w:sz w:val="24"/>
                <w:szCs w:val="24"/>
                <w:color w:val="auto"/>
              </w:rPr>
            </w:pPr>
          </w:p>
        </w:tc>
      </w:tr>
      <w:tr>
        <w:trPr>
          <w:trHeight w:val="116"/>
        </w:trPr>
        <w:tc>
          <w:tcPr>
            <w:tcW w:w="180" w:type="dxa"/>
            <w:vAlign w:val="bottom"/>
            <w:tcBorders>
              <w:top w:val="single" w:sz="8" w:color="CFF0FC"/>
              <w:bottom w:val="single" w:sz="8" w:color="auto"/>
            </w:tcBorders>
          </w:tcPr>
          <w:p>
            <w:pPr>
              <w:spacing w:after="0"/>
              <w:rPr>
                <w:sz w:val="10"/>
                <w:szCs w:val="10"/>
                <w:color w:val="auto"/>
              </w:rPr>
            </w:pPr>
          </w:p>
        </w:tc>
        <w:tc>
          <w:tcPr>
            <w:tcW w:w="1700" w:type="dxa"/>
            <w:vAlign w:val="bottom"/>
            <w:tcBorders>
              <w:top w:val="single" w:sz="8" w:color="CFF0FC"/>
              <w:bottom w:val="single" w:sz="8" w:color="auto"/>
            </w:tcBorders>
          </w:tcPr>
          <w:p>
            <w:pPr>
              <w:spacing w:after="0"/>
              <w:rPr>
                <w:sz w:val="10"/>
                <w:szCs w:val="10"/>
                <w:color w:val="auto"/>
              </w:rPr>
            </w:pPr>
          </w:p>
        </w:tc>
        <w:tc>
          <w:tcPr>
            <w:tcW w:w="1600" w:type="dxa"/>
            <w:vAlign w:val="bottom"/>
            <w:tcBorders>
              <w:top w:val="single" w:sz="8" w:color="CFF0F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213"/>
        </w:trPr>
        <w:tc>
          <w:tcPr>
            <w:tcW w:w="180" w:type="dxa"/>
            <w:vAlign w:val="bottom"/>
          </w:tcPr>
          <w:p>
            <w:pPr>
              <w:spacing w:after="0"/>
              <w:rPr>
                <w:sz w:val="20"/>
                <w:szCs w:val="20"/>
                <w:color w:val="auto"/>
              </w:rPr>
            </w:pPr>
            <w:r>
              <w:rPr>
                <w:rFonts w:ascii="Calibri" w:cs="Calibri" w:eastAsia="Calibri" w:hAnsi="Calibri"/>
                <w:sz w:val="12"/>
                <w:szCs w:val="12"/>
                <w:color w:val="auto"/>
              </w:rPr>
              <w:t>(1)</w:t>
            </w:r>
          </w:p>
        </w:tc>
        <w:tc>
          <w:tcPr>
            <w:tcW w:w="3300" w:type="dxa"/>
            <w:vAlign w:val="bottom"/>
            <w:gridSpan w:val="2"/>
          </w:tcPr>
          <w:p>
            <w:pPr>
              <w:ind w:left="340"/>
              <w:spacing w:after="0" w:line="213" w:lineRule="exact"/>
              <w:rPr>
                <w:sz w:val="20"/>
                <w:szCs w:val="20"/>
                <w:color w:val="auto"/>
              </w:rPr>
            </w:pPr>
            <w:r>
              <w:rPr>
                <w:rFonts w:ascii="Calibri" w:cs="Calibri" w:eastAsia="Calibri" w:hAnsi="Calibri"/>
                <w:sz w:val="18"/>
                <w:szCs w:val="18"/>
                <w:color w:val="auto"/>
              </w:rPr>
              <w:t>Lease liabilites include interest.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7"/>
        </w:trPr>
        <w:tc>
          <w:tcPr>
            <w:tcW w:w="180" w:type="dxa"/>
            <w:vAlign w:val="bottom"/>
          </w:tcPr>
          <w:p>
            <w:pPr>
              <w:spacing w:after="0"/>
              <w:rPr>
                <w:sz w:val="24"/>
                <w:szCs w:val="24"/>
                <w:color w:val="auto"/>
              </w:rPr>
            </w:pPr>
          </w:p>
        </w:tc>
        <w:tc>
          <w:tcPr>
            <w:tcW w:w="3300" w:type="dxa"/>
            <w:vAlign w:val="bottom"/>
            <w:gridSpan w:val="2"/>
          </w:tcPr>
          <w:p>
            <w:pPr>
              <w:ind w:left="80"/>
              <w:spacing w:after="0"/>
              <w:rPr>
                <w:sz w:val="20"/>
                <w:szCs w:val="20"/>
                <w:color w:val="auto"/>
              </w:rPr>
            </w:pPr>
            <w:r>
              <w:rPr>
                <w:rFonts w:ascii="Calibri" w:cs="Calibri" w:eastAsia="Calibri" w:hAnsi="Calibri"/>
                <w:sz w:val="18"/>
                <w:szCs w:val="18"/>
                <w:i w:val="1"/>
                <w:iCs w:val="1"/>
                <w:color w:val="auto"/>
              </w:rPr>
              <w:t>Purchase Commitments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-447040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-430530</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-447040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-430530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-447040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-430530</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-447040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-430530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-447040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-430530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-447040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-430530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-447040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-430530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We have entered into long-term, volume-based purchase agreements primarily for the purchase of raw materials and natural gas with various key suppliers for all of our business segments. Under certain of these agreements the quantty of material being purchased is fxed, but the price we pay changes as market prices change. For purposes of the table above, current purchase prices have been used to quantfy total commitments. We have also entered into long-term purchase agreements primarily for services related to informaton technology, which are not included in the table above, that total $19 million as of September 30, 2023, the majority of which is expected to be paid within the next 5 years.</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i w:val="1"/>
          <w:iCs w:val="1"/>
          <w:color w:val="auto"/>
        </w:rPr>
        <w:t>Leases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have entered into various leases as the lessee, primarily related to certain transportaton vehicles, warehouse facilites, ofce space, and machinery and equipment. These leases have remaining lease terms between one and sixteen years, some of which may include optons to extend the leases for up to ffeen years or optons to terminate the leases. Our land leases have remaining lease terms up to seventy-nine years.</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7A. </w:t>
      </w:r>
      <w:r>
        <w:rPr>
          <w:rFonts w:ascii="Calibri" w:cs="Calibri" w:eastAsia="Calibri" w:hAnsi="Calibri"/>
          <w:sz w:val="18"/>
          <w:szCs w:val="18"/>
          <w:b w:val="1"/>
          <w:bCs w:val="1"/>
          <w:i w:val="1"/>
          <w:iCs w:val="1"/>
          <w:color w:val="auto"/>
        </w:rPr>
        <w:t>Quanttatve and Qualitatve Disclosures About Market Risk</w:t>
      </w:r>
    </w:p>
    <w:p>
      <w:pPr>
        <w:spacing w:after="0" w:line="82" w:lineRule="exact"/>
        <w:rPr>
          <w:sz w:val="20"/>
          <w:szCs w:val="20"/>
          <w:color w:val="auto"/>
        </w:rPr>
      </w:pPr>
    </w:p>
    <w:p>
      <w:pPr>
        <w:jc w:val="both"/>
        <w:ind w:right="20" w:firstLine="509"/>
        <w:spacing w:after="0" w:line="254" w:lineRule="auto"/>
        <w:rPr>
          <w:sz w:val="20"/>
          <w:szCs w:val="20"/>
          <w:color w:val="auto"/>
        </w:rPr>
      </w:pPr>
      <w:r>
        <w:rPr>
          <w:rFonts w:ascii="Calibri" w:cs="Calibri" w:eastAsia="Calibri" w:hAnsi="Calibri"/>
          <w:sz w:val="17"/>
          <w:szCs w:val="17"/>
          <w:color w:val="auto"/>
        </w:rPr>
        <w:t>We are exposed to changes in interest rates and foreign currency exchange rates because we fnance certain operatons through long- and short-term borrowings and denominate our transactons in a variety of foreign currencies. Changes in these rates may have an impact on future cash fows and earnings. We manage these risks through normal operatng and fnancing actvites and, when deemed appropriate, through the use of derivatve fnancial instruments.</w:t>
      </w:r>
    </w:p>
    <w:p>
      <w:pPr>
        <w:spacing w:after="0" w:line="6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We have policies governing our use of derivatve instruments, and we do not enter into fnancial instruments for trading or speculatve purposes.</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8" w:name="page39"/>
    <w:bookmarkEnd w:id="38"/>
    <w:p>
      <w:pPr>
        <w:ind w:right="100" w:firstLine="509"/>
        <w:spacing w:after="0" w:line="235" w:lineRule="auto"/>
        <w:rPr>
          <w:sz w:val="20"/>
          <w:szCs w:val="20"/>
          <w:color w:val="auto"/>
        </w:rPr>
      </w:pPr>
      <w:r>
        <w:rPr>
          <w:rFonts w:ascii="Calibri" w:cs="Calibri" w:eastAsia="Calibri" w:hAnsi="Calibri"/>
          <w:sz w:val="18"/>
          <w:szCs w:val="18"/>
          <w:color w:val="auto"/>
        </w:rPr>
        <w:t>By using derivatve instruments, we are subject to credit and market risk. The derivatve instruments are booked in our balance sheet at fair value and refect the asset or liability positon as of September 30, 2023. If a counterparty fails to fulfll its performance obligatons under a derivatve contract, our exposure will equal the fair value of the derivatve. Generally, when the fair value of a derivatve contract is positve, the counterparty owes Cabot, thus creatng a payment risk for Cabot. We minimize counterparty credit or repayment risk by entering into these transactons with major fnancial insttutons of investment grade credit ratng. Our exposure to market risk is not hedged in a manner that completely eliminates the efects of changing market conditons on earnings or cash fow.</w:t>
      </w:r>
    </w:p>
    <w:p>
      <w:pPr>
        <w:spacing w:after="0" w:line="81"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Foreign Currency Risk</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internatonal operatons are subject to certain risks, including currency exchange rate fuctuatons and government actons. We have cross-currency swaps designated as hedges of our net investments in certain Euro denominated subsidiaries. The following table summarizes the principal terms of our cross-currency swaps, including the aggregate notonal amount of the swaps, the interest rate payment we receive from and pay to our swap counterpartes, the term and fair value at September 30, 2023 and September 30,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b w:val="1"/>
                <w:bCs w:val="1"/>
                <w:color w:val="auto"/>
              </w:rPr>
              <w:t>Fair Value at</w:t>
            </w: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Fair Value at</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Interest Rate</w:t>
            </w:r>
          </w:p>
        </w:tc>
        <w:tc>
          <w:tcPr>
            <w:tcW w:w="1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Calibri" w:cs="Calibri" w:eastAsia="Calibri" w:hAnsi="Calibri"/>
                <w:sz w:val="14"/>
                <w:szCs w:val="14"/>
                <w:b w:val="1"/>
                <w:bCs w:val="1"/>
                <w:color w:val="auto"/>
              </w:rPr>
              <w:t>Interest Rate</w:t>
            </w: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w w:val="98"/>
              </w:rPr>
              <w:t>Fiscal Year</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Calibri" w:cs="Calibri" w:eastAsia="Calibri" w:hAnsi="Calibri"/>
                <w:sz w:val="14"/>
                <w:szCs w:val="14"/>
                <w:b w:val="1"/>
                <w:bCs w:val="1"/>
                <w:color w:val="auto"/>
              </w:rPr>
              <w:t>Maturity</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b w:val="1"/>
                <w:bCs w:val="1"/>
                <w:color w:val="auto"/>
              </w:rPr>
              <w:t>September 30,</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September 30,</w:t>
            </w:r>
          </w:p>
        </w:tc>
        <w:tc>
          <w:tcPr>
            <w:tcW w:w="0" w:type="dxa"/>
            <w:vAlign w:val="bottom"/>
          </w:tcPr>
          <w:p>
            <w:pPr>
              <w:spacing w:after="0"/>
              <w:rPr>
                <w:sz w:val="1"/>
                <w:szCs w:val="1"/>
                <w:color w:val="auto"/>
              </w:rPr>
            </w:pPr>
          </w:p>
        </w:tc>
      </w:tr>
      <w:tr>
        <w:trPr>
          <w:trHeight w:val="176"/>
        </w:trPr>
        <w:tc>
          <w:tcPr>
            <w:tcW w:w="2380" w:type="dxa"/>
            <w:vAlign w:val="bottom"/>
          </w:tcPr>
          <w:p>
            <w:pPr>
              <w:jc w:val="center"/>
              <w:spacing w:after="0"/>
              <w:rPr>
                <w:sz w:val="20"/>
                <w:szCs w:val="20"/>
                <w:color w:val="auto"/>
              </w:rPr>
            </w:pPr>
            <w:r>
              <w:rPr>
                <w:rFonts w:ascii="Calibri" w:cs="Calibri" w:eastAsia="Calibri" w:hAnsi="Calibri"/>
                <w:sz w:val="14"/>
                <w:szCs w:val="14"/>
                <w:b w:val="1"/>
                <w:bCs w:val="1"/>
                <w:color w:val="auto"/>
              </w:rPr>
              <w:t>Descripton</w:t>
            </w:r>
          </w:p>
        </w:tc>
        <w:tc>
          <w:tcPr>
            <w:tcW w:w="12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Calibri" w:cs="Calibri" w:eastAsia="Calibri" w:hAnsi="Calibri"/>
                <w:sz w:val="14"/>
                <w:szCs w:val="14"/>
                <w:b w:val="1"/>
                <w:bCs w:val="1"/>
                <w:color w:val="auto"/>
              </w:rPr>
              <w:t>Notonal Amount</w:t>
            </w: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Received</w:t>
            </w:r>
          </w:p>
        </w:tc>
        <w:tc>
          <w:tcPr>
            <w:tcW w:w="1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Calibri" w:cs="Calibri" w:eastAsia="Calibri" w:hAnsi="Calibri"/>
                <w:sz w:val="14"/>
                <w:szCs w:val="14"/>
                <w:b w:val="1"/>
                <w:bCs w:val="1"/>
                <w:color w:val="auto"/>
              </w:rPr>
              <w:t>Paid</w:t>
            </w: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Entered Into</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Year</w:t>
            </w:r>
          </w:p>
        </w:tc>
        <w:tc>
          <w:tcPr>
            <w:tcW w:w="1240" w:type="dxa"/>
            <w:vAlign w:val="bottom"/>
            <w:gridSpan w:val="2"/>
          </w:tcPr>
          <w:p>
            <w:pPr>
              <w:jc w:val="center"/>
              <w:ind w:left="28"/>
              <w:spacing w:after="0"/>
              <w:rPr>
                <w:sz w:val="20"/>
                <w:szCs w:val="20"/>
                <w:color w:val="auto"/>
              </w:rPr>
            </w:pPr>
            <w:r>
              <w:rPr>
                <w:rFonts w:ascii="Calibri" w:cs="Calibri" w:eastAsia="Calibri" w:hAnsi="Calibri"/>
                <w:sz w:val="14"/>
                <w:szCs w:val="14"/>
                <w:b w:val="1"/>
                <w:bCs w:val="1"/>
                <w:color w:val="auto"/>
              </w:rPr>
              <w:t>2023</w:t>
            </w:r>
          </w:p>
        </w:tc>
        <w:tc>
          <w:tcPr>
            <w:tcW w:w="1180" w:type="dxa"/>
            <w:vAlign w:val="bottom"/>
            <w:gridSpan w:val="2"/>
          </w:tcPr>
          <w:p>
            <w:pPr>
              <w:jc w:val="center"/>
              <w:ind w:left="28"/>
              <w:spacing w:after="0"/>
              <w:rPr>
                <w:sz w:val="20"/>
                <w:szCs w:val="20"/>
                <w:color w:val="auto"/>
              </w:rPr>
            </w:pPr>
            <w:r>
              <w:rPr>
                <w:rFonts w:ascii="Calibri" w:cs="Calibri" w:eastAsia="Calibri" w:hAnsi="Calibri"/>
                <w:sz w:val="14"/>
                <w:szCs w:val="14"/>
                <w:b w:val="1"/>
                <w:bCs w:val="1"/>
                <w:color w:val="auto"/>
                <w:w w:val="98"/>
              </w:rPr>
              <w:t>2022</w:t>
            </w:r>
          </w:p>
        </w:tc>
        <w:tc>
          <w:tcPr>
            <w:tcW w:w="0" w:type="dxa"/>
            <w:vAlign w:val="bottom"/>
          </w:tcPr>
          <w:p>
            <w:pPr>
              <w:spacing w:after="0"/>
              <w:rPr>
                <w:sz w:val="1"/>
                <w:szCs w:val="1"/>
                <w:color w:val="auto"/>
              </w:rPr>
            </w:pPr>
          </w:p>
        </w:tc>
      </w:tr>
      <w:tr>
        <w:trPr>
          <w:trHeight w:val="33"/>
        </w:trPr>
        <w:tc>
          <w:tcPr>
            <w:tcW w:w="2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380" w:type="dxa"/>
            <w:vAlign w:val="bottom"/>
            <w:vMerge w:val="restart"/>
            <w:shd w:val="clear" w:color="auto" w:fill="CFF0FC"/>
          </w:tcPr>
          <w:p>
            <w:pPr>
              <w:jc w:val="center"/>
              <w:spacing w:after="0"/>
              <w:rPr>
                <w:sz w:val="20"/>
                <w:szCs w:val="20"/>
                <w:color w:val="auto"/>
              </w:rPr>
            </w:pPr>
            <w:r>
              <w:rPr>
                <w:rFonts w:ascii="Calibri" w:cs="Calibri" w:eastAsia="Calibri" w:hAnsi="Calibri"/>
                <w:sz w:val="18"/>
                <w:szCs w:val="18"/>
                <w:color w:val="auto"/>
                <w:w w:val="96"/>
              </w:rPr>
              <w:t>Cross Currency Swaps</w:t>
            </w:r>
          </w:p>
        </w:tc>
        <w:tc>
          <w:tcPr>
            <w:tcW w:w="120" w:type="dxa"/>
            <w:vAlign w:val="bottom"/>
            <w:shd w:val="clear" w:color="auto" w:fill="CFF0FC"/>
          </w:tcPr>
          <w:p>
            <w:pPr>
              <w:spacing w:after="0"/>
              <w:rPr>
                <w:sz w:val="17"/>
                <w:szCs w:val="17"/>
                <w:color w:val="auto"/>
              </w:rPr>
            </w:pPr>
          </w:p>
        </w:tc>
        <w:tc>
          <w:tcPr>
            <w:tcW w:w="2360" w:type="dxa"/>
            <w:vAlign w:val="bottom"/>
            <w:shd w:val="clear" w:color="auto" w:fill="CFF0FC"/>
          </w:tcPr>
          <w:p>
            <w:pPr>
              <w:jc w:val="center"/>
              <w:spacing w:after="0" w:line="201" w:lineRule="exact"/>
              <w:rPr>
                <w:sz w:val="20"/>
                <w:szCs w:val="20"/>
                <w:color w:val="auto"/>
              </w:rPr>
            </w:pPr>
            <w:r>
              <w:rPr>
                <w:rFonts w:ascii="Calibri" w:cs="Calibri" w:eastAsia="Calibri" w:hAnsi="Calibri"/>
                <w:sz w:val="18"/>
                <w:szCs w:val="18"/>
                <w:color w:val="auto"/>
                <w:w w:val="97"/>
              </w:rPr>
              <w:t>USD 250 million swapped to EUR</w:t>
            </w:r>
          </w:p>
        </w:tc>
        <w:tc>
          <w:tcPr>
            <w:tcW w:w="1120" w:type="dxa"/>
            <w:vAlign w:val="bottom"/>
            <w:gridSpan w:val="2"/>
            <w:vMerge w:val="restart"/>
            <w:shd w:val="clear" w:color="auto" w:fill="CFF0FC"/>
          </w:tcPr>
          <w:p>
            <w:pPr>
              <w:jc w:val="center"/>
              <w:ind w:left="30"/>
              <w:spacing w:after="0"/>
              <w:rPr>
                <w:sz w:val="20"/>
                <w:szCs w:val="20"/>
                <w:color w:val="auto"/>
              </w:rPr>
            </w:pPr>
            <w:r>
              <w:rPr>
                <w:rFonts w:ascii="Calibri" w:cs="Calibri" w:eastAsia="Calibri" w:hAnsi="Calibri"/>
                <w:sz w:val="18"/>
                <w:szCs w:val="18"/>
                <w:color w:val="auto"/>
                <w:w w:val="98"/>
              </w:rPr>
              <w:t>3.40%</w:t>
            </w:r>
          </w:p>
        </w:tc>
        <w:tc>
          <w:tcPr>
            <w:tcW w:w="920" w:type="dxa"/>
            <w:vAlign w:val="bottom"/>
            <w:gridSpan w:val="2"/>
            <w:vMerge w:val="restart"/>
            <w:shd w:val="clear" w:color="auto" w:fill="CFF0FC"/>
          </w:tcPr>
          <w:p>
            <w:pPr>
              <w:jc w:val="center"/>
              <w:ind w:left="50"/>
              <w:spacing w:after="0"/>
              <w:rPr>
                <w:sz w:val="20"/>
                <w:szCs w:val="20"/>
                <w:color w:val="auto"/>
              </w:rPr>
            </w:pPr>
            <w:r>
              <w:rPr>
                <w:rFonts w:ascii="Calibri" w:cs="Calibri" w:eastAsia="Calibri" w:hAnsi="Calibri"/>
                <w:sz w:val="18"/>
                <w:szCs w:val="18"/>
                <w:color w:val="auto"/>
                <w:w w:val="93"/>
              </w:rPr>
              <w:t>1.94%</w:t>
            </w:r>
          </w:p>
        </w:tc>
        <w:tc>
          <w:tcPr>
            <w:tcW w:w="1120" w:type="dxa"/>
            <w:vAlign w:val="bottom"/>
            <w:gridSpan w:val="2"/>
            <w:vMerge w:val="restart"/>
            <w:shd w:val="clear" w:color="auto" w:fill="CFF0FC"/>
          </w:tcPr>
          <w:p>
            <w:pPr>
              <w:jc w:val="center"/>
              <w:ind w:left="30"/>
              <w:spacing w:after="0"/>
              <w:rPr>
                <w:sz w:val="20"/>
                <w:szCs w:val="20"/>
                <w:color w:val="auto"/>
              </w:rPr>
            </w:pPr>
            <w:r>
              <w:rPr>
                <w:rFonts w:ascii="Calibri" w:cs="Calibri" w:eastAsia="Calibri" w:hAnsi="Calibri"/>
                <w:sz w:val="18"/>
                <w:szCs w:val="18"/>
                <w:color w:val="auto"/>
                <w:w w:val="98"/>
              </w:rPr>
              <w:t>2016</w:t>
            </w:r>
          </w:p>
        </w:tc>
        <w:tc>
          <w:tcPr>
            <w:tcW w:w="800" w:type="dxa"/>
            <w:vAlign w:val="bottom"/>
            <w:gridSpan w:val="2"/>
            <w:vMerge w:val="restart"/>
            <w:shd w:val="clear" w:color="auto" w:fill="CFF0FC"/>
          </w:tcPr>
          <w:p>
            <w:pPr>
              <w:jc w:val="center"/>
              <w:ind w:left="30"/>
              <w:spacing w:after="0"/>
              <w:rPr>
                <w:sz w:val="20"/>
                <w:szCs w:val="20"/>
                <w:color w:val="auto"/>
              </w:rPr>
            </w:pPr>
            <w:r>
              <w:rPr>
                <w:rFonts w:ascii="Calibri" w:cs="Calibri" w:eastAsia="Calibri" w:hAnsi="Calibri"/>
                <w:sz w:val="18"/>
                <w:szCs w:val="18"/>
                <w:color w:val="auto"/>
                <w:w w:val="98"/>
              </w:rPr>
              <w:t>2026</w:t>
            </w:r>
          </w:p>
        </w:tc>
        <w:tc>
          <w:tcPr>
            <w:tcW w:w="12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center"/>
              <w:spacing w:after="0"/>
              <w:rPr>
                <w:sz w:val="20"/>
                <w:szCs w:val="20"/>
                <w:color w:val="auto"/>
              </w:rPr>
            </w:pPr>
            <w:r>
              <w:rPr>
                <w:rFonts w:ascii="Calibri" w:cs="Calibri" w:eastAsia="Calibri" w:hAnsi="Calibri"/>
                <w:sz w:val="18"/>
                <w:szCs w:val="18"/>
                <w:color w:val="auto"/>
                <w:w w:val="98"/>
              </w:rPr>
              <w:t>$12 million</w:t>
            </w:r>
          </w:p>
        </w:tc>
        <w:tc>
          <w:tcPr>
            <w:tcW w:w="10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center"/>
              <w:spacing w:after="0"/>
              <w:rPr>
                <w:sz w:val="20"/>
                <w:szCs w:val="20"/>
                <w:color w:val="auto"/>
              </w:rPr>
            </w:pPr>
            <w:r>
              <w:rPr>
                <w:rFonts w:ascii="Calibri" w:cs="Calibri" w:eastAsia="Calibri" w:hAnsi="Calibri"/>
                <w:sz w:val="18"/>
                <w:szCs w:val="18"/>
                <w:color w:val="auto"/>
                <w:w w:val="98"/>
              </w:rPr>
              <w:t>$29 million</w:t>
            </w:r>
          </w:p>
        </w:tc>
        <w:tc>
          <w:tcPr>
            <w:tcW w:w="0" w:type="dxa"/>
            <w:vAlign w:val="bottom"/>
          </w:tcPr>
          <w:p>
            <w:pPr>
              <w:spacing w:after="0"/>
              <w:rPr>
                <w:sz w:val="1"/>
                <w:szCs w:val="1"/>
                <w:color w:val="auto"/>
              </w:rPr>
            </w:pPr>
          </w:p>
        </w:tc>
      </w:tr>
      <w:tr>
        <w:trPr>
          <w:trHeight w:val="107"/>
        </w:trPr>
        <w:tc>
          <w:tcPr>
            <w:tcW w:w="23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360" w:type="dxa"/>
            <w:vAlign w:val="bottom"/>
            <w:vMerge w:val="restart"/>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8"/>
              </w:rPr>
              <w:t>223 million</w:t>
            </w:r>
          </w:p>
        </w:tc>
        <w:tc>
          <w:tcPr>
            <w:tcW w:w="1120" w:type="dxa"/>
            <w:vAlign w:val="bottom"/>
            <w:gridSpan w:val="2"/>
            <w:vMerge w:val="continue"/>
            <w:shd w:val="clear" w:color="auto" w:fill="CFF0FC"/>
          </w:tcPr>
          <w:p>
            <w:pPr>
              <w:spacing w:after="0"/>
              <w:rPr>
                <w:sz w:val="9"/>
                <w:szCs w:val="9"/>
                <w:color w:val="auto"/>
              </w:rPr>
            </w:pPr>
          </w:p>
        </w:tc>
        <w:tc>
          <w:tcPr>
            <w:tcW w:w="920" w:type="dxa"/>
            <w:vAlign w:val="bottom"/>
            <w:gridSpan w:val="2"/>
            <w:vMerge w:val="continue"/>
            <w:shd w:val="clear" w:color="auto" w:fill="CFF0FC"/>
          </w:tcPr>
          <w:p>
            <w:pPr>
              <w:spacing w:after="0"/>
              <w:rPr>
                <w:sz w:val="9"/>
                <w:szCs w:val="9"/>
                <w:color w:val="auto"/>
              </w:rPr>
            </w:pPr>
          </w:p>
        </w:tc>
        <w:tc>
          <w:tcPr>
            <w:tcW w:w="1120" w:type="dxa"/>
            <w:vAlign w:val="bottom"/>
            <w:gridSpan w:val="2"/>
            <w:vMerge w:val="continue"/>
            <w:shd w:val="clear" w:color="auto" w:fill="CFF0FC"/>
          </w:tcPr>
          <w:p>
            <w:pPr>
              <w:spacing w:after="0"/>
              <w:rPr>
                <w:sz w:val="9"/>
                <w:szCs w:val="9"/>
                <w:color w:val="auto"/>
              </w:rPr>
            </w:pPr>
          </w:p>
        </w:tc>
        <w:tc>
          <w:tcPr>
            <w:tcW w:w="80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2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3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3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23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also have foreign currency exposures arising from the denominaton of monetary assets and liabilites in foreign currencies other than the functonal currency of a given subsidiary as well as the risk that currency fuctuatons could afect the dollar value of future cash fows generated in foreign currencies. Accordingly, we use short-term forward contracts to minimize the exposure to foreign currency risk. At September 30, 2023, we had $82 million in notonal foreign currency contracts, which were denominated in Indonesian rupiah, Czech koruna, and Colombian peso. At September 30, 2022, we had $42 million in notonal foreign currency contracts, which were denominated in Indonesian rupiah and Czech koruna. These forwards had a fair value of less than $1 million as of both September 30, 2023 and 2022.</w:t>
      </w:r>
    </w:p>
    <w:p>
      <w:pPr>
        <w:spacing w:after="0" w:line="86"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In certain situatons where we have forecasted purchases under a long-term commitment or forecasted sales denominated in a foreign currency, we may enter into appropriate fnancial instruments in accordance with our risk management policy to hedge future cash fow exposures.</w:t>
      </w:r>
    </w:p>
    <w:p>
      <w:pPr>
        <w:spacing w:after="0" w:line="83"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fscal 2023, due to the weakening of most foreign currencies against the U.S. dollar, foreign currency translatons in the aggregate decreased our business segment EBIT by $16 million, which afected the results of the Reinforcement Materials and Performance Materials segments. In fscal 2022, due to the weakening of most foreign currencies against the U.S. dollar, foreign currency translatons in the aggregate decreased our business segment EBIT by $24 million, which afected the results of the Reinforcement Materials and Performance Materials segments. We recognized a net foreign exchange loss of $35 million in Other income (expense) in fscal 2023 from the revaluaton of monetary assets and liabilites from transactonal currencies to functonal currency, largely atributable to changes in the value of the Argentne peso. In fscal 2022, we recognized a net foreign exchange loss of $13 million in Other income (expense) from the revaluaton of monetary assets and liabilites from transactonal currencies to functonal currency, largely atributable to changes in the value of the Argentne peso and to a lesser extent Colombian peso.</w:t>
      </w:r>
    </w:p>
    <w:p>
      <w:pPr>
        <w:spacing w:after="0" w:line="21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9" w:name="page40"/>
    <w:bookmarkEnd w:id="39"/>
    <w:p>
      <w:pPr>
        <w:spacing w:after="0"/>
        <w:rPr>
          <w:sz w:val="20"/>
          <w:szCs w:val="20"/>
          <w:color w:val="auto"/>
        </w:rPr>
      </w:pPr>
      <w:r>
        <w:rPr>
          <w:rFonts w:ascii="Calibri" w:cs="Calibri" w:eastAsia="Calibri" w:hAnsi="Calibri"/>
          <w:sz w:val="18"/>
          <w:szCs w:val="18"/>
          <w:b w:val="1"/>
          <w:bCs w:val="1"/>
          <w:color w:val="auto"/>
        </w:rPr>
        <w:t xml:space="preserve">Item 8. </w:t>
      </w:r>
      <w:r>
        <w:rPr>
          <w:rFonts w:ascii="Calibri" w:cs="Calibri" w:eastAsia="Calibri" w:hAnsi="Calibri"/>
          <w:sz w:val="18"/>
          <w:szCs w:val="18"/>
          <w:b w:val="1"/>
          <w:bCs w:val="1"/>
          <w:i w:val="1"/>
          <w:iCs w:val="1"/>
          <w:color w:val="auto"/>
        </w:rPr>
        <w:t>Financial Statements and Supplementary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40" w:type="dxa"/>
            <w:vAlign w:val="bottom"/>
            <w:gridSpan w:val="3"/>
          </w:tcPr>
          <w:p>
            <w:pPr>
              <w:jc w:val="center"/>
              <w:ind w:right="3860"/>
              <w:spacing w:after="0"/>
              <w:rPr>
                <w:sz w:val="20"/>
                <w:szCs w:val="20"/>
                <w:color w:val="auto"/>
              </w:rPr>
            </w:pPr>
            <w:r>
              <w:rPr>
                <w:rFonts w:ascii="Calibri" w:cs="Calibri" w:eastAsia="Calibri" w:hAnsi="Calibri"/>
                <w:sz w:val="18"/>
                <w:szCs w:val="18"/>
                <w:b w:val="1"/>
                <w:bCs w:val="1"/>
                <w:color w:val="auto"/>
                <w:w w:val="95"/>
              </w:rPr>
              <w:t>INDEX TO FINANCIAL STATEMENTS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07"/>
        </w:trPr>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Calibri" w:cs="Calibri" w:eastAsia="Calibri" w:hAnsi="Calibri"/>
                <w:sz w:val="13"/>
                <w:szCs w:val="13"/>
                <w:b w:val="1"/>
                <w:bCs w:val="1"/>
                <w:color w:val="auto"/>
              </w:rPr>
              <w:t>Descripton</w:t>
            </w:r>
          </w:p>
        </w:tc>
        <w:tc>
          <w:tcPr>
            <w:tcW w:w="10100" w:type="dxa"/>
            <w:vAlign w:val="bottom"/>
            <w:gridSpan w:val="8"/>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Calibri" w:cs="Calibri" w:eastAsia="Calibri" w:hAnsi="Calibri"/>
                <w:sz w:val="13"/>
                <w:szCs w:val="13"/>
                <w:b w:val="1"/>
                <w:bCs w:val="1"/>
                <w:color w:val="auto"/>
                <w:w w:val="91"/>
              </w:rPr>
              <w:t>Page</w:t>
            </w:r>
          </w:p>
        </w:tc>
      </w:tr>
      <w:tr>
        <w:trPr>
          <w:trHeight w:val="27"/>
        </w:trPr>
        <w:tc>
          <w:tcPr>
            <w:tcW w:w="2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2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line="216" w:lineRule="exact"/>
              <w:rPr>
                <w:sz w:val="20"/>
                <w:szCs w:val="20"/>
                <w:color w:val="auto"/>
              </w:rPr>
            </w:pPr>
            <w:r>
              <w:rPr>
                <w:rFonts w:ascii="Calibri" w:cs="Calibri" w:eastAsia="Calibri" w:hAnsi="Calibri"/>
                <w:sz w:val="18"/>
                <w:szCs w:val="18"/>
                <w:color w:val="auto"/>
              </w:rPr>
              <w:t>(1)</w:t>
            </w:r>
          </w:p>
        </w:tc>
        <w:tc>
          <w:tcPr>
            <w:tcW w:w="2780" w:type="dxa"/>
            <w:vAlign w:val="bottom"/>
            <w:tcBorders>
              <w:bottom w:val="single" w:sz="8" w:color="0000EE"/>
            </w:tcBorders>
            <w:gridSpan w:val="3"/>
          </w:tcPr>
          <w:p>
            <w:pPr>
              <w:spacing w:after="0" w:line="216" w:lineRule="exact"/>
              <w:rPr>
                <w:sz w:val="20"/>
                <w:szCs w:val="20"/>
                <w:color w:val="auto"/>
              </w:rPr>
            </w:pPr>
            <w:r>
              <w:rPr>
                <w:rFonts w:ascii="Calibri" w:cs="Calibri" w:eastAsia="Calibri" w:hAnsi="Calibri"/>
                <w:sz w:val="18"/>
                <w:szCs w:val="18"/>
                <w:color w:val="auto"/>
                <w:w w:val="97"/>
              </w:rPr>
              <w:t>Consolidated Statements of Operatons</w:t>
            </w:r>
          </w:p>
        </w:tc>
        <w:tc>
          <w:tcPr>
            <w:tcW w:w="7320" w:type="dxa"/>
            <w:vAlign w:val="bottom"/>
            <w:gridSpan w:val="5"/>
          </w:tcPr>
          <w:p>
            <w:pPr>
              <w:spacing w:after="0"/>
              <w:rPr>
                <w:sz w:val="18"/>
                <w:szCs w:val="18"/>
                <w:color w:val="auto"/>
              </w:rPr>
            </w:pPr>
          </w:p>
        </w:tc>
        <w:tc>
          <w:tcPr>
            <w:tcW w:w="460" w:type="dxa"/>
            <w:vAlign w:val="bottom"/>
            <w:gridSpan w:val="2"/>
          </w:tcPr>
          <w:p>
            <w:pPr>
              <w:jc w:val="right"/>
              <w:ind w:right="20"/>
              <w:spacing w:after="0" w:line="216" w:lineRule="exact"/>
              <w:rPr>
                <w:sz w:val="20"/>
                <w:szCs w:val="20"/>
                <w:color w:val="auto"/>
              </w:rPr>
            </w:pPr>
            <w:r>
              <w:rPr>
                <w:rFonts w:ascii="Calibri" w:cs="Calibri" w:eastAsia="Calibri" w:hAnsi="Calibri"/>
                <w:sz w:val="18"/>
                <w:szCs w:val="18"/>
                <w:color w:val="auto"/>
              </w:rPr>
              <w:t>41</w:t>
            </w:r>
          </w:p>
        </w:tc>
      </w:tr>
      <w:tr>
        <w:trPr>
          <w:trHeight w:val="237"/>
        </w:trPr>
        <w:tc>
          <w:tcPr>
            <w:tcW w:w="680" w:type="dxa"/>
            <w:vAlign w:val="bottom"/>
            <w:gridSpan w:val="2"/>
          </w:tcPr>
          <w:p>
            <w:pPr>
              <w:ind w:left="20"/>
              <w:spacing w:after="0"/>
              <w:rPr>
                <w:sz w:val="20"/>
                <w:szCs w:val="20"/>
                <w:color w:val="auto"/>
              </w:rPr>
            </w:pPr>
            <w:r>
              <w:rPr>
                <w:rFonts w:ascii="Calibri" w:cs="Calibri" w:eastAsia="Calibri" w:hAnsi="Calibri"/>
                <w:sz w:val="18"/>
                <w:szCs w:val="18"/>
                <w:color w:val="auto"/>
              </w:rPr>
              <w:t>(2)</w:t>
            </w:r>
          </w:p>
        </w:tc>
        <w:tc>
          <w:tcPr>
            <w:tcW w:w="10100" w:type="dxa"/>
            <w:vAlign w:val="bottom"/>
            <w:gridSpan w:val="8"/>
          </w:tcPr>
          <w:p>
            <w:pPr>
              <w:spacing w:after="0"/>
              <w:rPr>
                <w:sz w:val="20"/>
                <w:szCs w:val="20"/>
                <w:color w:val="auto"/>
              </w:rPr>
            </w:pPr>
            <w:r>
              <w:rPr>
                <w:rFonts w:ascii="Calibri" w:cs="Calibri" w:eastAsia="Calibri" w:hAnsi="Calibri"/>
                <w:sz w:val="18"/>
                <w:szCs w:val="18"/>
                <w:color w:val="auto"/>
              </w:rPr>
              <w:t>Consolidated Statements of Comprehensive Income</w:t>
            </w:r>
          </w:p>
        </w:tc>
        <w:tc>
          <w:tcPr>
            <w:tcW w:w="460" w:type="dxa"/>
            <w:vAlign w:val="bottom"/>
            <w:gridSpan w:val="2"/>
          </w:tcPr>
          <w:p>
            <w:pPr>
              <w:jc w:val="right"/>
              <w:ind w:right="20"/>
              <w:spacing w:after="0"/>
              <w:rPr>
                <w:sz w:val="20"/>
                <w:szCs w:val="20"/>
                <w:color w:val="auto"/>
              </w:rPr>
            </w:pPr>
            <w:r>
              <w:rPr>
                <w:rFonts w:ascii="Calibri" w:cs="Calibri" w:eastAsia="Calibri" w:hAnsi="Calibri"/>
                <w:sz w:val="18"/>
                <w:szCs w:val="18"/>
                <w:color w:val="auto"/>
              </w:rPr>
              <w:t>42</w:t>
            </w:r>
          </w:p>
        </w:tc>
      </w:tr>
      <w:tr>
        <w:trPr>
          <w:trHeight w:val="236"/>
        </w:trPr>
        <w:tc>
          <w:tcPr>
            <w:tcW w:w="680" w:type="dxa"/>
            <w:vAlign w:val="bottom"/>
            <w:gridSpan w:val="2"/>
          </w:tcPr>
          <w:p>
            <w:pPr>
              <w:ind w:left="20"/>
              <w:spacing w:after="0"/>
              <w:rPr>
                <w:sz w:val="20"/>
                <w:szCs w:val="20"/>
                <w:color w:val="auto"/>
              </w:rPr>
            </w:pPr>
            <w:r>
              <w:rPr>
                <w:rFonts w:ascii="Calibri" w:cs="Calibri" w:eastAsia="Calibri" w:hAnsi="Calibri"/>
                <w:sz w:val="18"/>
                <w:szCs w:val="18"/>
                <w:color w:val="auto"/>
              </w:rPr>
              <w:t>(3)</w:t>
            </w:r>
          </w:p>
        </w:tc>
        <w:tc>
          <w:tcPr>
            <w:tcW w:w="2020" w:type="dxa"/>
            <w:vAlign w:val="bottom"/>
            <w:tcBorders>
              <w:top w:val="single" w:sz="8" w:color="0000EE"/>
              <w:bottom w:val="single" w:sz="8" w:color="0000EE"/>
            </w:tcBorders>
          </w:tcPr>
          <w:p>
            <w:pPr>
              <w:spacing w:after="0"/>
              <w:rPr>
                <w:sz w:val="20"/>
                <w:szCs w:val="20"/>
                <w:color w:val="auto"/>
              </w:rPr>
            </w:pPr>
            <w:r>
              <w:rPr>
                <w:rFonts w:ascii="Calibri" w:cs="Calibri" w:eastAsia="Calibri" w:hAnsi="Calibri"/>
                <w:sz w:val="18"/>
                <w:szCs w:val="18"/>
                <w:color w:val="auto"/>
                <w:w w:val="95"/>
              </w:rPr>
              <w:t>Consolidated Balance Sheets</w:t>
            </w:r>
          </w:p>
        </w:tc>
        <w:tc>
          <w:tcPr>
            <w:tcW w:w="1640" w:type="dxa"/>
            <w:vAlign w:val="bottom"/>
            <w:tcBorders>
              <w:top w:val="single" w:sz="8" w:color="0000EE"/>
            </w:tcBorders>
            <w:gridSpan w:val="4"/>
          </w:tcPr>
          <w:p>
            <w:pPr>
              <w:spacing w:after="0"/>
              <w:rPr>
                <w:sz w:val="20"/>
                <w:szCs w:val="20"/>
                <w:color w:val="auto"/>
              </w:rPr>
            </w:pPr>
          </w:p>
        </w:tc>
        <w:tc>
          <w:tcPr>
            <w:tcW w:w="6440" w:type="dxa"/>
            <w:vAlign w:val="bottom"/>
            <w:gridSpan w:val="3"/>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Calibri" w:cs="Calibri" w:eastAsia="Calibri" w:hAnsi="Calibri"/>
                <w:sz w:val="18"/>
                <w:szCs w:val="18"/>
                <w:color w:val="auto"/>
              </w:rPr>
              <w:t>43</w:t>
            </w:r>
          </w:p>
        </w:tc>
      </w:tr>
      <w:tr>
        <w:trPr>
          <w:trHeight w:val="237"/>
        </w:trPr>
        <w:tc>
          <w:tcPr>
            <w:tcW w:w="680" w:type="dxa"/>
            <w:vAlign w:val="bottom"/>
            <w:gridSpan w:val="2"/>
          </w:tcPr>
          <w:p>
            <w:pPr>
              <w:ind w:left="20"/>
              <w:spacing w:after="0"/>
              <w:rPr>
                <w:sz w:val="20"/>
                <w:szCs w:val="20"/>
                <w:color w:val="auto"/>
              </w:rPr>
            </w:pPr>
            <w:r>
              <w:rPr>
                <w:rFonts w:ascii="Calibri" w:cs="Calibri" w:eastAsia="Calibri" w:hAnsi="Calibri"/>
                <w:sz w:val="18"/>
                <w:szCs w:val="18"/>
                <w:color w:val="auto"/>
              </w:rPr>
              <w:t>(4)</w:t>
            </w:r>
          </w:p>
        </w:tc>
        <w:tc>
          <w:tcPr>
            <w:tcW w:w="10100" w:type="dxa"/>
            <w:vAlign w:val="bottom"/>
            <w:gridSpan w:val="8"/>
          </w:tcPr>
          <w:p>
            <w:pPr>
              <w:spacing w:after="0"/>
              <w:rPr>
                <w:sz w:val="20"/>
                <w:szCs w:val="20"/>
                <w:color w:val="auto"/>
              </w:rPr>
            </w:pPr>
            <w:r>
              <w:rPr>
                <w:rFonts w:ascii="Calibri" w:cs="Calibri" w:eastAsia="Calibri" w:hAnsi="Calibri"/>
                <w:sz w:val="18"/>
                <w:szCs w:val="18"/>
                <w:color w:val="auto"/>
              </w:rPr>
              <w:t>Consolidated Statements of Cash Flows</w:t>
            </w:r>
          </w:p>
        </w:tc>
        <w:tc>
          <w:tcPr>
            <w:tcW w:w="460" w:type="dxa"/>
            <w:vAlign w:val="bottom"/>
            <w:gridSpan w:val="2"/>
          </w:tcPr>
          <w:p>
            <w:pPr>
              <w:jc w:val="right"/>
              <w:ind w:right="20"/>
              <w:spacing w:after="0"/>
              <w:rPr>
                <w:sz w:val="20"/>
                <w:szCs w:val="20"/>
                <w:color w:val="auto"/>
              </w:rPr>
            </w:pPr>
            <w:r>
              <w:rPr>
                <w:rFonts w:ascii="Calibri" w:cs="Calibri" w:eastAsia="Calibri" w:hAnsi="Calibri"/>
                <w:sz w:val="18"/>
                <w:szCs w:val="18"/>
                <w:color w:val="auto"/>
              </w:rPr>
              <w:t>45</w:t>
            </w:r>
          </w:p>
        </w:tc>
      </w:tr>
      <w:tr>
        <w:trPr>
          <w:trHeight w:val="20"/>
        </w:trPr>
        <w:tc>
          <w:tcPr>
            <w:tcW w:w="680" w:type="dxa"/>
            <w:vAlign w:val="bottom"/>
            <w:tcBorders>
              <w:right w:val="single" w:sz="8" w:color="0000EE"/>
            </w:tcBorders>
            <w:gridSpan w:val="2"/>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37"/>
        </w:trPr>
        <w:tc>
          <w:tcPr>
            <w:tcW w:w="680" w:type="dxa"/>
            <w:vAlign w:val="bottom"/>
            <w:gridSpan w:val="2"/>
          </w:tcPr>
          <w:p>
            <w:pPr>
              <w:ind w:left="20"/>
              <w:spacing w:after="0"/>
              <w:rPr>
                <w:sz w:val="20"/>
                <w:szCs w:val="20"/>
                <w:color w:val="auto"/>
              </w:rPr>
            </w:pPr>
            <w:r>
              <w:rPr>
                <w:rFonts w:ascii="Calibri" w:cs="Calibri" w:eastAsia="Calibri" w:hAnsi="Calibri"/>
                <w:sz w:val="18"/>
                <w:szCs w:val="18"/>
                <w:color w:val="auto"/>
              </w:rPr>
              <w:t>(5)</w:t>
            </w:r>
          </w:p>
        </w:tc>
        <w:tc>
          <w:tcPr>
            <w:tcW w:w="4240" w:type="dxa"/>
            <w:vAlign w:val="bottom"/>
            <w:tcBorders>
              <w:bottom w:val="single" w:sz="8" w:color="0000EE"/>
            </w:tcBorders>
            <w:gridSpan w:val="7"/>
          </w:tcPr>
          <w:p>
            <w:pPr>
              <w:spacing w:after="0"/>
              <w:rPr>
                <w:sz w:val="20"/>
                <w:szCs w:val="20"/>
                <w:color w:val="auto"/>
              </w:rPr>
            </w:pPr>
            <w:r>
              <w:rPr>
                <w:rFonts w:ascii="Calibri" w:cs="Calibri" w:eastAsia="Calibri" w:hAnsi="Calibri"/>
                <w:sz w:val="18"/>
                <w:szCs w:val="18"/>
                <w:color w:val="auto"/>
                <w:w w:val="96"/>
              </w:rPr>
              <w:t>Consolidated Statements of Changes in Stockholders’ Equity</w:t>
            </w:r>
          </w:p>
        </w:tc>
        <w:tc>
          <w:tcPr>
            <w:tcW w:w="586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Calibri" w:cs="Calibri" w:eastAsia="Calibri" w:hAnsi="Calibri"/>
                <w:sz w:val="18"/>
                <w:szCs w:val="18"/>
                <w:color w:val="auto"/>
              </w:rPr>
              <w:t>46</w:t>
            </w:r>
          </w:p>
        </w:tc>
      </w:tr>
      <w:tr>
        <w:trPr>
          <w:trHeight w:val="237"/>
        </w:trPr>
        <w:tc>
          <w:tcPr>
            <w:tcW w:w="680" w:type="dxa"/>
            <w:vAlign w:val="bottom"/>
            <w:gridSpan w:val="2"/>
          </w:tcPr>
          <w:p>
            <w:pPr>
              <w:ind w:left="20"/>
              <w:spacing w:after="0"/>
              <w:rPr>
                <w:sz w:val="20"/>
                <w:szCs w:val="20"/>
                <w:color w:val="auto"/>
              </w:rPr>
            </w:pPr>
            <w:r>
              <w:rPr>
                <w:rFonts w:ascii="Calibri" w:cs="Calibri" w:eastAsia="Calibri" w:hAnsi="Calibri"/>
                <w:sz w:val="18"/>
                <w:szCs w:val="18"/>
                <w:color w:val="auto"/>
              </w:rPr>
              <w:t>(6)</w:t>
            </w:r>
          </w:p>
        </w:tc>
        <w:tc>
          <w:tcPr>
            <w:tcW w:w="3360" w:type="dxa"/>
            <w:vAlign w:val="bottom"/>
            <w:tcBorders>
              <w:bottom w:val="single" w:sz="8" w:color="0000EE"/>
            </w:tcBorders>
            <w:gridSpan w:val="4"/>
          </w:tcPr>
          <w:p>
            <w:pPr>
              <w:spacing w:after="0"/>
              <w:rPr>
                <w:sz w:val="20"/>
                <w:szCs w:val="20"/>
                <w:color w:val="auto"/>
              </w:rPr>
            </w:pPr>
            <w:r>
              <w:rPr>
                <w:rFonts w:ascii="Calibri" w:cs="Calibri" w:eastAsia="Calibri" w:hAnsi="Calibri"/>
                <w:sz w:val="18"/>
                <w:szCs w:val="18"/>
                <w:color w:val="auto"/>
                <w:w w:val="96"/>
              </w:rPr>
              <w:t>Notes to the Consolidated Financial Statements</w:t>
            </w:r>
          </w:p>
        </w:tc>
        <w:tc>
          <w:tcPr>
            <w:tcW w:w="6740" w:type="dxa"/>
            <w:vAlign w:val="bottom"/>
            <w:gridSpan w:val="4"/>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Calibri" w:cs="Calibri" w:eastAsia="Calibri" w:hAnsi="Calibri"/>
                <w:sz w:val="18"/>
                <w:szCs w:val="18"/>
                <w:color w:val="auto"/>
              </w:rPr>
              <w:t>47</w:t>
            </w:r>
          </w:p>
        </w:tc>
      </w:tr>
      <w:tr>
        <w:trPr>
          <w:trHeight w:val="236"/>
        </w:trPr>
        <w:tc>
          <w:tcPr>
            <w:tcW w:w="680" w:type="dxa"/>
            <w:vAlign w:val="bottom"/>
            <w:gridSpan w:val="2"/>
          </w:tcPr>
          <w:p>
            <w:pPr>
              <w:ind w:left="20"/>
              <w:spacing w:after="0"/>
              <w:rPr>
                <w:sz w:val="20"/>
                <w:szCs w:val="20"/>
                <w:color w:val="auto"/>
              </w:rPr>
            </w:pPr>
            <w:r>
              <w:rPr>
                <w:rFonts w:ascii="Calibri" w:cs="Calibri" w:eastAsia="Calibri" w:hAnsi="Calibri"/>
                <w:sz w:val="18"/>
                <w:szCs w:val="18"/>
                <w:color w:val="auto"/>
              </w:rPr>
              <w:t>(7)</w:t>
            </w:r>
          </w:p>
        </w:tc>
        <w:tc>
          <w:tcPr>
            <w:tcW w:w="10100" w:type="dxa"/>
            <w:vAlign w:val="bottom"/>
            <w:gridSpan w:val="8"/>
          </w:tcPr>
          <w:p>
            <w:pPr>
              <w:spacing w:after="0"/>
              <w:rPr>
                <w:sz w:val="20"/>
                <w:szCs w:val="20"/>
                <w:color w:val="auto"/>
              </w:rPr>
            </w:pPr>
            <w:r>
              <w:rPr>
                <w:rFonts w:ascii="Calibri" w:cs="Calibri" w:eastAsia="Calibri" w:hAnsi="Calibri"/>
                <w:sz w:val="18"/>
                <w:szCs w:val="18"/>
                <w:color w:val="auto"/>
              </w:rPr>
              <w:t>Reports of Independent Registered Public Accountng Firm (PCAOB ID 34)</w:t>
            </w:r>
          </w:p>
        </w:tc>
        <w:tc>
          <w:tcPr>
            <w:tcW w:w="460" w:type="dxa"/>
            <w:vAlign w:val="bottom"/>
            <w:gridSpan w:val="2"/>
          </w:tcPr>
          <w:p>
            <w:pPr>
              <w:jc w:val="right"/>
              <w:ind w:right="20"/>
              <w:spacing w:after="0"/>
              <w:rPr>
                <w:sz w:val="20"/>
                <w:szCs w:val="20"/>
                <w:color w:val="auto"/>
              </w:rPr>
            </w:pPr>
            <w:r>
              <w:rPr>
                <w:rFonts w:ascii="Calibri" w:cs="Calibri" w:eastAsia="Calibri" w:hAnsi="Calibri"/>
                <w:sz w:val="18"/>
                <w:szCs w:val="18"/>
                <w:color w:val="auto"/>
              </w:rPr>
              <w:t>80</w:t>
            </w:r>
          </w:p>
        </w:tc>
      </w:tr>
      <w:tr>
        <w:trPr>
          <w:trHeight w:val="68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20" w:type="dxa"/>
            <w:vAlign w:val="bottom"/>
            <w:tcBorders>
              <w:top w:val="single" w:sz="8" w:color="0000EE"/>
            </w:tcBorders>
            <w:gridSpan w:val="6"/>
          </w:tcPr>
          <w:p>
            <w:pPr>
              <w:spacing w:after="0"/>
              <w:rPr>
                <w:sz w:val="24"/>
                <w:szCs w:val="24"/>
                <w:color w:val="auto"/>
              </w:rPr>
            </w:pPr>
          </w:p>
        </w:tc>
        <w:tc>
          <w:tcPr>
            <w:tcW w:w="5980" w:type="dxa"/>
            <w:vAlign w:val="bottom"/>
            <w:gridSpan w:val="2"/>
          </w:tcPr>
          <w:p>
            <w:pPr>
              <w:jc w:val="right"/>
              <w:ind w:right="5060"/>
              <w:spacing w:after="0"/>
              <w:rPr>
                <w:sz w:val="20"/>
                <w:szCs w:val="20"/>
                <w:color w:val="auto"/>
              </w:rPr>
            </w:pPr>
            <w:r>
              <w:rPr>
                <w:rFonts w:ascii="Calibri" w:cs="Calibri" w:eastAsia="Calibri" w:hAnsi="Calibri"/>
                <w:sz w:val="18"/>
                <w:szCs w:val="18"/>
                <w:color w:val="auto"/>
              </w:rPr>
              <w:t>40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38"/>
        </w:trPr>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0" w:name="page41"/>
    <w:bookmarkEnd w:id="40"/>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right"/>
              <w:ind w:right="48"/>
              <w:spacing w:after="0"/>
              <w:rPr>
                <w:sz w:val="20"/>
                <w:szCs w:val="20"/>
                <w:color w:val="auto"/>
              </w:rPr>
            </w:pPr>
            <w:r>
              <w:rPr>
                <w:rFonts w:ascii="Calibri" w:cs="Calibri" w:eastAsia="Calibri" w:hAnsi="Calibri"/>
                <w:sz w:val="14"/>
                <w:szCs w:val="14"/>
                <w:b w:val="1"/>
                <w:bCs w:val="1"/>
                <w:color w:val="auto"/>
              </w:rPr>
              <w:t>Years Ended September 30</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70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11"/>
              <w:spacing w:after="0" w:line="164" w:lineRule="exact"/>
              <w:rPr>
                <w:sz w:val="20"/>
                <w:szCs w:val="20"/>
                <w:color w:val="auto"/>
              </w:rPr>
            </w:pPr>
            <w:r>
              <w:rPr>
                <w:rFonts w:ascii="Calibri" w:cs="Calibri" w:eastAsia="Calibri" w:hAnsi="Calibri"/>
                <w:sz w:val="14"/>
                <w:szCs w:val="14"/>
                <w:b w:val="1"/>
                <w:bCs w:val="1"/>
                <w:color w:val="auto"/>
              </w:rPr>
              <w:t>2022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411"/>
              <w:spacing w:after="0" w:line="164" w:lineRule="exact"/>
              <w:rPr>
                <w:sz w:val="20"/>
                <w:szCs w:val="20"/>
                <w:color w:val="auto"/>
              </w:rPr>
            </w:pPr>
            <w:r>
              <w:rPr>
                <w:rFonts w:ascii="Calibri" w:cs="Calibri" w:eastAsia="Calibri" w:hAnsi="Calibri"/>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ind w:right="11"/>
              <w:spacing w:after="0" w:line="164" w:lineRule="exact"/>
              <w:rPr>
                <w:sz w:val="20"/>
                <w:szCs w:val="20"/>
                <w:color w:val="auto"/>
              </w:rPr>
            </w:pPr>
            <w:r>
              <w:rPr>
                <w:rFonts w:ascii="Calibri" w:cs="Calibri" w:eastAsia="Calibri" w:hAnsi="Calibri"/>
                <w:sz w:val="14"/>
                <w:szCs w:val="14"/>
                <w:b w:val="1"/>
                <w:bCs w:val="1"/>
                <w:color w:val="auto"/>
              </w:rPr>
              <w:t>(In</w:t>
            </w:r>
          </w:p>
        </w:tc>
        <w:tc>
          <w:tcPr>
            <w:tcW w:w="1580" w:type="dxa"/>
            <w:vAlign w:val="bottom"/>
            <w:gridSpan w:val="4"/>
          </w:tcPr>
          <w:p>
            <w:pPr>
              <w:jc w:val="right"/>
              <w:ind w:right="31"/>
              <w:spacing w:after="0" w:line="164" w:lineRule="exact"/>
              <w:rPr>
                <w:sz w:val="20"/>
                <w:szCs w:val="20"/>
                <w:color w:val="auto"/>
              </w:rPr>
            </w:pPr>
            <w:r>
              <w:rPr>
                <w:rFonts w:ascii="Calibri" w:cs="Calibri" w:eastAsia="Calibri" w:hAnsi="Calibri"/>
                <w:sz w:val="14"/>
                <w:szCs w:val="14"/>
                <w:b w:val="1"/>
                <w:bCs w:val="1"/>
                <w:color w:val="auto"/>
                <w:w w:val="96"/>
              </w:rPr>
              <w:t>millions, except per share</w:t>
            </w:r>
          </w:p>
        </w:tc>
        <w:tc>
          <w:tcPr>
            <w:tcW w:w="620" w:type="dxa"/>
            <w:vAlign w:val="bottom"/>
            <w:gridSpan w:val="2"/>
          </w:tcPr>
          <w:p>
            <w:pPr>
              <w:jc w:val="right"/>
              <w:ind w:right="50"/>
              <w:spacing w:after="0" w:line="164" w:lineRule="exact"/>
              <w:rPr>
                <w:sz w:val="20"/>
                <w:szCs w:val="20"/>
                <w:color w:val="auto"/>
              </w:rPr>
            </w:pPr>
            <w:r>
              <w:rPr>
                <w:rFonts w:ascii="Calibri" w:cs="Calibri" w:eastAsia="Calibri" w:hAnsi="Calibri"/>
                <w:sz w:val="14"/>
                <w:szCs w:val="14"/>
                <w:b w:val="1"/>
                <w:bCs w:val="1"/>
                <w:color w:val="auto"/>
                <w:w w:val="82"/>
              </w:rPr>
              <w:t>amounts)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sales and other operatng revenues</w:t>
            </w:r>
          </w:p>
        </w:tc>
        <w:tc>
          <w:tcPr>
            <w:tcW w:w="860" w:type="dxa"/>
            <w:vAlign w:val="bottom"/>
            <w:tcBorders>
              <w:bottom w:val="single" w:sz="8" w:color="CFF0FC"/>
            </w:tcBorders>
            <w:shd w:val="clear" w:color="auto" w:fill="CFF0FC"/>
          </w:tcPr>
          <w:p>
            <w:pPr>
              <w:jc w:val="right"/>
              <w:ind w:right="674"/>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3,931</w:t>
            </w:r>
          </w:p>
        </w:tc>
        <w:tc>
          <w:tcPr>
            <w:tcW w:w="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4,321</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00" w:type="dxa"/>
            <w:vAlign w:val="bottom"/>
          </w:tcPr>
          <w:p>
            <w:pPr>
              <w:ind w:left="20"/>
              <w:spacing w:after="0"/>
              <w:rPr>
                <w:sz w:val="20"/>
                <w:szCs w:val="20"/>
                <w:color w:val="auto"/>
              </w:rPr>
            </w:pPr>
            <w:r>
              <w:rPr>
                <w:rFonts w:ascii="Calibri" w:cs="Calibri" w:eastAsia="Calibri" w:hAnsi="Calibri"/>
                <w:sz w:val="18"/>
                <w:szCs w:val="18"/>
                <w:color w:val="auto"/>
              </w:rPr>
              <w:t>Cost of sales</w:t>
            </w:r>
          </w:p>
        </w:tc>
        <w:tc>
          <w:tcPr>
            <w:tcW w:w="860" w:type="dxa"/>
            <w:vAlign w:val="bottom"/>
          </w:tcPr>
          <w:p>
            <w:pPr>
              <w:spacing w:after="0"/>
              <w:rPr>
                <w:sz w:val="19"/>
                <w:szCs w:val="19"/>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3,092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3,436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Borders>
              <w:bottom w:val="single" w:sz="8" w:color="CFF0FC"/>
            </w:tcBorders>
            <w:shd w:val="clear" w:color="auto" w:fill="CFF0FC"/>
          </w:tcPr>
          <w:p>
            <w:pPr>
              <w:ind w:left="200"/>
              <w:spacing w:after="0" w:line="208" w:lineRule="exact"/>
              <w:rPr>
                <w:sz w:val="20"/>
                <w:szCs w:val="20"/>
                <w:color w:val="auto"/>
              </w:rPr>
            </w:pPr>
            <w:r>
              <w:rPr>
                <w:rFonts w:ascii="Calibri" w:cs="Calibri" w:eastAsia="Calibri" w:hAnsi="Calibri"/>
                <w:sz w:val="18"/>
                <w:szCs w:val="18"/>
                <w:color w:val="auto"/>
              </w:rPr>
              <w:t>Gross proft</w:t>
            </w:r>
          </w:p>
        </w:tc>
        <w:tc>
          <w:tcPr>
            <w:tcW w:w="8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839</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885</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799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line="215" w:lineRule="exact"/>
              <w:rPr>
                <w:sz w:val="20"/>
                <w:szCs w:val="20"/>
                <w:color w:val="auto"/>
              </w:rPr>
            </w:pPr>
            <w:r>
              <w:rPr>
                <w:rFonts w:ascii="Calibri" w:cs="Calibri" w:eastAsia="Calibri" w:hAnsi="Calibri"/>
                <w:sz w:val="18"/>
                <w:szCs w:val="18"/>
                <w:color w:val="auto"/>
              </w:rPr>
              <w:t>Selling and administratve expenses</w:t>
            </w:r>
          </w:p>
        </w:tc>
        <w:tc>
          <w:tcPr>
            <w:tcW w:w="86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253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258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Research and technical expenses</w:t>
            </w:r>
          </w:p>
        </w:tc>
        <w:tc>
          <w:tcPr>
            <w:tcW w:w="8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57</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line="215" w:lineRule="exact"/>
              <w:rPr>
                <w:sz w:val="20"/>
                <w:szCs w:val="20"/>
                <w:color w:val="auto"/>
              </w:rPr>
            </w:pPr>
            <w:r>
              <w:rPr>
                <w:rFonts w:ascii="Calibri" w:cs="Calibri" w:eastAsia="Calibri" w:hAnsi="Calibri"/>
                <w:sz w:val="18"/>
                <w:szCs w:val="18"/>
                <w:color w:val="auto"/>
              </w:rPr>
              <w:t>Loss on sale of business and asset impairment charge (Note D)</w:t>
            </w:r>
          </w:p>
        </w:tc>
        <w:tc>
          <w:tcPr>
            <w:tcW w:w="86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207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
        </w:trPr>
        <w:tc>
          <w:tcPr>
            <w:tcW w:w="6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Gain on bargain purchase of a business (Note C)</w:t>
            </w:r>
          </w:p>
        </w:tc>
        <w:tc>
          <w:tcPr>
            <w:tcW w:w="8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gridSpan w:val="2"/>
            <w:shd w:val="clear" w:color="auto" w:fill="CFF0FC"/>
          </w:tcPr>
          <w:p>
            <w:pPr>
              <w:jc w:val="right"/>
              <w:ind w:right="28"/>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08"/>
              <w:spacing w:after="0" w:line="215" w:lineRule="exact"/>
              <w:rPr>
                <w:sz w:val="20"/>
                <w:szCs w:val="20"/>
                <w:color w:val="auto"/>
              </w:rPr>
            </w:pPr>
            <w:r>
              <w:rPr>
                <w:rFonts w:ascii="Calibri" w:cs="Calibri" w:eastAsia="Calibri" w:hAnsi="Calibri"/>
                <w:sz w:val="18"/>
                <w:szCs w:val="18"/>
                <w:color w:val="auto"/>
              </w:rPr>
              <w:t>(24 )</w:t>
            </w:r>
          </w:p>
        </w:tc>
        <w:tc>
          <w:tcPr>
            <w:tcW w:w="3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8"/>
        </w:trPr>
        <w:tc>
          <w:tcPr>
            <w:tcW w:w="6700" w:type="dxa"/>
            <w:vAlign w:val="bottom"/>
          </w:tcPr>
          <w:p>
            <w:pPr>
              <w:ind w:left="200"/>
              <w:spacing w:after="0" w:line="199" w:lineRule="exact"/>
              <w:rPr>
                <w:sz w:val="20"/>
                <w:szCs w:val="20"/>
                <w:color w:val="auto"/>
              </w:rPr>
            </w:pPr>
            <w:r>
              <w:rPr>
                <w:rFonts w:ascii="Calibri" w:cs="Calibri" w:eastAsia="Calibri" w:hAnsi="Calibri"/>
                <w:sz w:val="18"/>
                <w:szCs w:val="18"/>
                <w:color w:val="auto"/>
              </w:rPr>
              <w:t>Income (loss) from operatons</w:t>
            </w:r>
          </w:p>
        </w:tc>
        <w:tc>
          <w:tcPr>
            <w:tcW w:w="8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526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389</w:t>
            </w: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Interest and dividend income</w:t>
            </w:r>
          </w:p>
        </w:tc>
        <w:tc>
          <w:tcPr>
            <w:tcW w:w="8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w:t>
            </w:r>
          </w:p>
        </w:tc>
        <w:tc>
          <w:tcPr>
            <w:tcW w:w="860" w:type="dxa"/>
            <w:vAlign w:val="bottom"/>
          </w:tcPr>
          <w:p>
            <w:pPr>
              <w:spacing w:after="0"/>
              <w:rPr>
                <w:sz w:val="18"/>
                <w:szCs w:val="18"/>
                <w:color w:val="auto"/>
              </w:rPr>
            </w:pPr>
          </w:p>
        </w:tc>
        <w:tc>
          <w:tcPr>
            <w:tcW w:w="5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(90 )</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(56 )</w:t>
            </w:r>
          </w:p>
        </w:tc>
        <w:tc>
          <w:tcPr>
            <w:tcW w:w="380" w:type="dxa"/>
            <w:vAlign w:val="bottom"/>
          </w:tcPr>
          <w:p>
            <w:pPr>
              <w:spacing w:after="0"/>
              <w:rPr>
                <w:sz w:val="18"/>
                <w:szCs w:val="18"/>
                <w:color w:val="auto"/>
              </w:rPr>
            </w:pPr>
          </w:p>
        </w:tc>
        <w:tc>
          <w:tcPr>
            <w:tcW w:w="10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(49 )</w:t>
            </w:r>
          </w:p>
        </w:tc>
        <w:tc>
          <w:tcPr>
            <w:tcW w:w="0" w:type="dxa"/>
            <w:vAlign w:val="bottom"/>
          </w:tcPr>
          <w:p>
            <w:pPr>
              <w:spacing w:after="0"/>
              <w:rPr>
                <w:sz w:val="1"/>
                <w:szCs w:val="1"/>
                <w:color w:val="auto"/>
              </w:rPr>
            </w:pPr>
          </w:p>
        </w:tc>
      </w:tr>
      <w:tr>
        <w:trPr>
          <w:trHeight w:val="28"/>
        </w:trPr>
        <w:tc>
          <w:tcPr>
            <w:tcW w:w="6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7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Other income (expense)</w:t>
            </w:r>
          </w:p>
        </w:tc>
        <w:tc>
          <w:tcPr>
            <w:tcW w:w="8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(16 )</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gridSpan w:val="2"/>
            <w:shd w:val="clear" w:color="auto" w:fill="CFF0FC"/>
          </w:tcPr>
          <w:p>
            <w:pPr>
              <w:jc w:val="right"/>
              <w:ind w:right="108"/>
              <w:spacing w:after="0" w:line="215" w:lineRule="exact"/>
              <w:rPr>
                <w:sz w:val="20"/>
                <w:szCs w:val="20"/>
                <w:color w:val="auto"/>
              </w:rPr>
            </w:pPr>
            <w:r>
              <w:rPr>
                <w:rFonts w:ascii="Calibri" w:cs="Calibri" w:eastAsia="Calibri" w:hAnsi="Calibri"/>
                <w:sz w:val="18"/>
                <w:szCs w:val="18"/>
                <w:color w:val="auto"/>
              </w:rPr>
              <w:t>(9 )</w:t>
            </w:r>
          </w:p>
        </w:tc>
        <w:tc>
          <w:tcPr>
            <w:tcW w:w="3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(7 )</w:t>
            </w:r>
          </w:p>
        </w:tc>
        <w:tc>
          <w:tcPr>
            <w:tcW w:w="0" w:type="dxa"/>
            <w:vAlign w:val="bottom"/>
          </w:tcPr>
          <w:p>
            <w:pPr>
              <w:spacing w:after="0"/>
              <w:rPr>
                <w:sz w:val="1"/>
                <w:szCs w:val="1"/>
                <w:color w:val="auto"/>
              </w:rPr>
            </w:pPr>
          </w:p>
        </w:tc>
      </w:tr>
      <w:tr>
        <w:trPr>
          <w:trHeight w:val="201"/>
        </w:trPr>
        <w:tc>
          <w:tcPr>
            <w:tcW w:w="6700" w:type="dxa"/>
            <w:vAlign w:val="bottom"/>
            <w:tcBorders>
              <w:top w:val="single" w:sz="8" w:color="CFF0FC"/>
            </w:tcBorders>
          </w:tcPr>
          <w:p>
            <w:pPr>
              <w:ind w:left="200"/>
              <w:spacing w:after="0" w:line="201" w:lineRule="exact"/>
              <w:rPr>
                <w:sz w:val="20"/>
                <w:szCs w:val="20"/>
                <w:color w:val="auto"/>
              </w:rPr>
            </w:pPr>
            <w:r>
              <w:rPr>
                <w:rFonts w:ascii="Calibri" w:cs="Calibri" w:eastAsia="Calibri" w:hAnsi="Calibri"/>
                <w:sz w:val="18"/>
                <w:szCs w:val="18"/>
                <w:color w:val="auto"/>
              </w:rPr>
              <w:t>Income (loss) from operatons before income taxes and</w:t>
            </w:r>
          </w:p>
        </w:tc>
        <w:tc>
          <w:tcPr>
            <w:tcW w:w="8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320"/>
              <w:spacing w:after="0" w:line="215" w:lineRule="exact"/>
              <w:rPr>
                <w:sz w:val="20"/>
                <w:szCs w:val="20"/>
                <w:color w:val="auto"/>
              </w:rPr>
            </w:pPr>
            <w:r>
              <w:rPr>
                <w:rFonts w:ascii="Calibri" w:cs="Calibri" w:eastAsia="Calibri" w:hAnsi="Calibri"/>
                <w:sz w:val="18"/>
                <w:szCs w:val="18"/>
                <w:color w:val="auto"/>
              </w:rPr>
              <w:t>equity in earnings of afliated companies</w:t>
            </w:r>
          </w:p>
        </w:tc>
        <w:tc>
          <w:tcPr>
            <w:tcW w:w="86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451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335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6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(Provision) beneft for income taxes</w:t>
            </w:r>
          </w:p>
        </w:tc>
        <w:tc>
          <w:tcPr>
            <w:tcW w:w="8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108"/>
              <w:spacing w:after="0" w:line="215" w:lineRule="exact"/>
              <w:rPr>
                <w:sz w:val="20"/>
                <w:szCs w:val="20"/>
                <w:color w:val="auto"/>
              </w:rPr>
            </w:pPr>
            <w:r>
              <w:rPr>
                <w:rFonts w:ascii="Calibri" w:cs="Calibri" w:eastAsia="Calibri" w:hAnsi="Calibri"/>
                <w:sz w:val="18"/>
                <w:szCs w:val="18"/>
                <w:color w:val="auto"/>
              </w:rPr>
              <w:t>(102 )</w:t>
            </w:r>
          </w:p>
        </w:tc>
        <w:tc>
          <w:tcPr>
            <w:tcW w:w="3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(123 )</w:t>
            </w:r>
          </w:p>
        </w:tc>
        <w:tc>
          <w:tcPr>
            <w:tcW w:w="0" w:type="dxa"/>
            <w:vAlign w:val="bottom"/>
          </w:tcPr>
          <w:p>
            <w:pPr>
              <w:spacing w:after="0"/>
              <w:rPr>
                <w:sz w:val="1"/>
                <w:szCs w:val="1"/>
                <w:color w:val="auto"/>
              </w:rPr>
            </w:pPr>
          </w:p>
        </w:tc>
      </w:tr>
      <w:tr>
        <w:trPr>
          <w:trHeight w:val="220"/>
        </w:trPr>
        <w:tc>
          <w:tcPr>
            <w:tcW w:w="6700" w:type="dxa"/>
            <w:vAlign w:val="bottom"/>
          </w:tcPr>
          <w:p>
            <w:pPr>
              <w:ind w:left="20"/>
              <w:spacing w:after="0"/>
              <w:rPr>
                <w:sz w:val="20"/>
                <w:szCs w:val="20"/>
                <w:color w:val="auto"/>
              </w:rPr>
            </w:pPr>
            <w:r>
              <w:rPr>
                <w:rFonts w:ascii="Calibri" w:cs="Calibri" w:eastAsia="Calibri" w:hAnsi="Calibri"/>
                <w:sz w:val="18"/>
                <w:szCs w:val="18"/>
                <w:color w:val="auto"/>
              </w:rPr>
              <w:t>Equity in earnings of afliated companies, net of tax</w:t>
            </w:r>
          </w:p>
        </w:tc>
        <w:tc>
          <w:tcPr>
            <w:tcW w:w="860" w:type="dxa"/>
            <w:vAlign w:val="bottom"/>
          </w:tcPr>
          <w:p>
            <w:pPr>
              <w:spacing w:after="0"/>
              <w:rPr>
                <w:sz w:val="19"/>
                <w:szCs w:val="19"/>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FF0FC"/>
            </w:tcBorders>
            <w:shd w:val="clear" w:color="auto" w:fill="CFF0FC"/>
          </w:tcPr>
          <w:p>
            <w:pPr>
              <w:ind w:left="200"/>
              <w:spacing w:after="0" w:line="208" w:lineRule="exact"/>
              <w:rPr>
                <w:sz w:val="20"/>
                <w:szCs w:val="20"/>
                <w:color w:val="auto"/>
              </w:rPr>
            </w:pPr>
            <w:r>
              <w:rPr>
                <w:rFonts w:ascii="Calibri" w:cs="Calibri" w:eastAsia="Calibri" w:hAnsi="Calibri"/>
                <w:sz w:val="18"/>
                <w:szCs w:val="18"/>
                <w:color w:val="auto"/>
              </w:rPr>
              <w:t>Net income (loss)</w:t>
            </w:r>
          </w:p>
        </w:tc>
        <w:tc>
          <w:tcPr>
            <w:tcW w:w="8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484</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243</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00" w:type="dxa"/>
            <w:vAlign w:val="bottom"/>
          </w:tcPr>
          <w:p>
            <w:pPr>
              <w:ind w:left="20"/>
              <w:spacing w:after="0" w:line="207" w:lineRule="exact"/>
              <w:rPr>
                <w:sz w:val="20"/>
                <w:szCs w:val="20"/>
                <w:color w:val="auto"/>
              </w:rPr>
            </w:pPr>
            <w:r>
              <w:rPr>
                <w:rFonts w:ascii="Calibri" w:cs="Calibri" w:eastAsia="Calibri" w:hAnsi="Calibri"/>
                <w:sz w:val="18"/>
                <w:szCs w:val="18"/>
                <w:color w:val="auto"/>
              </w:rPr>
              <w:t>Net income (loss) atributable to noncontrolling interests, net of tax</w:t>
            </w:r>
          </w:p>
        </w:tc>
        <w:tc>
          <w:tcPr>
            <w:tcW w:w="860" w:type="dxa"/>
            <w:vAlign w:val="bottom"/>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Calibri" w:cs="Calibri" w:eastAsia="Calibri" w:hAnsi="Calibri"/>
                <w:sz w:val="18"/>
                <w:szCs w:val="18"/>
                <w:color w:val="auto"/>
              </w:rPr>
              <w:t>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Calibri" w:cs="Calibri" w:eastAsia="Calibri" w:hAnsi="Calibri"/>
                <w:sz w:val="18"/>
                <w:szCs w:val="18"/>
                <w:color w:val="auto"/>
              </w:rPr>
              <w:t>34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Calibri" w:cs="Calibri" w:eastAsia="Calibri" w:hAnsi="Calibri"/>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140"/>
              <w:spacing w:after="0" w:line="215" w:lineRule="exact"/>
              <w:rPr>
                <w:sz w:val="20"/>
                <w:szCs w:val="20"/>
                <w:color w:val="auto"/>
              </w:rPr>
            </w:pPr>
            <w:r>
              <w:rPr>
                <w:rFonts w:ascii="Calibri" w:cs="Calibri" w:eastAsia="Calibri" w:hAnsi="Calibri"/>
                <w:sz w:val="18"/>
                <w:szCs w:val="18"/>
                <w:color w:val="auto"/>
              </w:rPr>
              <w:t>of $9, $8 and $10</w:t>
            </w:r>
          </w:p>
        </w:tc>
        <w:tc>
          <w:tcPr>
            <w:tcW w:w="8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70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Net income (loss) atributable to Cabot Corporaton</w:t>
            </w:r>
          </w:p>
        </w:tc>
        <w:tc>
          <w:tcPr>
            <w:tcW w:w="860" w:type="dxa"/>
            <w:vAlign w:val="bottom"/>
            <w:shd w:val="clear" w:color="auto" w:fill="CFF0FC"/>
          </w:tcPr>
          <w:p>
            <w:pPr>
              <w:jc w:val="right"/>
              <w:ind w:right="674"/>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445</w:t>
            </w:r>
          </w:p>
        </w:tc>
        <w:tc>
          <w:tcPr>
            <w:tcW w:w="80" w:type="dxa"/>
            <w:vAlign w:val="bottom"/>
            <w:shd w:val="clear" w:color="auto" w:fill="CFF0FC"/>
          </w:tcPr>
          <w:p>
            <w:pPr>
              <w:spacing w:after="0"/>
              <w:rPr>
                <w:sz w:val="24"/>
                <w:szCs w:val="24"/>
                <w:color w:val="auto"/>
              </w:rPr>
            </w:pPr>
          </w:p>
        </w:tc>
        <w:tc>
          <w:tcPr>
            <w:tcW w:w="50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209</w:t>
            </w:r>
          </w:p>
        </w:tc>
        <w:tc>
          <w:tcPr>
            <w:tcW w:w="240" w:type="dxa"/>
            <w:vAlign w:val="bottom"/>
            <w:shd w:val="clear" w:color="auto" w:fill="CFF0FC"/>
          </w:tcPr>
          <w:p>
            <w:pPr>
              <w:spacing w:after="0"/>
              <w:rPr>
                <w:sz w:val="24"/>
                <w:szCs w:val="24"/>
                <w:color w:val="auto"/>
              </w:rPr>
            </w:pPr>
          </w:p>
        </w:tc>
        <w:tc>
          <w:tcPr>
            <w:tcW w:w="380" w:type="dxa"/>
            <w:vAlign w:val="bottom"/>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Weighted-average common shares outstanding:</w:t>
            </w:r>
          </w:p>
        </w:tc>
        <w:tc>
          <w:tcPr>
            <w:tcW w:w="8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00"/>
              <w:spacing w:after="0" w:line="215" w:lineRule="exact"/>
              <w:rPr>
                <w:sz w:val="20"/>
                <w:szCs w:val="20"/>
                <w:color w:val="auto"/>
              </w:rPr>
            </w:pPr>
            <w:r>
              <w:rPr>
                <w:rFonts w:ascii="Calibri" w:cs="Calibri" w:eastAsia="Calibri" w:hAnsi="Calibri"/>
                <w:sz w:val="18"/>
                <w:szCs w:val="18"/>
                <w:color w:val="auto"/>
              </w:rPr>
              <w:t>Basic</w:t>
            </w:r>
          </w:p>
        </w:tc>
        <w:tc>
          <w:tcPr>
            <w:tcW w:w="86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56.1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56.5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Diluted</w:t>
            </w:r>
          </w:p>
        </w:tc>
        <w:tc>
          <w:tcPr>
            <w:tcW w:w="8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56.5</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56.9</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Earnings (loss) per common share:</w:t>
            </w:r>
          </w:p>
        </w:tc>
        <w:tc>
          <w:tcPr>
            <w:tcW w:w="8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00"/>
              <w:spacing w:after="0" w:line="215" w:lineRule="exact"/>
              <w:rPr>
                <w:sz w:val="20"/>
                <w:szCs w:val="20"/>
                <w:color w:val="auto"/>
              </w:rPr>
            </w:pPr>
            <w:r>
              <w:rPr>
                <w:rFonts w:ascii="Calibri" w:cs="Calibri" w:eastAsia="Calibri" w:hAnsi="Calibri"/>
                <w:sz w:val="18"/>
                <w:szCs w:val="18"/>
                <w:color w:val="auto"/>
              </w:rPr>
              <w:t>Basic</w:t>
            </w:r>
          </w:p>
        </w:tc>
        <w:tc>
          <w:tcPr>
            <w:tcW w:w="860" w:type="dxa"/>
            <w:vAlign w:val="bottom"/>
          </w:tcPr>
          <w:p>
            <w:pPr>
              <w:jc w:val="right"/>
              <w:ind w:right="674"/>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7.79</w:t>
            </w:r>
          </w:p>
        </w:tc>
        <w:tc>
          <w:tcPr>
            <w:tcW w:w="80" w:type="dxa"/>
            <w:vAlign w:val="bottom"/>
          </w:tcPr>
          <w:p>
            <w:pPr>
              <w:spacing w:after="0"/>
              <w:rPr>
                <w:sz w:val="18"/>
                <w:szCs w:val="18"/>
                <w:color w:val="auto"/>
              </w:rPr>
            </w:pPr>
          </w:p>
        </w:tc>
        <w:tc>
          <w:tcPr>
            <w:tcW w:w="5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3.65</w:t>
            </w:r>
          </w:p>
        </w:tc>
        <w:tc>
          <w:tcPr>
            <w:tcW w:w="240" w:type="dxa"/>
            <w:vAlign w:val="bottom"/>
          </w:tcPr>
          <w:p>
            <w:pPr>
              <w:spacing w:after="0"/>
              <w:rPr>
                <w:sz w:val="18"/>
                <w:szCs w:val="18"/>
                <w:color w:val="auto"/>
              </w:rPr>
            </w:pP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700" w:type="dxa"/>
            <w:vAlign w:val="bottom"/>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Diluted</w:t>
            </w:r>
          </w:p>
        </w:tc>
        <w:tc>
          <w:tcPr>
            <w:tcW w:w="860" w:type="dxa"/>
            <w:vAlign w:val="bottom"/>
            <w:shd w:val="clear" w:color="auto" w:fill="CFF0FC"/>
          </w:tcPr>
          <w:p>
            <w:pPr>
              <w:jc w:val="right"/>
              <w:ind w:right="674"/>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7.73</w:t>
            </w:r>
          </w:p>
        </w:tc>
        <w:tc>
          <w:tcPr>
            <w:tcW w:w="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3.62</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0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-2476500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-1259205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-1242695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-1259205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-1242695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The accompanying notes are an integral part of these consolidated fnancial statements.</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1" w:name="page42"/>
    <w:bookmarkEnd w:id="41"/>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COMPREHENSIVE INCOME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right"/>
              <w:ind w:right="30"/>
              <w:spacing w:after="0"/>
              <w:rPr>
                <w:sz w:val="20"/>
                <w:szCs w:val="20"/>
                <w:color w:val="auto"/>
              </w:rPr>
            </w:pPr>
            <w:r>
              <w:rPr>
                <w:rFonts w:ascii="Calibri" w:cs="Calibri" w:eastAsia="Calibri" w:hAnsi="Calibri"/>
                <w:sz w:val="14"/>
                <w:szCs w:val="14"/>
                <w:b w:val="1"/>
                <w:bCs w:val="1"/>
                <w:color w:val="auto"/>
              </w:rPr>
              <w:t>Years Ended September 30</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700" w:type="dxa"/>
            <w:vAlign w:val="bottom"/>
          </w:tcPr>
          <w:p>
            <w:pPr>
              <w:spacing w:after="0"/>
              <w:rPr>
                <w:sz w:val="14"/>
                <w:szCs w:val="14"/>
                <w:color w:val="auto"/>
              </w:rPr>
            </w:pPr>
          </w:p>
        </w:tc>
        <w:tc>
          <w:tcPr>
            <w:tcW w:w="920" w:type="dxa"/>
            <w:vAlign w:val="bottom"/>
          </w:tcPr>
          <w:p>
            <w:pPr>
              <w:jc w:val="right"/>
              <w:ind w:right="36"/>
              <w:spacing w:after="0" w:line="164" w:lineRule="exact"/>
              <w:rPr>
                <w:sz w:val="20"/>
                <w:szCs w:val="20"/>
                <w:color w:val="auto"/>
              </w:rPr>
            </w:pPr>
            <w:r>
              <w:rPr>
                <w:rFonts w:ascii="Calibri" w:cs="Calibri" w:eastAsia="Calibri" w:hAnsi="Calibri"/>
                <w:sz w:val="14"/>
                <w:szCs w:val="14"/>
                <w:b w:val="1"/>
                <w:bCs w:val="1"/>
                <w:color w:val="auto"/>
              </w:rPr>
              <w:t>2023</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413"/>
              <w:spacing w:after="0" w:line="164" w:lineRule="exact"/>
              <w:rPr>
                <w:sz w:val="20"/>
                <w:szCs w:val="20"/>
                <w:color w:val="auto"/>
              </w:rPr>
            </w:pPr>
            <w:r>
              <w:rPr>
                <w:rFonts w:ascii="Calibri" w:cs="Calibri" w:eastAsia="Calibri" w:hAnsi="Calibri"/>
                <w:sz w:val="14"/>
                <w:szCs w:val="14"/>
                <w:b w:val="1"/>
                <w:bCs w:val="1"/>
                <w:color w:val="auto"/>
              </w:rPr>
              <w:t>2022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12"/>
              <w:spacing w:after="0" w:line="164" w:lineRule="exact"/>
              <w:rPr>
                <w:sz w:val="20"/>
                <w:szCs w:val="20"/>
                <w:color w:val="auto"/>
              </w:rPr>
            </w:pPr>
            <w:r>
              <w:rPr>
                <w:rFonts w:ascii="Calibri" w:cs="Calibri" w:eastAsia="Calibri" w:hAnsi="Calibri"/>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233"/>
              <w:spacing w:after="0" w:line="164" w:lineRule="exact"/>
              <w:rPr>
                <w:sz w:val="20"/>
                <w:szCs w:val="20"/>
                <w:color w:val="auto"/>
              </w:rPr>
            </w:pPr>
            <w:r>
              <w:rPr>
                <w:rFonts w:ascii="Calibri" w:cs="Calibri" w:eastAsia="Calibri" w:hAnsi="Calibri"/>
                <w:sz w:val="14"/>
                <w:szCs w:val="14"/>
                <w:b w:val="1"/>
                <w:bCs w:val="1"/>
                <w:color w:val="auto"/>
              </w:rPr>
              <w:t>(In millions)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920" w:type="dxa"/>
            <w:vAlign w:val="bottom"/>
            <w:tcBorders>
              <w:bottom w:val="single" w:sz="8" w:color="CFF0FC"/>
            </w:tcBorders>
            <w:shd w:val="clear" w:color="auto" w:fill="CFF0FC"/>
          </w:tcPr>
          <w:p>
            <w:pPr>
              <w:jc w:val="right"/>
              <w:ind w:right="736"/>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484</w:t>
            </w: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243</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net of tax</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Foreign currency translaton adjustment, net of tax</w:t>
            </w:r>
          </w:p>
        </w:tc>
        <w:tc>
          <w:tcPr>
            <w:tcW w:w="9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80</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gridSpan w:val="2"/>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(175 )</w:t>
            </w: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00"/>
              <w:spacing w:after="0" w:line="215" w:lineRule="exact"/>
              <w:rPr>
                <w:sz w:val="20"/>
                <w:szCs w:val="20"/>
                <w:color w:val="auto"/>
              </w:rPr>
            </w:pPr>
            <w:r>
              <w:rPr>
                <w:rFonts w:ascii="Calibri" w:cs="Calibri" w:eastAsia="Calibri" w:hAnsi="Calibri"/>
                <w:sz w:val="18"/>
                <w:szCs w:val="18"/>
                <w:color w:val="auto"/>
              </w:rPr>
              <w:t>Derivatves: net investment hedges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(Gains) losses reclassifed to interest expense, net of tax</w:t>
            </w:r>
          </w:p>
        </w:tc>
        <w:tc>
          <w:tcPr>
            <w:tcW w:w="9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(6 )</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gridSpan w:val="2"/>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(6 )</w:t>
            </w:r>
          </w:p>
        </w:tc>
        <w:tc>
          <w:tcPr>
            <w:tcW w:w="3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(5 )</w:t>
            </w:r>
          </w:p>
        </w:tc>
        <w:tc>
          <w:tcPr>
            <w:tcW w:w="0" w:type="dxa"/>
            <w:vAlign w:val="bottom"/>
          </w:tcPr>
          <w:p>
            <w:pPr>
              <w:spacing w:after="0"/>
              <w:rPr>
                <w:sz w:val="1"/>
                <w:szCs w:val="1"/>
                <w:color w:val="auto"/>
              </w:rPr>
            </w:pPr>
          </w:p>
        </w:tc>
      </w:tr>
      <w:tr>
        <w:trPr>
          <w:trHeight w:val="207"/>
        </w:trPr>
        <w:tc>
          <w:tcPr>
            <w:tcW w:w="6700" w:type="dxa"/>
            <w:vAlign w:val="bottom"/>
          </w:tcPr>
          <w:p>
            <w:pPr>
              <w:ind w:left="380"/>
              <w:spacing w:after="0" w:line="207" w:lineRule="exact"/>
              <w:rPr>
                <w:sz w:val="20"/>
                <w:szCs w:val="20"/>
                <w:color w:val="auto"/>
              </w:rPr>
            </w:pPr>
            <w:r>
              <w:rPr>
                <w:rFonts w:ascii="Calibri" w:cs="Calibri" w:eastAsia="Calibri" w:hAnsi="Calibri"/>
                <w:sz w:val="18"/>
                <w:szCs w:val="18"/>
                <w:color w:val="auto"/>
              </w:rPr>
              <w:t>(Gains) losses excluded from efectveness testng and amortzed to</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500"/>
              <w:spacing w:after="0" w:line="215" w:lineRule="exact"/>
              <w:rPr>
                <w:sz w:val="20"/>
                <w:szCs w:val="20"/>
                <w:color w:val="auto"/>
              </w:rPr>
            </w:pPr>
            <w:r>
              <w:rPr>
                <w:rFonts w:ascii="Calibri" w:cs="Calibri" w:eastAsia="Calibri" w:hAnsi="Calibri"/>
                <w:sz w:val="18"/>
                <w:szCs w:val="18"/>
                <w:color w:val="auto"/>
              </w:rPr>
              <w:t>interest expense, net of tax</w:t>
            </w:r>
          </w:p>
        </w:tc>
        <w:tc>
          <w:tcPr>
            <w:tcW w:w="92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670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Pension and other postretrement beneft liability adjustments,</w:t>
            </w: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70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net of tax</w:t>
            </w:r>
          </w:p>
        </w:tc>
        <w:tc>
          <w:tcPr>
            <w:tcW w:w="9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0"/>
              <w:spacing w:after="0" w:line="213" w:lineRule="exact"/>
              <w:rPr>
                <w:sz w:val="20"/>
                <w:szCs w:val="20"/>
                <w:color w:val="auto"/>
              </w:rPr>
            </w:pPr>
            <w:r>
              <w:rPr>
                <w:rFonts w:ascii="Calibri" w:cs="Calibri" w:eastAsia="Calibri" w:hAnsi="Calibri"/>
                <w:sz w:val="18"/>
                <w:szCs w:val="18"/>
                <w:color w:val="auto"/>
              </w:rPr>
              <w:t>Other comprehensive income (loss), net of tax of $1, $3 and $8</w:t>
            </w:r>
          </w:p>
        </w:tc>
        <w:tc>
          <w:tcPr>
            <w:tcW w:w="9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(165</w:t>
            </w:r>
          </w:p>
        </w:tc>
        <w:tc>
          <w:tcPr>
            <w:tcW w:w="240" w:type="dxa"/>
            <w:vAlign w:val="bottom"/>
          </w:tcPr>
          <w:p>
            <w:pPr>
              <w:jc w:val="right"/>
              <w:ind w:right="90"/>
              <w:spacing w:after="0" w:line="199" w:lineRule="exact"/>
              <w:rPr>
                <w:sz w:val="20"/>
                <w:szCs w:val="20"/>
                <w:color w:val="auto"/>
              </w:rPr>
            </w:pPr>
            <w:r>
              <w:rPr>
                <w:rFonts w:ascii="Calibri" w:cs="Calibri" w:eastAsia="Calibri" w:hAnsi="Calibri"/>
                <w:sz w:val="18"/>
                <w:szCs w:val="18"/>
                <w:color w:val="auto"/>
                <w:w w:val="72"/>
              </w:rPr>
              <w:t>)</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Comprehensive income (loss)</w:t>
            </w:r>
          </w:p>
        </w:tc>
        <w:tc>
          <w:tcPr>
            <w:tcW w:w="9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561</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78</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00"/>
              <w:spacing w:after="0" w:line="215" w:lineRule="exact"/>
              <w:rPr>
                <w:sz w:val="20"/>
                <w:szCs w:val="20"/>
                <w:color w:val="auto"/>
              </w:rPr>
            </w:pPr>
            <w:r>
              <w:rPr>
                <w:rFonts w:ascii="Calibri" w:cs="Calibri" w:eastAsia="Calibri" w:hAnsi="Calibri"/>
                <w:sz w:val="18"/>
                <w:szCs w:val="18"/>
                <w:color w:val="auto"/>
              </w:rPr>
              <w:t>Net income (loss) atributable to noncontrolling interests, net of tax</w:t>
            </w:r>
          </w:p>
        </w:tc>
        <w:tc>
          <w:tcPr>
            <w:tcW w:w="92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70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rPr>
              <w:t>Foreign currency translaton adjustment atributable to noncontrolling</w:t>
            </w:r>
          </w:p>
        </w:tc>
        <w:tc>
          <w:tcPr>
            <w:tcW w:w="920" w:type="dxa"/>
            <w:vAlign w:val="bottom"/>
            <w:shd w:val="clear" w:color="auto" w:fill="CFF0FC"/>
          </w:tcPr>
          <w:p>
            <w:pPr>
              <w:spacing w:after="0"/>
              <w:rPr>
                <w:sz w:val="18"/>
                <w:szCs w:val="18"/>
                <w:color w:val="auto"/>
              </w:rPr>
            </w:pPr>
          </w:p>
        </w:tc>
        <w:tc>
          <w:tcPr>
            <w:tcW w:w="480" w:type="dxa"/>
            <w:vAlign w:val="bottom"/>
            <w:gridSpan w:val="2"/>
            <w:vMerge w:val="restart"/>
            <w:shd w:val="clear" w:color="auto" w:fill="CFF0FC"/>
          </w:tcPr>
          <w:p>
            <w:pPr>
              <w:jc w:val="right"/>
              <w:ind w:right="100"/>
              <w:spacing w:after="0"/>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vMerge w:val="restart"/>
            <w:shd w:val="clear" w:color="auto" w:fill="CFF0FC"/>
          </w:tcPr>
          <w:p>
            <w:pPr>
              <w:jc w:val="right"/>
              <w:ind w:right="90"/>
              <w:spacing w:after="0"/>
              <w:rPr>
                <w:sz w:val="20"/>
                <w:szCs w:val="20"/>
                <w:color w:val="auto"/>
              </w:rPr>
            </w:pPr>
            <w:r>
              <w:rPr>
                <w:rFonts w:ascii="Calibri" w:cs="Calibri" w:eastAsia="Calibri" w:hAnsi="Calibri"/>
                <w:sz w:val="18"/>
                <w:szCs w:val="18"/>
                <w:color w:val="auto"/>
              </w:rPr>
              <w:t>(15 )</w:t>
            </w:r>
          </w:p>
        </w:tc>
        <w:tc>
          <w:tcPr>
            <w:tcW w:w="30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0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interests, net of tax</w:t>
            </w:r>
          </w:p>
        </w:tc>
        <w:tc>
          <w:tcPr>
            <w:tcW w:w="9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gridSpan w:val="2"/>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gridSpan w:val="2"/>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700" w:type="dxa"/>
            <w:vAlign w:val="bottom"/>
            <w:tcBorders>
              <w:top w:val="single" w:sz="8" w:color="CFF0FC"/>
            </w:tcBorders>
          </w:tcPr>
          <w:p>
            <w:pPr>
              <w:ind w:left="20"/>
              <w:spacing w:after="0" w:line="213" w:lineRule="exact"/>
              <w:rPr>
                <w:sz w:val="20"/>
                <w:szCs w:val="20"/>
                <w:color w:val="auto"/>
              </w:rPr>
            </w:pPr>
            <w:r>
              <w:rPr>
                <w:rFonts w:ascii="Calibri" w:cs="Calibri" w:eastAsia="Calibri" w:hAnsi="Calibri"/>
                <w:sz w:val="18"/>
                <w:szCs w:val="18"/>
                <w:color w:val="auto"/>
              </w:rPr>
              <w:t>Comprehensive income (loss) atributable to noncontrolling interests</w:t>
            </w:r>
          </w:p>
        </w:tc>
        <w:tc>
          <w:tcPr>
            <w:tcW w:w="9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39</w:t>
            </w: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19</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43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7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Comprehensive income (loss) atributable to Cabot Corporaton</w:t>
            </w:r>
          </w:p>
        </w:tc>
        <w:tc>
          <w:tcPr>
            <w:tcW w:w="920" w:type="dxa"/>
            <w:vAlign w:val="bottom"/>
            <w:tcBorders>
              <w:bottom w:val="single" w:sz="8" w:color="auto"/>
            </w:tcBorders>
            <w:shd w:val="clear" w:color="auto" w:fill="CFF0FC"/>
          </w:tcPr>
          <w:p>
            <w:pPr>
              <w:jc w:val="right"/>
              <w:ind w:right="736"/>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522</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59</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5075555</wp:posOffset>
            </wp:positionH>
            <wp:positionV relativeFrom="paragraph">
              <wp:posOffset>-1126490</wp:posOffset>
            </wp:positionV>
            <wp:extent cx="102235" cy="1968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-1126490</wp:posOffset>
            </wp:positionV>
            <wp:extent cx="93980" cy="1968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-1126490</wp:posOffset>
            </wp:positionV>
            <wp:extent cx="93980" cy="1968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-350520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-350520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The accompanying notes are an integral part of these consolidated fnancial statements.</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2" w:name="page43"/>
    <w:bookmarkEnd w:id="42"/>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ASSETS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20" w:type="dxa"/>
            <w:vAlign w:val="bottom"/>
            <w:gridSpan w:val="3"/>
          </w:tcPr>
          <w:p>
            <w:pPr>
              <w:jc w:val="center"/>
              <w:ind w:right="376"/>
              <w:spacing w:after="0"/>
              <w:rPr>
                <w:sz w:val="20"/>
                <w:szCs w:val="20"/>
                <w:color w:val="auto"/>
              </w:rPr>
            </w:pPr>
            <w:r>
              <w:rPr>
                <w:rFonts w:ascii="Calibri" w:cs="Calibri" w:eastAsia="Calibri" w:hAnsi="Calibri"/>
                <w:sz w:val="14"/>
                <w:szCs w:val="14"/>
                <w:b w:val="1"/>
                <w:bCs w:val="1"/>
                <w:color w:val="auto"/>
              </w:rPr>
              <w:t>September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7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7780" w:type="dxa"/>
            <w:vAlign w:val="bottom"/>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7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7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20" w:type="dxa"/>
            <w:vAlign w:val="bottom"/>
            <w:gridSpan w:val="3"/>
          </w:tcPr>
          <w:p>
            <w:pPr>
              <w:jc w:val="center"/>
              <w:ind w:right="376"/>
              <w:spacing w:after="0" w:line="164" w:lineRule="exact"/>
              <w:rPr>
                <w:sz w:val="20"/>
                <w:szCs w:val="20"/>
                <w:color w:val="auto"/>
              </w:rPr>
            </w:pPr>
            <w:r>
              <w:rPr>
                <w:rFonts w:ascii="Calibri" w:cs="Calibri" w:eastAsia="Calibri" w:hAnsi="Calibri"/>
                <w:sz w:val="14"/>
                <w:szCs w:val="14"/>
                <w:b w:val="1"/>
                <w:bCs w:val="1"/>
                <w:color w:val="auto"/>
              </w:rPr>
              <w:t>(In millions, except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80" w:type="dxa"/>
            <w:vAlign w:val="bottom"/>
          </w:tcPr>
          <w:p>
            <w:pPr>
              <w:spacing w:after="0"/>
              <w:rPr>
                <w:sz w:val="15"/>
                <w:szCs w:val="15"/>
                <w:color w:val="auto"/>
              </w:rPr>
            </w:pPr>
          </w:p>
        </w:tc>
        <w:tc>
          <w:tcPr>
            <w:tcW w:w="2820" w:type="dxa"/>
            <w:vAlign w:val="bottom"/>
            <w:gridSpan w:val="4"/>
          </w:tcPr>
          <w:p>
            <w:pPr>
              <w:jc w:val="center"/>
              <w:ind w:left="439"/>
              <w:spacing w:after="0"/>
              <w:rPr>
                <w:sz w:val="20"/>
                <w:szCs w:val="20"/>
                <w:color w:val="auto"/>
              </w:rPr>
            </w:pPr>
            <w:r>
              <w:rPr>
                <w:rFonts w:ascii="Calibri" w:cs="Calibri" w:eastAsia="Calibri" w:hAnsi="Calibri"/>
                <w:sz w:val="14"/>
                <w:szCs w:val="14"/>
                <w:b w:val="1"/>
                <w:bCs w:val="1"/>
                <w:color w:val="auto"/>
              </w:rPr>
              <w:t>share and per share amounts)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10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200"/>
              <w:spacing w:after="0" w:line="215" w:lineRule="exact"/>
              <w:rPr>
                <w:sz w:val="20"/>
                <w:szCs w:val="20"/>
                <w:color w:val="auto"/>
              </w:rPr>
            </w:pPr>
            <w:r>
              <w:rPr>
                <w:rFonts w:ascii="Calibri" w:cs="Calibri" w:eastAsia="Calibri" w:hAnsi="Calibri"/>
                <w:sz w:val="18"/>
                <w:szCs w:val="18"/>
                <w:color w:val="auto"/>
              </w:rPr>
              <w:t>Cash and cash equivalents</w:t>
            </w:r>
          </w:p>
        </w:tc>
        <w:tc>
          <w:tcPr>
            <w:tcW w:w="1000" w:type="dxa"/>
            <w:vAlign w:val="bottom"/>
          </w:tcPr>
          <w:p>
            <w:pPr>
              <w:jc w:val="right"/>
              <w:ind w:right="819"/>
              <w:spacing w:after="0" w:line="215" w:lineRule="exact"/>
              <w:rPr>
                <w:sz w:val="20"/>
                <w:szCs w:val="20"/>
                <w:color w:val="auto"/>
              </w:rPr>
            </w:pPr>
            <w:r>
              <w:rPr>
                <w:rFonts w:ascii="Calibri" w:cs="Calibri" w:eastAsia="Calibri" w:hAnsi="Calibri"/>
                <w:sz w:val="18"/>
                <w:szCs w:val="18"/>
                <w:color w:val="auto"/>
                <w:w w:val="87"/>
              </w:rPr>
              <w:t>$</w:t>
            </w: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238</w:t>
            </w:r>
          </w:p>
        </w:tc>
        <w:tc>
          <w:tcPr>
            <w:tcW w:w="280" w:type="dxa"/>
            <w:vAlign w:val="bottom"/>
          </w:tcPr>
          <w:p>
            <w:pPr>
              <w:spacing w:after="0"/>
              <w:rPr>
                <w:sz w:val="18"/>
                <w:szCs w:val="18"/>
                <w:color w:val="auto"/>
              </w:rPr>
            </w:pPr>
          </w:p>
        </w:tc>
        <w:tc>
          <w:tcPr>
            <w:tcW w:w="1000" w:type="dxa"/>
            <w:vAlign w:val="bottom"/>
          </w:tcPr>
          <w:p>
            <w:pPr>
              <w:jc w:val="right"/>
              <w:ind w:right="796"/>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206</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Accounts and notes receivable, net of reserve for doubtul accounts of $2 and $3</w:t>
            </w:r>
          </w:p>
        </w:tc>
        <w:tc>
          <w:tcPr>
            <w:tcW w:w="10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695</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200"/>
              <w:spacing w:after="0" w:line="215" w:lineRule="exact"/>
              <w:rPr>
                <w:sz w:val="20"/>
                <w:szCs w:val="20"/>
                <w:color w:val="auto"/>
              </w:rPr>
            </w:pPr>
            <w:r>
              <w:rPr>
                <w:rFonts w:ascii="Calibri" w:cs="Calibri" w:eastAsia="Calibri" w:hAnsi="Calibri"/>
                <w:sz w:val="18"/>
                <w:szCs w:val="18"/>
                <w:color w:val="auto"/>
              </w:rPr>
              <w:t>Inventories</w:t>
            </w:r>
          </w:p>
        </w:tc>
        <w:tc>
          <w:tcPr>
            <w:tcW w:w="100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585</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664</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8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8"/>
                <w:szCs w:val="18"/>
                <w:color w:val="auto"/>
              </w:rPr>
              <w:t>Prepaid expenses and other current assets</w:t>
            </w:r>
          </w:p>
        </w:tc>
        <w:tc>
          <w:tcPr>
            <w:tcW w:w="10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108</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7780" w:type="dxa"/>
            <w:vAlign w:val="bottom"/>
            <w:tcBorders>
              <w:top w:val="single" w:sz="8" w:color="CFF0FC"/>
            </w:tcBorders>
          </w:tcPr>
          <w:p>
            <w:pPr>
              <w:ind w:left="380"/>
              <w:spacing w:after="0" w:line="213" w:lineRule="exact"/>
              <w:rPr>
                <w:sz w:val="20"/>
                <w:szCs w:val="20"/>
                <w:color w:val="auto"/>
              </w:rPr>
            </w:pPr>
            <w:r>
              <w:rPr>
                <w:rFonts w:ascii="Calibri" w:cs="Calibri" w:eastAsia="Calibri" w:hAnsi="Calibri"/>
                <w:sz w:val="18"/>
                <w:szCs w:val="18"/>
                <w:color w:val="auto"/>
              </w:rPr>
              <w:t>Total current assets</w:t>
            </w: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1,626</w:t>
            </w:r>
          </w:p>
        </w:tc>
        <w:tc>
          <w:tcPr>
            <w:tcW w:w="28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1,820</w:t>
            </w:r>
          </w:p>
        </w:tc>
        <w:tc>
          <w:tcPr>
            <w:tcW w:w="100" w:type="dxa"/>
            <w:vAlign w:val="bottom"/>
            <w:tcBorders>
              <w:top w:val="single" w:sz="8" w:color="CFF0FC"/>
            </w:tcBorders>
          </w:tcPr>
          <w:p>
            <w:pPr>
              <w:spacing w:after="0"/>
              <w:rPr>
                <w:sz w:val="18"/>
                <w:szCs w:val="18"/>
                <w:color w:val="auto"/>
              </w:rPr>
            </w:pPr>
          </w:p>
        </w:tc>
      </w:tr>
      <w:tr>
        <w:trPr>
          <w:trHeight w:val="23"/>
        </w:trPr>
        <w:tc>
          <w:tcPr>
            <w:tcW w:w="7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7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Property, plant and equipment</w:t>
            </w:r>
          </w:p>
        </w:tc>
        <w:tc>
          <w:tcPr>
            <w:tcW w:w="10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3,827</w:t>
            </w:r>
          </w:p>
        </w:tc>
        <w:tc>
          <w:tcPr>
            <w:tcW w:w="2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3,554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0"/>
        </w:trPr>
        <w:tc>
          <w:tcPr>
            <w:tcW w:w="7780" w:type="dxa"/>
            <w:vAlign w:val="bottom"/>
          </w:tcPr>
          <w:p>
            <w:pPr>
              <w:ind w:left="20"/>
              <w:spacing w:after="0"/>
              <w:rPr>
                <w:sz w:val="20"/>
                <w:szCs w:val="20"/>
                <w:color w:val="auto"/>
              </w:rPr>
            </w:pPr>
            <w:r>
              <w:rPr>
                <w:rFonts w:ascii="Calibri" w:cs="Calibri" w:eastAsia="Calibri" w:hAnsi="Calibri"/>
                <w:sz w:val="18"/>
                <w:szCs w:val="18"/>
                <w:color w:val="auto"/>
              </w:rPr>
              <w:t>Accumulated depreciaton</w:t>
            </w:r>
          </w:p>
        </w:tc>
        <w:tc>
          <w:tcPr>
            <w:tcW w:w="1000" w:type="dxa"/>
            <w:vAlign w:val="bottom"/>
          </w:tcPr>
          <w:p>
            <w:pPr>
              <w:spacing w:after="0"/>
              <w:rPr>
                <w:sz w:val="19"/>
                <w:szCs w:val="19"/>
                <w:color w:val="auto"/>
              </w:rPr>
            </w:pPr>
          </w:p>
        </w:tc>
        <w:tc>
          <w:tcPr>
            <w:tcW w:w="8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(2,415 )</w:t>
            </w:r>
          </w:p>
        </w:tc>
        <w:tc>
          <w:tcPr>
            <w:tcW w:w="1000" w:type="dxa"/>
            <w:vAlign w:val="bottom"/>
          </w:tcPr>
          <w:p>
            <w:pPr>
              <w:spacing w:after="0"/>
              <w:rPr>
                <w:sz w:val="19"/>
                <w:szCs w:val="19"/>
                <w:color w:val="auto"/>
              </w:rPr>
            </w:pPr>
          </w:p>
        </w:tc>
        <w:tc>
          <w:tcPr>
            <w:tcW w:w="6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(2,284 )</w:t>
            </w:r>
          </w:p>
        </w:tc>
      </w:tr>
      <w:tr>
        <w:trPr>
          <w:trHeight w:val="23"/>
        </w:trPr>
        <w:tc>
          <w:tcPr>
            <w:tcW w:w="7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7780" w:type="dxa"/>
            <w:vAlign w:val="bottom"/>
            <w:tcBorders>
              <w:bottom w:val="single" w:sz="8" w:color="CFF0FC"/>
            </w:tcBorders>
            <w:shd w:val="clear" w:color="auto" w:fill="CFF0FC"/>
          </w:tcPr>
          <w:p>
            <w:pPr>
              <w:ind w:left="380"/>
              <w:spacing w:after="0" w:line="213" w:lineRule="exact"/>
              <w:rPr>
                <w:sz w:val="20"/>
                <w:szCs w:val="20"/>
                <w:color w:val="auto"/>
              </w:rPr>
            </w:pPr>
            <w:r>
              <w:rPr>
                <w:rFonts w:ascii="Calibri" w:cs="Calibri" w:eastAsia="Calibri" w:hAnsi="Calibri"/>
                <w:sz w:val="18"/>
                <w:szCs w:val="18"/>
                <w:color w:val="auto"/>
              </w:rPr>
              <w:t>Net property, plant and equipment</w:t>
            </w:r>
          </w:p>
        </w:tc>
        <w:tc>
          <w:tcPr>
            <w:tcW w:w="10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1,412</w:t>
            </w:r>
          </w:p>
        </w:tc>
        <w:tc>
          <w:tcPr>
            <w:tcW w:w="2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1,270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8"/>
        </w:trPr>
        <w:tc>
          <w:tcPr>
            <w:tcW w:w="778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Goodwill</w:t>
            </w: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134</w:t>
            </w:r>
          </w:p>
        </w:tc>
        <w:tc>
          <w:tcPr>
            <w:tcW w:w="28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129</w:t>
            </w:r>
          </w:p>
        </w:tc>
        <w:tc>
          <w:tcPr>
            <w:tcW w:w="100" w:type="dxa"/>
            <w:vAlign w:val="bottom"/>
            <w:tcBorders>
              <w:top w:val="single" w:sz="8" w:color="CFF0FC"/>
            </w:tcBorders>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Equity afliates</w:t>
            </w:r>
          </w:p>
        </w:tc>
        <w:tc>
          <w:tcPr>
            <w:tcW w:w="10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780" w:type="dxa"/>
            <w:vAlign w:val="bottom"/>
          </w:tcPr>
          <w:p>
            <w:pPr>
              <w:ind w:left="20"/>
              <w:spacing w:after="0" w:line="215" w:lineRule="exact"/>
              <w:rPr>
                <w:sz w:val="20"/>
                <w:szCs w:val="20"/>
                <w:color w:val="auto"/>
              </w:rPr>
            </w:pPr>
            <w:r>
              <w:rPr>
                <w:rFonts w:ascii="Calibri" w:cs="Calibri" w:eastAsia="Calibri" w:hAnsi="Calibri"/>
                <w:sz w:val="18"/>
                <w:szCs w:val="18"/>
                <w:color w:val="auto"/>
              </w:rPr>
              <w:t>Intangible assets, net</w:t>
            </w:r>
          </w:p>
        </w:tc>
        <w:tc>
          <w:tcPr>
            <w:tcW w:w="100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60</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63</w:t>
            </w:r>
          </w:p>
        </w:tc>
        <w:tc>
          <w:tcPr>
            <w:tcW w:w="100" w:type="dxa"/>
            <w:vAlign w:val="bottom"/>
          </w:tcPr>
          <w:p>
            <w:pPr>
              <w:spacing w:after="0"/>
              <w:rPr>
                <w:sz w:val="18"/>
                <w:szCs w:val="18"/>
                <w:color w:val="auto"/>
              </w:rPr>
            </w:pPr>
          </w:p>
        </w:tc>
      </w:tr>
      <w:tr>
        <w:trPr>
          <w:trHeight w:val="28"/>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Deferred income taxes</w:t>
            </w:r>
          </w:p>
        </w:tc>
        <w:tc>
          <w:tcPr>
            <w:tcW w:w="10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180</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780" w:type="dxa"/>
            <w:vAlign w:val="bottom"/>
          </w:tcPr>
          <w:p>
            <w:pPr>
              <w:ind w:left="20"/>
              <w:spacing w:after="0"/>
              <w:rPr>
                <w:sz w:val="20"/>
                <w:szCs w:val="20"/>
                <w:color w:val="auto"/>
              </w:rPr>
            </w:pPr>
            <w:r>
              <w:rPr>
                <w:rFonts w:ascii="Calibri" w:cs="Calibri" w:eastAsia="Calibri" w:hAnsi="Calibri"/>
                <w:sz w:val="18"/>
                <w:szCs w:val="18"/>
                <w:color w:val="auto"/>
              </w:rPr>
              <w:t>Other assets</w:t>
            </w:r>
          </w:p>
        </w:tc>
        <w:tc>
          <w:tcPr>
            <w:tcW w:w="1000" w:type="dxa"/>
            <w:vAlign w:val="bottom"/>
          </w:tcPr>
          <w:p>
            <w:pPr>
              <w:spacing w:after="0"/>
              <w:rPr>
                <w:sz w:val="19"/>
                <w:szCs w:val="19"/>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172</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178</w:t>
            </w:r>
          </w:p>
        </w:tc>
        <w:tc>
          <w:tcPr>
            <w:tcW w:w="100" w:type="dxa"/>
            <w:vAlign w:val="bottom"/>
          </w:tcPr>
          <w:p>
            <w:pPr>
              <w:spacing w:after="0"/>
              <w:rPr>
                <w:sz w:val="19"/>
                <w:szCs w:val="19"/>
                <w:color w:val="auto"/>
              </w:rPr>
            </w:pPr>
          </w:p>
        </w:tc>
      </w:tr>
      <w:tr>
        <w:trPr>
          <w:trHeight w:val="23"/>
        </w:trPr>
        <w:tc>
          <w:tcPr>
            <w:tcW w:w="7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77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Total assets</w:t>
            </w:r>
          </w:p>
        </w:tc>
        <w:tc>
          <w:tcPr>
            <w:tcW w:w="1000" w:type="dxa"/>
            <w:vAlign w:val="bottom"/>
            <w:tcBorders>
              <w:bottom w:val="single" w:sz="8" w:color="auto"/>
            </w:tcBorders>
            <w:shd w:val="clear" w:color="auto" w:fill="CFF0FC"/>
          </w:tcPr>
          <w:p>
            <w:pPr>
              <w:jc w:val="right"/>
              <w:ind w:right="819"/>
              <w:spacing w:after="0" w:line="215" w:lineRule="exact"/>
              <w:rPr>
                <w:sz w:val="20"/>
                <w:szCs w:val="20"/>
                <w:color w:val="auto"/>
              </w:rPr>
            </w:pPr>
            <w:r>
              <w:rPr>
                <w:rFonts w:ascii="Calibri" w:cs="Calibri" w:eastAsia="Calibri" w:hAnsi="Calibri"/>
                <w:sz w:val="18"/>
                <w:szCs w:val="18"/>
                <w:color w:val="auto"/>
                <w:w w:val="87"/>
              </w:rPr>
              <w:t>$</w:t>
            </w:r>
          </w:p>
        </w:tc>
        <w:tc>
          <w:tcPr>
            <w:tcW w:w="5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3,604</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796"/>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3,525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-1610995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-968375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-968375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The accompanying notes are an integral part of these consolidated fnancial statements.</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3" w:name="page44"/>
    <w:bookmarkEnd w:id="43"/>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LIABILITIES AND STOCKHOLDERS’ EQUITY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20" w:type="dxa"/>
            <w:vAlign w:val="bottom"/>
            <w:gridSpan w:val="3"/>
          </w:tcPr>
          <w:p>
            <w:pPr>
              <w:jc w:val="center"/>
              <w:ind w:right="416"/>
              <w:spacing w:after="0"/>
              <w:rPr>
                <w:sz w:val="20"/>
                <w:szCs w:val="20"/>
                <w:color w:val="auto"/>
              </w:rPr>
            </w:pPr>
            <w:r>
              <w:rPr>
                <w:rFonts w:ascii="Calibri" w:cs="Calibri" w:eastAsia="Calibri" w:hAnsi="Calibri"/>
                <w:sz w:val="14"/>
                <w:szCs w:val="14"/>
                <w:b w:val="1"/>
                <w:bCs w:val="1"/>
                <w:color w:val="auto"/>
              </w:rPr>
              <w:t>September 30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7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7800" w:type="dxa"/>
            <w:vAlign w:val="bottom"/>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6"/>
              <w:spacing w:after="0" w:line="164" w:lineRule="exact"/>
              <w:rPr>
                <w:sz w:val="20"/>
                <w:szCs w:val="20"/>
                <w:color w:val="auto"/>
              </w:rPr>
            </w:pPr>
            <w:r>
              <w:rPr>
                <w:rFonts w:ascii="Calibri" w:cs="Calibri" w:eastAsia="Calibri" w:hAnsi="Calibri"/>
                <w:sz w:val="14"/>
                <w:szCs w:val="14"/>
                <w:b w:val="1"/>
                <w:bCs w:val="1"/>
                <w:color w:val="auto"/>
              </w:rPr>
              <w:t>2022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7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7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20" w:type="dxa"/>
            <w:vAlign w:val="bottom"/>
            <w:gridSpan w:val="3"/>
          </w:tcPr>
          <w:p>
            <w:pPr>
              <w:jc w:val="center"/>
              <w:ind w:right="416"/>
              <w:spacing w:after="0" w:line="164" w:lineRule="exact"/>
              <w:rPr>
                <w:sz w:val="20"/>
                <w:szCs w:val="20"/>
                <w:color w:val="auto"/>
              </w:rPr>
            </w:pPr>
            <w:r>
              <w:rPr>
                <w:rFonts w:ascii="Calibri" w:cs="Calibri" w:eastAsia="Calibri" w:hAnsi="Calibri"/>
                <w:sz w:val="14"/>
                <w:szCs w:val="14"/>
                <w:b w:val="1"/>
                <w:bCs w:val="1"/>
                <w:color w:val="auto"/>
              </w:rPr>
              <w:t>(In millions, except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800" w:type="dxa"/>
            <w:vAlign w:val="bottom"/>
          </w:tcPr>
          <w:p>
            <w:pPr>
              <w:spacing w:after="0"/>
              <w:rPr>
                <w:sz w:val="15"/>
                <w:szCs w:val="15"/>
                <w:color w:val="auto"/>
              </w:rPr>
            </w:pPr>
          </w:p>
        </w:tc>
        <w:tc>
          <w:tcPr>
            <w:tcW w:w="2820" w:type="dxa"/>
            <w:vAlign w:val="bottom"/>
            <w:gridSpan w:val="4"/>
          </w:tcPr>
          <w:p>
            <w:pPr>
              <w:jc w:val="center"/>
              <w:ind w:left="439"/>
              <w:spacing w:after="0"/>
              <w:rPr>
                <w:sz w:val="20"/>
                <w:szCs w:val="20"/>
                <w:color w:val="auto"/>
              </w:rPr>
            </w:pPr>
            <w:r>
              <w:rPr>
                <w:rFonts w:ascii="Calibri" w:cs="Calibri" w:eastAsia="Calibri" w:hAnsi="Calibri"/>
                <w:sz w:val="14"/>
                <w:szCs w:val="14"/>
                <w:b w:val="1"/>
                <w:bCs w:val="1"/>
                <w:color w:val="auto"/>
              </w:rPr>
              <w:t>share and per share amounts)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7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8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10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800" w:type="dxa"/>
            <w:vAlign w:val="bottom"/>
          </w:tcPr>
          <w:p>
            <w:pPr>
              <w:ind w:left="200"/>
              <w:spacing w:after="0" w:line="215" w:lineRule="exact"/>
              <w:rPr>
                <w:sz w:val="20"/>
                <w:szCs w:val="20"/>
                <w:color w:val="auto"/>
              </w:rPr>
            </w:pPr>
            <w:r>
              <w:rPr>
                <w:rFonts w:ascii="Calibri" w:cs="Calibri" w:eastAsia="Calibri" w:hAnsi="Calibri"/>
                <w:sz w:val="18"/>
                <w:szCs w:val="18"/>
                <w:color w:val="auto"/>
              </w:rPr>
              <w:t>Short-term borrowings</w:t>
            </w:r>
          </w:p>
        </w:tc>
        <w:tc>
          <w:tcPr>
            <w:tcW w:w="1000" w:type="dxa"/>
            <w:vAlign w:val="bottom"/>
          </w:tcPr>
          <w:p>
            <w:pPr>
              <w:jc w:val="right"/>
              <w:ind w:right="819"/>
              <w:spacing w:after="0" w:line="215" w:lineRule="exact"/>
              <w:rPr>
                <w:sz w:val="20"/>
                <w:szCs w:val="20"/>
                <w:color w:val="auto"/>
              </w:rPr>
            </w:pPr>
            <w:r>
              <w:rPr>
                <w:rFonts w:ascii="Calibri" w:cs="Calibri" w:eastAsia="Calibri" w:hAnsi="Calibri"/>
                <w:sz w:val="18"/>
                <w:szCs w:val="18"/>
                <w:color w:val="auto"/>
                <w:w w:val="87"/>
              </w:rPr>
              <w:t>$</w:t>
            </w: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174</w:t>
            </w:r>
          </w:p>
        </w:tc>
        <w:tc>
          <w:tcPr>
            <w:tcW w:w="280" w:type="dxa"/>
            <w:vAlign w:val="bottom"/>
          </w:tcPr>
          <w:p>
            <w:pPr>
              <w:spacing w:after="0"/>
              <w:rPr>
                <w:sz w:val="18"/>
                <w:szCs w:val="18"/>
                <w:color w:val="auto"/>
              </w:rPr>
            </w:pPr>
          </w:p>
        </w:tc>
        <w:tc>
          <w:tcPr>
            <w:tcW w:w="1000" w:type="dxa"/>
            <w:vAlign w:val="bottom"/>
          </w:tcPr>
          <w:p>
            <w:pPr>
              <w:jc w:val="right"/>
              <w:ind w:right="816"/>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347</w:t>
            </w:r>
          </w:p>
        </w:tc>
        <w:tc>
          <w:tcPr>
            <w:tcW w:w="100" w:type="dxa"/>
            <w:vAlign w:val="bottom"/>
          </w:tcPr>
          <w:p>
            <w:pPr>
              <w:spacing w:after="0"/>
              <w:rPr>
                <w:sz w:val="18"/>
                <w:szCs w:val="18"/>
                <w:color w:val="auto"/>
              </w:rPr>
            </w:pPr>
          </w:p>
        </w:tc>
      </w:tr>
      <w:tr>
        <w:trPr>
          <w:trHeight w:val="28"/>
        </w:trPr>
        <w:tc>
          <w:tcPr>
            <w:tcW w:w="7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8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Accounts payable and accrued liabilites</w:t>
            </w:r>
          </w:p>
        </w:tc>
        <w:tc>
          <w:tcPr>
            <w:tcW w:w="10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600</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707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800" w:type="dxa"/>
            <w:vAlign w:val="bottom"/>
          </w:tcPr>
          <w:p>
            <w:pPr>
              <w:ind w:left="200"/>
              <w:spacing w:after="0" w:line="215" w:lineRule="exact"/>
              <w:rPr>
                <w:sz w:val="20"/>
                <w:szCs w:val="20"/>
                <w:color w:val="auto"/>
              </w:rPr>
            </w:pPr>
            <w:r>
              <w:rPr>
                <w:rFonts w:ascii="Calibri" w:cs="Calibri" w:eastAsia="Calibri" w:hAnsi="Calibri"/>
                <w:sz w:val="18"/>
                <w:szCs w:val="18"/>
                <w:color w:val="auto"/>
              </w:rPr>
              <w:t>Income taxes payable</w:t>
            </w:r>
          </w:p>
        </w:tc>
        <w:tc>
          <w:tcPr>
            <w:tcW w:w="100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40</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44</w:t>
            </w:r>
          </w:p>
        </w:tc>
        <w:tc>
          <w:tcPr>
            <w:tcW w:w="100" w:type="dxa"/>
            <w:vAlign w:val="bottom"/>
          </w:tcPr>
          <w:p>
            <w:pPr>
              <w:spacing w:after="0"/>
              <w:rPr>
                <w:sz w:val="18"/>
                <w:szCs w:val="18"/>
                <w:color w:val="auto"/>
              </w:rPr>
            </w:pPr>
          </w:p>
        </w:tc>
      </w:tr>
      <w:tr>
        <w:trPr>
          <w:trHeight w:val="28"/>
        </w:trPr>
        <w:tc>
          <w:tcPr>
            <w:tcW w:w="7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80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8"/>
                <w:szCs w:val="18"/>
                <w:color w:val="auto"/>
              </w:rPr>
              <w:t>Current porton of long-term debt</w:t>
            </w:r>
          </w:p>
        </w:tc>
        <w:tc>
          <w:tcPr>
            <w:tcW w:w="10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7800" w:type="dxa"/>
            <w:vAlign w:val="bottom"/>
            <w:tcBorders>
              <w:top w:val="single" w:sz="8" w:color="CFF0FC"/>
            </w:tcBorders>
          </w:tcPr>
          <w:p>
            <w:pPr>
              <w:ind w:left="560"/>
              <w:spacing w:after="0" w:line="213" w:lineRule="exact"/>
              <w:rPr>
                <w:sz w:val="20"/>
                <w:szCs w:val="20"/>
                <w:color w:val="auto"/>
              </w:rPr>
            </w:pPr>
            <w:r>
              <w:rPr>
                <w:rFonts w:ascii="Calibri" w:cs="Calibri" w:eastAsia="Calibri" w:hAnsi="Calibri"/>
                <w:sz w:val="18"/>
                <w:szCs w:val="18"/>
                <w:color w:val="auto"/>
              </w:rPr>
              <w:t>Total current liabilites</w:t>
            </w: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822</w:t>
            </w:r>
          </w:p>
        </w:tc>
        <w:tc>
          <w:tcPr>
            <w:tcW w:w="28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1,105</w:t>
            </w:r>
          </w:p>
        </w:tc>
        <w:tc>
          <w:tcPr>
            <w:tcW w:w="100" w:type="dxa"/>
            <w:vAlign w:val="bottom"/>
            <w:tcBorders>
              <w:top w:val="single" w:sz="8" w:color="CFF0FC"/>
            </w:tcBorders>
          </w:tcPr>
          <w:p>
            <w:pPr>
              <w:spacing w:after="0"/>
              <w:rPr>
                <w:sz w:val="18"/>
                <w:szCs w:val="18"/>
                <w:color w:val="auto"/>
              </w:rPr>
            </w:pPr>
          </w:p>
        </w:tc>
      </w:tr>
      <w:tr>
        <w:trPr>
          <w:trHeight w:val="23"/>
        </w:trPr>
        <w:tc>
          <w:tcPr>
            <w:tcW w:w="7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80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Long-term debt</w:t>
            </w:r>
          </w:p>
        </w:tc>
        <w:tc>
          <w:tcPr>
            <w:tcW w:w="10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1,094</w:t>
            </w:r>
          </w:p>
        </w:tc>
        <w:tc>
          <w:tcPr>
            <w:tcW w:w="2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800" w:type="dxa"/>
            <w:vAlign w:val="bottom"/>
          </w:tcPr>
          <w:p>
            <w:pPr>
              <w:ind w:left="20"/>
              <w:spacing w:after="0" w:line="215" w:lineRule="exact"/>
              <w:rPr>
                <w:sz w:val="20"/>
                <w:szCs w:val="20"/>
                <w:color w:val="auto"/>
              </w:rPr>
            </w:pPr>
            <w:r>
              <w:rPr>
                <w:rFonts w:ascii="Calibri" w:cs="Calibri" w:eastAsia="Calibri" w:hAnsi="Calibri"/>
                <w:sz w:val="18"/>
                <w:szCs w:val="18"/>
                <w:color w:val="auto"/>
              </w:rPr>
              <w:t>Deferred income taxes</w:t>
            </w:r>
          </w:p>
        </w:tc>
        <w:tc>
          <w:tcPr>
            <w:tcW w:w="100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65</w:t>
            </w:r>
          </w:p>
        </w:tc>
        <w:tc>
          <w:tcPr>
            <w:tcW w:w="100" w:type="dxa"/>
            <w:vAlign w:val="bottom"/>
          </w:tcPr>
          <w:p>
            <w:pPr>
              <w:spacing w:after="0"/>
              <w:rPr>
                <w:sz w:val="18"/>
                <w:szCs w:val="18"/>
                <w:color w:val="auto"/>
              </w:rPr>
            </w:pPr>
          </w:p>
        </w:tc>
      </w:tr>
      <w:tr>
        <w:trPr>
          <w:trHeight w:val="28"/>
        </w:trPr>
        <w:tc>
          <w:tcPr>
            <w:tcW w:w="7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8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liabilites</w:t>
            </w:r>
          </w:p>
        </w:tc>
        <w:tc>
          <w:tcPr>
            <w:tcW w:w="10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231</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800" w:type="dxa"/>
            <w:vAlign w:val="bottom"/>
          </w:tcPr>
          <w:p>
            <w:pPr>
              <w:ind w:left="20"/>
              <w:spacing w:after="0" w:line="215" w:lineRule="exact"/>
              <w:rPr>
                <w:sz w:val="20"/>
                <w:szCs w:val="20"/>
                <w:color w:val="auto"/>
              </w:rPr>
            </w:pPr>
            <w:r>
              <w:rPr>
                <w:rFonts w:ascii="Calibri" w:cs="Calibri" w:eastAsia="Calibri" w:hAnsi="Calibri"/>
                <w:sz w:val="18"/>
                <w:szCs w:val="18"/>
                <w:color w:val="auto"/>
              </w:rPr>
              <w:t>Commitments and contngencies (Note S)</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8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Stockholders’ equity:</w:t>
            </w:r>
          </w:p>
        </w:tc>
        <w:tc>
          <w:tcPr>
            <w:tcW w:w="10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800" w:type="dxa"/>
            <w:vAlign w:val="bottom"/>
          </w:tcPr>
          <w:p>
            <w:pPr>
              <w:ind w:left="200"/>
              <w:spacing w:after="0" w:line="215" w:lineRule="exact"/>
              <w:rPr>
                <w:sz w:val="20"/>
                <w:szCs w:val="20"/>
                <w:color w:val="auto"/>
              </w:rPr>
            </w:pPr>
            <w:r>
              <w:rPr>
                <w:rFonts w:ascii="Calibri" w:cs="Calibri" w:eastAsia="Calibri" w:hAnsi="Calibri"/>
                <w:sz w:val="18"/>
                <w:szCs w:val="18"/>
                <w:color w:val="auto"/>
              </w:rPr>
              <w:t>Preferred stock:</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80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Authorized: 2,000,000 shares of $1 par value, Issued and Outstanding: None and none</w:t>
            </w:r>
          </w:p>
        </w:tc>
        <w:tc>
          <w:tcPr>
            <w:tcW w:w="10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800" w:type="dxa"/>
            <w:vAlign w:val="bottom"/>
          </w:tcPr>
          <w:p>
            <w:pPr>
              <w:ind w:left="200"/>
              <w:spacing w:after="0" w:line="215" w:lineRule="exact"/>
              <w:rPr>
                <w:sz w:val="20"/>
                <w:szCs w:val="20"/>
                <w:color w:val="auto"/>
              </w:rPr>
            </w:pPr>
            <w:r>
              <w:rPr>
                <w:rFonts w:ascii="Calibri" w:cs="Calibri" w:eastAsia="Calibri" w:hAnsi="Calibri"/>
                <w:sz w:val="18"/>
                <w:szCs w:val="18"/>
                <w:color w:val="auto"/>
              </w:rPr>
              <w:t>Common stock:</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7800" w:type="dxa"/>
            <w:vAlign w:val="bottom"/>
            <w:shd w:val="clear" w:color="auto" w:fill="CFF0FC"/>
          </w:tcPr>
          <w:p>
            <w:pPr>
              <w:ind w:left="380"/>
              <w:spacing w:after="0" w:line="207" w:lineRule="exact"/>
              <w:rPr>
                <w:sz w:val="20"/>
                <w:szCs w:val="20"/>
                <w:color w:val="auto"/>
              </w:rPr>
            </w:pPr>
            <w:r>
              <w:rPr>
                <w:rFonts w:ascii="Calibri" w:cs="Calibri" w:eastAsia="Calibri" w:hAnsi="Calibri"/>
                <w:sz w:val="18"/>
                <w:szCs w:val="18"/>
                <w:color w:val="auto"/>
              </w:rPr>
              <w:t>Authorized: 200,000,000 shares of $1 par value, Issued: 55,379,636 and 56,385,963 shares,</w:t>
            </w: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780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Outstanding: 55,243,804 and 56,248,559 shares</w:t>
            </w:r>
          </w:p>
        </w:tc>
        <w:tc>
          <w:tcPr>
            <w:tcW w:w="10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w:t>
            </w:r>
          </w:p>
        </w:tc>
        <w:tc>
          <w:tcPr>
            <w:tcW w:w="2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7800" w:type="dxa"/>
            <w:vAlign w:val="bottom"/>
          </w:tcPr>
          <w:p>
            <w:pPr>
              <w:ind w:left="380"/>
              <w:spacing w:after="0" w:line="215" w:lineRule="exact"/>
              <w:rPr>
                <w:sz w:val="20"/>
                <w:szCs w:val="20"/>
                <w:color w:val="auto"/>
              </w:rPr>
            </w:pPr>
            <w:r>
              <w:rPr>
                <w:rFonts w:ascii="Calibri" w:cs="Calibri" w:eastAsia="Calibri" w:hAnsi="Calibri"/>
                <w:sz w:val="18"/>
                <w:szCs w:val="18"/>
                <w:color w:val="auto"/>
              </w:rPr>
              <w:t>Less cost of 135,832 and 137,404 shares of common treasury stock</w:t>
            </w:r>
          </w:p>
        </w:tc>
        <w:tc>
          <w:tcPr>
            <w:tcW w:w="1000" w:type="dxa"/>
            <w:vAlign w:val="bottom"/>
          </w:tcPr>
          <w:p>
            <w:pPr>
              <w:spacing w:after="0"/>
              <w:rPr>
                <w:sz w:val="18"/>
                <w:szCs w:val="18"/>
                <w:color w:val="auto"/>
              </w:rPr>
            </w:pPr>
          </w:p>
        </w:tc>
        <w:tc>
          <w:tcPr>
            <w:tcW w:w="8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(3 )</w:t>
            </w:r>
          </w:p>
        </w:tc>
        <w:tc>
          <w:tcPr>
            <w:tcW w:w="1000" w:type="dxa"/>
            <w:vAlign w:val="bottom"/>
          </w:tcPr>
          <w:p>
            <w:pPr>
              <w:spacing w:after="0"/>
              <w:rPr>
                <w:sz w:val="18"/>
                <w:szCs w:val="18"/>
                <w:color w:val="auto"/>
              </w:rPr>
            </w:pPr>
          </w:p>
        </w:tc>
        <w:tc>
          <w:tcPr>
            <w:tcW w:w="6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(4 )</w:t>
            </w:r>
          </w:p>
        </w:tc>
      </w:tr>
      <w:tr>
        <w:trPr>
          <w:trHeight w:val="28"/>
        </w:trPr>
        <w:tc>
          <w:tcPr>
            <w:tcW w:w="7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8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Additonal paid-in capital</w:t>
            </w:r>
          </w:p>
        </w:tc>
        <w:tc>
          <w:tcPr>
            <w:tcW w:w="10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800" w:type="dxa"/>
            <w:vAlign w:val="bottom"/>
          </w:tcPr>
          <w:p>
            <w:pPr>
              <w:ind w:left="200"/>
              <w:spacing w:after="0" w:line="215" w:lineRule="exact"/>
              <w:rPr>
                <w:sz w:val="20"/>
                <w:szCs w:val="20"/>
                <w:color w:val="auto"/>
              </w:rPr>
            </w:pPr>
            <w:r>
              <w:rPr>
                <w:rFonts w:ascii="Calibri" w:cs="Calibri" w:eastAsia="Calibri" w:hAnsi="Calibri"/>
                <w:sz w:val="18"/>
                <w:szCs w:val="18"/>
                <w:color w:val="auto"/>
              </w:rPr>
              <w:t>Retained earnings</w:t>
            </w:r>
          </w:p>
        </w:tc>
        <w:tc>
          <w:tcPr>
            <w:tcW w:w="100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1,574</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1,284</w:t>
            </w:r>
          </w:p>
        </w:tc>
        <w:tc>
          <w:tcPr>
            <w:tcW w:w="100" w:type="dxa"/>
            <w:vAlign w:val="bottom"/>
          </w:tcPr>
          <w:p>
            <w:pPr>
              <w:spacing w:after="0"/>
              <w:rPr>
                <w:sz w:val="18"/>
                <w:szCs w:val="18"/>
                <w:color w:val="auto"/>
              </w:rPr>
            </w:pPr>
          </w:p>
        </w:tc>
      </w:tr>
      <w:tr>
        <w:trPr>
          <w:trHeight w:val="28"/>
        </w:trPr>
        <w:tc>
          <w:tcPr>
            <w:tcW w:w="7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80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8"/>
                <w:szCs w:val="18"/>
                <w:color w:val="auto"/>
              </w:rPr>
              <w:t>Accumulated other comprehensive income (loss)</w:t>
            </w:r>
          </w:p>
        </w:tc>
        <w:tc>
          <w:tcPr>
            <w:tcW w:w="10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(362 )</w:t>
            </w:r>
          </w:p>
        </w:tc>
        <w:tc>
          <w:tcPr>
            <w:tcW w:w="10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(439 )</w:t>
            </w:r>
          </w:p>
        </w:tc>
      </w:tr>
      <w:tr>
        <w:trPr>
          <w:trHeight w:val="208"/>
        </w:trPr>
        <w:tc>
          <w:tcPr>
            <w:tcW w:w="7800" w:type="dxa"/>
            <w:vAlign w:val="bottom"/>
            <w:tcBorders>
              <w:top w:val="single" w:sz="8" w:color="CFF0FC"/>
            </w:tcBorders>
          </w:tcPr>
          <w:p>
            <w:pPr>
              <w:ind w:left="560"/>
              <w:spacing w:after="0" w:line="208" w:lineRule="exact"/>
              <w:rPr>
                <w:sz w:val="20"/>
                <w:szCs w:val="20"/>
                <w:color w:val="auto"/>
              </w:rPr>
            </w:pPr>
            <w:r>
              <w:rPr>
                <w:rFonts w:ascii="Calibri" w:cs="Calibri" w:eastAsia="Calibri" w:hAnsi="Calibri"/>
                <w:sz w:val="18"/>
                <w:szCs w:val="18"/>
                <w:color w:val="auto"/>
              </w:rPr>
              <w:t>Total Cabot Corporaton stockholders’ equity</w:t>
            </w: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1,264</w:t>
            </w:r>
          </w:p>
        </w:tc>
        <w:tc>
          <w:tcPr>
            <w:tcW w:w="28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898</w:t>
            </w:r>
          </w:p>
        </w:tc>
        <w:tc>
          <w:tcPr>
            <w:tcW w:w="100" w:type="dxa"/>
            <w:vAlign w:val="bottom"/>
            <w:tcBorders>
              <w:top w:val="single" w:sz="8" w:color="CFF0FC"/>
            </w:tcBorders>
          </w:tcPr>
          <w:p>
            <w:pPr>
              <w:spacing w:after="0"/>
              <w:rPr>
                <w:sz w:val="18"/>
                <w:szCs w:val="18"/>
                <w:color w:val="auto"/>
              </w:rPr>
            </w:pPr>
          </w:p>
        </w:tc>
      </w:tr>
      <w:tr>
        <w:trPr>
          <w:trHeight w:val="28"/>
        </w:trPr>
        <w:tc>
          <w:tcPr>
            <w:tcW w:w="7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8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Noncontrolling interests</w:t>
            </w:r>
          </w:p>
        </w:tc>
        <w:tc>
          <w:tcPr>
            <w:tcW w:w="10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143</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7800" w:type="dxa"/>
            <w:vAlign w:val="bottom"/>
            <w:tcBorders>
              <w:top w:val="single" w:sz="8" w:color="CFF0FC"/>
            </w:tcBorders>
          </w:tcPr>
          <w:p>
            <w:pPr>
              <w:ind w:left="560"/>
              <w:spacing w:after="0" w:line="213" w:lineRule="exact"/>
              <w:rPr>
                <w:sz w:val="20"/>
                <w:szCs w:val="20"/>
                <w:color w:val="auto"/>
              </w:rPr>
            </w:pPr>
            <w:r>
              <w:rPr>
                <w:rFonts w:ascii="Calibri" w:cs="Calibri" w:eastAsia="Calibri" w:hAnsi="Calibri"/>
                <w:sz w:val="18"/>
                <w:szCs w:val="18"/>
                <w:color w:val="auto"/>
              </w:rPr>
              <w:t>Total stockholders’ equity</w:t>
            </w: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1,407</w:t>
            </w:r>
          </w:p>
        </w:tc>
        <w:tc>
          <w:tcPr>
            <w:tcW w:w="28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1,032</w:t>
            </w:r>
          </w:p>
        </w:tc>
        <w:tc>
          <w:tcPr>
            <w:tcW w:w="100" w:type="dxa"/>
            <w:vAlign w:val="bottom"/>
            <w:tcBorders>
              <w:top w:val="single" w:sz="8" w:color="CFF0FC"/>
            </w:tcBorders>
          </w:tcPr>
          <w:p>
            <w:pPr>
              <w:spacing w:after="0"/>
              <w:rPr>
                <w:sz w:val="18"/>
                <w:szCs w:val="18"/>
                <w:color w:val="auto"/>
              </w:rPr>
            </w:pPr>
          </w:p>
        </w:tc>
      </w:tr>
      <w:tr>
        <w:trPr>
          <w:trHeight w:val="23"/>
        </w:trPr>
        <w:tc>
          <w:tcPr>
            <w:tcW w:w="7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78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Total liabilites and stockholders’ equity</w:t>
            </w:r>
          </w:p>
        </w:tc>
        <w:tc>
          <w:tcPr>
            <w:tcW w:w="1000" w:type="dxa"/>
            <w:vAlign w:val="bottom"/>
            <w:tcBorders>
              <w:bottom w:val="single" w:sz="8" w:color="auto"/>
            </w:tcBorders>
            <w:shd w:val="clear" w:color="auto" w:fill="CFF0FC"/>
          </w:tcPr>
          <w:p>
            <w:pPr>
              <w:jc w:val="right"/>
              <w:ind w:right="819"/>
              <w:spacing w:after="0" w:line="215" w:lineRule="exact"/>
              <w:rPr>
                <w:sz w:val="20"/>
                <w:szCs w:val="20"/>
                <w:color w:val="auto"/>
              </w:rPr>
            </w:pPr>
            <w:r>
              <w:rPr>
                <w:rFonts w:ascii="Calibri" w:cs="Calibri" w:eastAsia="Calibri" w:hAnsi="Calibri"/>
                <w:sz w:val="18"/>
                <w:szCs w:val="18"/>
                <w:color w:val="auto"/>
                <w:w w:val="87"/>
              </w:rPr>
              <w:t>$</w:t>
            </w:r>
          </w:p>
        </w:tc>
        <w:tc>
          <w:tcPr>
            <w:tcW w:w="5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3,604</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6"/>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3,525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-2982595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-668020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-351155</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76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768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The accompanying notes are an integral part of these consolidated fnancial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4" w:name="page45"/>
    <w:bookmarkEnd w:id="44"/>
    <w:p>
      <w:pPr>
        <w:ind w:left="4680"/>
        <w:spacing w:after="0"/>
        <w:rPr>
          <w:sz w:val="20"/>
          <w:szCs w:val="20"/>
          <w:color w:val="auto"/>
        </w:rPr>
      </w:pPr>
      <w:r>
        <w:rPr>
          <w:rFonts w:ascii="Calibri" w:cs="Calibri" w:eastAsia="Calibri" w:hAnsi="Calibri"/>
          <w:sz w:val="16"/>
          <w:szCs w:val="16"/>
          <w:b w:val="1"/>
          <w:bCs w:val="1"/>
          <w:color w:val="auto"/>
        </w:rPr>
        <w:t>CABOT CORPORATION</w:t>
      </w:r>
    </w:p>
    <w:p>
      <w:pPr>
        <w:spacing w:after="0" w:line="7" w:lineRule="exact"/>
        <w:rPr>
          <w:sz w:val="20"/>
          <w:szCs w:val="20"/>
          <w:color w:val="auto"/>
        </w:rPr>
      </w:pPr>
    </w:p>
    <w:p>
      <w:pPr>
        <w:ind w:left="4080"/>
        <w:spacing w:after="0"/>
        <w:rPr>
          <w:sz w:val="20"/>
          <w:szCs w:val="20"/>
          <w:color w:val="auto"/>
        </w:rPr>
      </w:pPr>
      <w:r>
        <w:rPr>
          <w:rFonts w:ascii="Calibri" w:cs="Calibri" w:eastAsia="Calibri" w:hAnsi="Calibri"/>
          <w:sz w:val="16"/>
          <w:szCs w:val="16"/>
          <w:b w:val="1"/>
          <w:bCs w:val="1"/>
          <w:color w:val="auto"/>
        </w:rPr>
        <w:t>CONSOLIDATED STATEMENTS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center"/>
              <w:ind w:right="140"/>
              <w:spacing w:after="0"/>
              <w:rPr>
                <w:sz w:val="20"/>
                <w:szCs w:val="20"/>
                <w:color w:val="auto"/>
              </w:rPr>
            </w:pPr>
            <w:r>
              <w:rPr>
                <w:rFonts w:ascii="Calibri" w:cs="Calibri" w:eastAsia="Calibri" w:hAnsi="Calibri"/>
                <w:sz w:val="13"/>
                <w:szCs w:val="13"/>
                <w:b w:val="1"/>
                <w:bCs w:val="1"/>
                <w:color w:val="auto"/>
              </w:rPr>
              <w:t>Years Ended September 30</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64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Calibri" w:cs="Calibri" w:eastAsia="Calibri" w:hAnsi="Calibri"/>
                <w:sz w:val="13"/>
                <w:szCs w:val="13"/>
                <w:b w:val="1"/>
                <w:bCs w:val="1"/>
                <w:color w:val="auto"/>
              </w:rPr>
              <w:t>2023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33"/>
              <w:spacing w:after="0"/>
              <w:rPr>
                <w:sz w:val="20"/>
                <w:szCs w:val="20"/>
                <w:color w:val="auto"/>
              </w:rPr>
            </w:pPr>
            <w:r>
              <w:rPr>
                <w:rFonts w:ascii="Calibri" w:cs="Calibri" w:eastAsia="Calibri" w:hAnsi="Calibri"/>
                <w:sz w:val="13"/>
                <w:szCs w:val="13"/>
                <w:b w:val="1"/>
                <w:bCs w:val="1"/>
                <w:color w:val="auto"/>
                <w:w w:val="98"/>
              </w:rPr>
              <w:t>2022</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53"/>
              <w:spacing w:after="0"/>
              <w:rPr>
                <w:sz w:val="20"/>
                <w:szCs w:val="20"/>
                <w:color w:val="auto"/>
              </w:rPr>
            </w:pPr>
            <w:r>
              <w:rPr>
                <w:rFonts w:ascii="Calibri" w:cs="Calibri" w:eastAsia="Calibri" w:hAnsi="Calibri"/>
                <w:sz w:val="13"/>
                <w:szCs w:val="13"/>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6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460"/>
              <w:spacing w:after="0"/>
              <w:rPr>
                <w:sz w:val="20"/>
                <w:szCs w:val="20"/>
                <w:color w:val="auto"/>
              </w:rPr>
            </w:pPr>
            <w:r>
              <w:rPr>
                <w:rFonts w:ascii="Calibri" w:cs="Calibri" w:eastAsia="Calibri" w:hAnsi="Calibri"/>
                <w:sz w:val="13"/>
                <w:szCs w:val="13"/>
                <w:b w:val="1"/>
                <w:bCs w:val="1"/>
                <w:color w:val="auto"/>
              </w:rPr>
              <w:t>(In millions)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b w:val="1"/>
                <w:bCs w:val="1"/>
                <w:color w:val="auto"/>
              </w:rPr>
              <w:t>Cash Flows from Operatng Actvites:</w:t>
            </w:r>
          </w:p>
        </w:tc>
        <w:tc>
          <w:tcPr>
            <w:tcW w:w="9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640" w:type="dxa"/>
            <w:vAlign w:val="bottom"/>
          </w:tcPr>
          <w:p>
            <w:pPr>
              <w:ind w:left="160"/>
              <w:spacing w:after="0"/>
              <w:rPr>
                <w:sz w:val="20"/>
                <w:szCs w:val="20"/>
                <w:color w:val="auto"/>
              </w:rPr>
            </w:pPr>
            <w:r>
              <w:rPr>
                <w:rFonts w:ascii="Calibri" w:cs="Calibri" w:eastAsia="Calibri" w:hAnsi="Calibri"/>
                <w:sz w:val="13"/>
                <w:szCs w:val="13"/>
                <w:color w:val="auto"/>
              </w:rPr>
              <w:t>Net income (loss)</w:t>
            </w:r>
          </w:p>
        </w:tc>
        <w:tc>
          <w:tcPr>
            <w:tcW w:w="940" w:type="dxa"/>
            <w:vAlign w:val="bottom"/>
          </w:tcPr>
          <w:p>
            <w:pPr>
              <w:jc w:val="right"/>
              <w:ind w:right="793"/>
              <w:spacing w:after="0"/>
              <w:rPr>
                <w:sz w:val="20"/>
                <w:szCs w:val="20"/>
                <w:color w:val="auto"/>
              </w:rPr>
            </w:pPr>
            <w:r>
              <w:rPr>
                <w:rFonts w:ascii="Calibri" w:cs="Calibri" w:eastAsia="Calibri" w:hAnsi="Calibri"/>
                <w:sz w:val="13"/>
                <w:szCs w:val="13"/>
                <w:color w:val="auto"/>
                <w:w w:val="90"/>
              </w:rPr>
              <w:t>$</w:t>
            </w:r>
          </w:p>
        </w:tc>
        <w:tc>
          <w:tcPr>
            <w:tcW w:w="400" w:type="dxa"/>
            <w:vAlign w:val="bottom"/>
          </w:tcPr>
          <w:p>
            <w:pPr>
              <w:jc w:val="right"/>
              <w:spacing w:after="0"/>
              <w:rPr>
                <w:sz w:val="20"/>
                <w:szCs w:val="20"/>
                <w:color w:val="auto"/>
              </w:rPr>
            </w:pPr>
            <w:r>
              <w:rPr>
                <w:rFonts w:ascii="Calibri" w:cs="Calibri" w:eastAsia="Calibri" w:hAnsi="Calibri"/>
                <w:sz w:val="13"/>
                <w:szCs w:val="13"/>
                <w:color w:val="auto"/>
              </w:rPr>
              <w:t>484</w:t>
            </w:r>
          </w:p>
        </w:tc>
        <w:tc>
          <w:tcPr>
            <w:tcW w:w="100" w:type="dxa"/>
            <w:vAlign w:val="bottom"/>
          </w:tcPr>
          <w:p>
            <w:pPr>
              <w:spacing w:after="0"/>
              <w:rPr>
                <w:sz w:val="14"/>
                <w:szCs w:val="14"/>
                <w:color w:val="auto"/>
              </w:rPr>
            </w:pPr>
          </w:p>
        </w:tc>
        <w:tc>
          <w:tcPr>
            <w:tcW w:w="340" w:type="dxa"/>
            <w:vAlign w:val="bottom"/>
            <w:gridSpan w:val="2"/>
          </w:tcPr>
          <w:p>
            <w:pPr>
              <w:jc w:val="right"/>
              <w:ind w:right="53"/>
              <w:spacing w:after="0"/>
              <w:rPr>
                <w:sz w:val="20"/>
                <w:szCs w:val="20"/>
                <w:color w:val="auto"/>
              </w:rPr>
            </w:pPr>
            <w:r>
              <w:rPr>
                <w:rFonts w:ascii="Calibri" w:cs="Calibri" w:eastAsia="Calibri" w:hAnsi="Calibri"/>
                <w:sz w:val="13"/>
                <w:szCs w:val="13"/>
                <w:color w:val="auto"/>
              </w:rPr>
              <w:t>$</w:t>
            </w:r>
          </w:p>
        </w:tc>
        <w:tc>
          <w:tcPr>
            <w:tcW w:w="1100" w:type="dxa"/>
            <w:vAlign w:val="bottom"/>
          </w:tcPr>
          <w:p>
            <w:pPr>
              <w:jc w:val="right"/>
              <w:spacing w:after="0"/>
              <w:rPr>
                <w:sz w:val="20"/>
                <w:szCs w:val="20"/>
                <w:color w:val="auto"/>
              </w:rPr>
            </w:pPr>
            <w:r>
              <w:rPr>
                <w:rFonts w:ascii="Calibri" w:cs="Calibri" w:eastAsia="Calibri" w:hAnsi="Calibri"/>
                <w:sz w:val="13"/>
                <w:szCs w:val="13"/>
                <w:color w:val="auto"/>
              </w:rPr>
              <w:t>243</w:t>
            </w:r>
          </w:p>
        </w:tc>
        <w:tc>
          <w:tcPr>
            <w:tcW w:w="300" w:type="dxa"/>
            <w:vAlign w:val="bottom"/>
          </w:tcPr>
          <w:p>
            <w:pPr>
              <w:spacing w:after="0"/>
              <w:rPr>
                <w:sz w:val="14"/>
                <w:szCs w:val="14"/>
                <w:color w:val="auto"/>
              </w:rPr>
            </w:pPr>
          </w:p>
        </w:tc>
        <w:tc>
          <w:tcPr>
            <w:tcW w:w="300" w:type="dxa"/>
            <w:vAlign w:val="bottom"/>
          </w:tcPr>
          <w:p>
            <w:pPr>
              <w:jc w:val="right"/>
              <w:ind w:right="153"/>
              <w:spacing w:after="0"/>
              <w:rPr>
                <w:sz w:val="20"/>
                <w:szCs w:val="20"/>
                <w:color w:val="auto"/>
              </w:rPr>
            </w:pPr>
            <w:r>
              <w:rPr>
                <w:rFonts w:ascii="Calibri" w:cs="Calibri" w:eastAsia="Calibri" w:hAnsi="Calibri"/>
                <w:sz w:val="13"/>
                <w:szCs w:val="13"/>
                <w:color w:val="auto"/>
                <w:w w:val="90"/>
              </w:rPr>
              <w:t>$</w:t>
            </w:r>
          </w:p>
        </w:tc>
        <w:tc>
          <w:tcPr>
            <w:tcW w:w="1020" w:type="dxa"/>
            <w:vAlign w:val="bottom"/>
          </w:tcPr>
          <w:p>
            <w:pPr>
              <w:jc w:val="right"/>
              <w:spacing w:after="0"/>
              <w:rPr>
                <w:sz w:val="20"/>
                <w:szCs w:val="20"/>
                <w:color w:val="auto"/>
              </w:rPr>
            </w:pPr>
            <w:r>
              <w:rPr>
                <w:rFonts w:ascii="Calibri" w:cs="Calibri" w:eastAsia="Calibri" w:hAnsi="Calibri"/>
                <w:sz w:val="13"/>
                <w:szCs w:val="13"/>
                <w:color w:val="auto"/>
              </w:rPr>
              <w:t>286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3"/>
                <w:szCs w:val="13"/>
                <w:color w:val="auto"/>
              </w:rPr>
              <w:t>Adjustments to reconcile net income (loss) to cash provided by operatng actvites:</w:t>
            </w:r>
          </w:p>
        </w:tc>
        <w:tc>
          <w:tcPr>
            <w:tcW w:w="9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640" w:type="dxa"/>
            <w:vAlign w:val="bottom"/>
          </w:tcPr>
          <w:p>
            <w:pPr>
              <w:ind w:left="300"/>
              <w:spacing w:after="0"/>
              <w:rPr>
                <w:sz w:val="20"/>
                <w:szCs w:val="20"/>
                <w:color w:val="auto"/>
              </w:rPr>
            </w:pPr>
            <w:r>
              <w:rPr>
                <w:rFonts w:ascii="Calibri" w:cs="Calibri" w:eastAsia="Calibri" w:hAnsi="Calibri"/>
                <w:sz w:val="13"/>
                <w:szCs w:val="13"/>
                <w:color w:val="auto"/>
              </w:rPr>
              <w:t>Depreciaton and amortzaton</w:t>
            </w:r>
          </w:p>
        </w:tc>
        <w:tc>
          <w:tcPr>
            <w:tcW w:w="9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alibri" w:cs="Calibri" w:eastAsia="Calibri" w:hAnsi="Calibri"/>
                <w:sz w:val="13"/>
                <w:szCs w:val="13"/>
                <w:color w:val="auto"/>
              </w:rPr>
              <w:t>144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alibri" w:cs="Calibri" w:eastAsia="Calibri" w:hAnsi="Calibri"/>
                <w:sz w:val="13"/>
                <w:szCs w:val="13"/>
                <w:color w:val="auto"/>
              </w:rPr>
              <w:t>146</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3"/>
                <w:szCs w:val="13"/>
                <w:color w:val="auto"/>
              </w:rPr>
              <w:t>160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64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3"/>
                <w:szCs w:val="13"/>
                <w:color w:val="auto"/>
              </w:rPr>
              <w:t>Loss on sale of a business and asset impairment charge</w:t>
            </w:r>
          </w:p>
        </w:tc>
        <w:tc>
          <w:tcPr>
            <w:tcW w:w="9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3</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207</w:t>
            </w: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67"/>
        </w:trPr>
        <w:tc>
          <w:tcPr>
            <w:tcW w:w="6640" w:type="dxa"/>
            <w:vAlign w:val="bottom"/>
          </w:tcPr>
          <w:p>
            <w:pPr>
              <w:ind w:left="300"/>
              <w:spacing w:after="0"/>
              <w:rPr>
                <w:sz w:val="20"/>
                <w:szCs w:val="20"/>
                <w:color w:val="auto"/>
              </w:rPr>
            </w:pPr>
            <w:r>
              <w:rPr>
                <w:rFonts w:ascii="Calibri" w:cs="Calibri" w:eastAsia="Calibri" w:hAnsi="Calibri"/>
                <w:sz w:val="13"/>
                <w:szCs w:val="13"/>
                <w:color w:val="auto"/>
              </w:rPr>
              <w:t>Gain on bargain purchase of a business</w:t>
            </w:r>
          </w:p>
        </w:tc>
        <w:tc>
          <w:tcPr>
            <w:tcW w:w="94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Calibri" w:cs="Calibri" w:eastAsia="Calibri" w:hAnsi="Calibri"/>
                <w:sz w:val="13"/>
                <w:szCs w:val="13"/>
                <w:color w:val="auto"/>
              </w:rPr>
              <w:t>(24 )</w:t>
            </w:r>
          </w:p>
        </w:tc>
        <w:tc>
          <w:tcPr>
            <w:tcW w:w="3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3"/>
                <w:szCs w:val="13"/>
                <w:color w:val="auto"/>
              </w:rPr>
              <w:t>Gain on sale of land</w:t>
            </w:r>
          </w:p>
        </w:tc>
        <w:tc>
          <w:tcPr>
            <w:tcW w:w="94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3"/>
                <w:szCs w:val="13"/>
                <w:color w:val="auto"/>
              </w:rPr>
              <w:t>(1 )</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3"/>
                <w:szCs w:val="13"/>
                <w:color w:val="auto"/>
              </w:rPr>
              <w:t>(17 )</w:t>
            </w:r>
          </w:p>
        </w:tc>
        <w:tc>
          <w:tcPr>
            <w:tcW w:w="3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67"/>
        </w:trPr>
        <w:tc>
          <w:tcPr>
            <w:tcW w:w="6640" w:type="dxa"/>
            <w:vAlign w:val="bottom"/>
          </w:tcPr>
          <w:p>
            <w:pPr>
              <w:ind w:left="300"/>
              <w:spacing w:after="0"/>
              <w:rPr>
                <w:sz w:val="20"/>
                <w:szCs w:val="20"/>
                <w:color w:val="auto"/>
              </w:rPr>
            </w:pPr>
            <w:r>
              <w:rPr>
                <w:rFonts w:ascii="Calibri" w:cs="Calibri" w:eastAsia="Calibri" w:hAnsi="Calibri"/>
                <w:sz w:val="13"/>
                <w:szCs w:val="13"/>
                <w:color w:val="auto"/>
              </w:rPr>
              <w:t>Deferred tax provision (beneft)</w:t>
            </w:r>
          </w:p>
        </w:tc>
        <w:tc>
          <w:tcPr>
            <w:tcW w:w="94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Calibri" w:cs="Calibri" w:eastAsia="Calibri" w:hAnsi="Calibri"/>
                <w:sz w:val="13"/>
                <w:szCs w:val="13"/>
                <w:color w:val="auto"/>
              </w:rPr>
              <w:t>(156 )</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Calibri" w:cs="Calibri" w:eastAsia="Calibri" w:hAnsi="Calibri"/>
                <w:sz w:val="13"/>
                <w:szCs w:val="13"/>
                <w:color w:val="auto"/>
              </w:rPr>
              <w:t>(40 )</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3"/>
                <w:szCs w:val="13"/>
                <w:color w:val="auto"/>
              </w:rPr>
              <w:t>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3"/>
                <w:szCs w:val="13"/>
                <w:color w:val="auto"/>
              </w:rPr>
              <w:t>Employee beneft plan setlement</w:t>
            </w:r>
          </w:p>
        </w:tc>
        <w:tc>
          <w:tcPr>
            <w:tcW w:w="94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3"/>
                <w:szCs w:val="13"/>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3"/>
                <w:szCs w:val="13"/>
                <w:color w:val="auto"/>
              </w:rPr>
              <w:t>(1 )</w:t>
            </w:r>
          </w:p>
        </w:tc>
        <w:tc>
          <w:tcPr>
            <w:tcW w:w="3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640" w:type="dxa"/>
            <w:vAlign w:val="bottom"/>
          </w:tcPr>
          <w:p>
            <w:pPr>
              <w:ind w:left="300"/>
              <w:spacing w:after="0"/>
              <w:rPr>
                <w:sz w:val="20"/>
                <w:szCs w:val="20"/>
                <w:color w:val="auto"/>
              </w:rPr>
            </w:pPr>
            <w:r>
              <w:rPr>
                <w:rFonts w:ascii="Calibri" w:cs="Calibri" w:eastAsia="Calibri" w:hAnsi="Calibri"/>
                <w:sz w:val="13"/>
                <w:szCs w:val="13"/>
                <w:color w:val="auto"/>
              </w:rPr>
              <w:t>Equity in net income of afliated companies</w:t>
            </w:r>
          </w:p>
        </w:tc>
        <w:tc>
          <w:tcPr>
            <w:tcW w:w="94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Calibri" w:cs="Calibri" w:eastAsia="Calibri" w:hAnsi="Calibri"/>
                <w:sz w:val="13"/>
                <w:szCs w:val="13"/>
                <w:color w:val="auto"/>
              </w:rPr>
              <w:t>(5 )</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Calibri" w:cs="Calibri" w:eastAsia="Calibri" w:hAnsi="Calibri"/>
                <w:sz w:val="13"/>
                <w:szCs w:val="13"/>
                <w:color w:val="auto"/>
              </w:rPr>
              <w:t>(10 )</w:t>
            </w:r>
          </w:p>
        </w:tc>
        <w:tc>
          <w:tcPr>
            <w:tcW w:w="3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Calibri" w:cs="Calibri" w:eastAsia="Calibri" w:hAnsi="Calibri"/>
                <w:sz w:val="13"/>
                <w:szCs w:val="13"/>
                <w:color w:val="auto"/>
              </w:rPr>
              <w:t>(3 )</w:t>
            </w: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3"/>
                <w:szCs w:val="13"/>
                <w:color w:val="auto"/>
              </w:rPr>
              <w:t>Stock-based compensaton</w:t>
            </w:r>
          </w:p>
        </w:tc>
        <w:tc>
          <w:tcPr>
            <w:tcW w:w="9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20</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23</w:t>
            </w: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21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640" w:type="dxa"/>
            <w:vAlign w:val="bottom"/>
          </w:tcPr>
          <w:p>
            <w:pPr>
              <w:ind w:left="300"/>
              <w:spacing w:after="0"/>
              <w:rPr>
                <w:sz w:val="20"/>
                <w:szCs w:val="20"/>
                <w:color w:val="auto"/>
              </w:rPr>
            </w:pPr>
            <w:r>
              <w:rPr>
                <w:rFonts w:ascii="Calibri" w:cs="Calibri" w:eastAsia="Calibri" w:hAnsi="Calibri"/>
                <w:sz w:val="13"/>
                <w:szCs w:val="13"/>
                <w:color w:val="auto"/>
              </w:rPr>
              <w:t>Other non-cash (income) expense</w:t>
            </w:r>
          </w:p>
        </w:tc>
        <w:tc>
          <w:tcPr>
            <w:tcW w:w="9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alibri" w:cs="Calibri" w:eastAsia="Calibri" w:hAnsi="Calibri"/>
                <w:sz w:val="13"/>
                <w:szCs w:val="13"/>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alibri" w:cs="Calibri" w:eastAsia="Calibri" w:hAnsi="Calibri"/>
                <w:sz w:val="13"/>
                <w:szCs w:val="13"/>
                <w:color w:val="auto"/>
              </w:rPr>
              <w:t>20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3"/>
                <w:szCs w:val="13"/>
                <w:color w:val="auto"/>
              </w:rPr>
              <w:t>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3"/>
                <w:szCs w:val="13"/>
                <w:color w:val="auto"/>
              </w:rPr>
              <w:t>Cash dividends received from equity afliates</w:t>
            </w:r>
          </w:p>
        </w:tc>
        <w:tc>
          <w:tcPr>
            <w:tcW w:w="9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2</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1</w:t>
            </w: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640" w:type="dxa"/>
            <w:vAlign w:val="bottom"/>
          </w:tcPr>
          <w:p>
            <w:pPr>
              <w:ind w:left="300"/>
              <w:spacing w:after="0"/>
              <w:rPr>
                <w:sz w:val="20"/>
                <w:szCs w:val="20"/>
                <w:color w:val="auto"/>
              </w:rPr>
            </w:pPr>
            <w:r>
              <w:rPr>
                <w:rFonts w:ascii="Calibri" w:cs="Calibri" w:eastAsia="Calibri" w:hAnsi="Calibri"/>
                <w:sz w:val="13"/>
                <w:szCs w:val="13"/>
                <w:color w:val="auto"/>
              </w:rPr>
              <w:t>Changes in assets and liabilites:</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460"/>
              <w:spacing w:after="0"/>
              <w:rPr>
                <w:sz w:val="20"/>
                <w:szCs w:val="20"/>
                <w:color w:val="auto"/>
              </w:rPr>
            </w:pPr>
            <w:r>
              <w:rPr>
                <w:rFonts w:ascii="Calibri" w:cs="Calibri" w:eastAsia="Calibri" w:hAnsi="Calibri"/>
                <w:sz w:val="13"/>
                <w:szCs w:val="13"/>
                <w:color w:val="auto"/>
              </w:rPr>
              <w:t>Accounts and notes receivable</w:t>
            </w:r>
          </w:p>
        </w:tc>
        <w:tc>
          <w:tcPr>
            <w:tcW w:w="9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153</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3"/>
                <w:szCs w:val="13"/>
                <w:color w:val="auto"/>
              </w:rPr>
              <w:t>(287 )</w:t>
            </w:r>
          </w:p>
        </w:tc>
        <w:tc>
          <w:tcPr>
            <w:tcW w:w="3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3"/>
                <w:szCs w:val="13"/>
                <w:color w:val="auto"/>
              </w:rPr>
              <w:t>(215 )</w:t>
            </w:r>
          </w:p>
        </w:tc>
        <w:tc>
          <w:tcPr>
            <w:tcW w:w="0" w:type="dxa"/>
            <w:vAlign w:val="bottom"/>
          </w:tcPr>
          <w:p>
            <w:pPr>
              <w:spacing w:after="0"/>
              <w:rPr>
                <w:sz w:val="1"/>
                <w:szCs w:val="1"/>
                <w:color w:val="auto"/>
              </w:rPr>
            </w:pPr>
          </w:p>
        </w:tc>
      </w:tr>
      <w:tr>
        <w:trPr>
          <w:trHeight w:val="167"/>
        </w:trPr>
        <w:tc>
          <w:tcPr>
            <w:tcW w:w="6640" w:type="dxa"/>
            <w:vAlign w:val="bottom"/>
          </w:tcPr>
          <w:p>
            <w:pPr>
              <w:ind w:left="460"/>
              <w:spacing w:after="0"/>
              <w:rPr>
                <w:sz w:val="20"/>
                <w:szCs w:val="20"/>
                <w:color w:val="auto"/>
              </w:rPr>
            </w:pPr>
            <w:r>
              <w:rPr>
                <w:rFonts w:ascii="Calibri" w:cs="Calibri" w:eastAsia="Calibri" w:hAnsi="Calibri"/>
                <w:sz w:val="13"/>
                <w:szCs w:val="13"/>
                <w:color w:val="auto"/>
              </w:rPr>
              <w:t>Inventories</w:t>
            </w:r>
          </w:p>
        </w:tc>
        <w:tc>
          <w:tcPr>
            <w:tcW w:w="9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alibri" w:cs="Calibri" w:eastAsia="Calibri" w:hAnsi="Calibri"/>
                <w:sz w:val="13"/>
                <w:szCs w:val="13"/>
                <w:color w:val="auto"/>
              </w:rPr>
              <w:t>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Calibri" w:cs="Calibri" w:eastAsia="Calibri" w:hAnsi="Calibri"/>
                <w:sz w:val="13"/>
                <w:szCs w:val="13"/>
                <w:color w:val="auto"/>
              </w:rPr>
              <w:t>(259 )</w:t>
            </w:r>
          </w:p>
        </w:tc>
        <w:tc>
          <w:tcPr>
            <w:tcW w:w="3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Calibri" w:cs="Calibri" w:eastAsia="Calibri" w:hAnsi="Calibri"/>
                <w:sz w:val="13"/>
                <w:szCs w:val="13"/>
                <w:color w:val="auto"/>
              </w:rPr>
              <w:t>(174 )</w:t>
            </w: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460"/>
              <w:spacing w:after="0"/>
              <w:rPr>
                <w:sz w:val="20"/>
                <w:szCs w:val="20"/>
                <w:color w:val="auto"/>
              </w:rPr>
            </w:pPr>
            <w:r>
              <w:rPr>
                <w:rFonts w:ascii="Calibri" w:cs="Calibri" w:eastAsia="Calibri" w:hAnsi="Calibri"/>
                <w:sz w:val="13"/>
                <w:szCs w:val="13"/>
                <w:color w:val="auto"/>
              </w:rPr>
              <w:t>Prepaid expenses and other current assets</w:t>
            </w:r>
          </w:p>
        </w:tc>
        <w:tc>
          <w:tcPr>
            <w:tcW w:w="9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1</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3"/>
                <w:szCs w:val="13"/>
                <w:color w:val="auto"/>
              </w:rPr>
              <w:t>(25 )</w:t>
            </w:r>
          </w:p>
        </w:tc>
        <w:tc>
          <w:tcPr>
            <w:tcW w:w="3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3"/>
                <w:szCs w:val="13"/>
                <w:color w:val="auto"/>
              </w:rPr>
              <w:t>(37 )</w:t>
            </w:r>
          </w:p>
        </w:tc>
        <w:tc>
          <w:tcPr>
            <w:tcW w:w="0" w:type="dxa"/>
            <w:vAlign w:val="bottom"/>
          </w:tcPr>
          <w:p>
            <w:pPr>
              <w:spacing w:after="0"/>
              <w:rPr>
                <w:sz w:val="1"/>
                <w:szCs w:val="1"/>
                <w:color w:val="auto"/>
              </w:rPr>
            </w:pPr>
          </w:p>
        </w:tc>
      </w:tr>
      <w:tr>
        <w:trPr>
          <w:trHeight w:val="167"/>
        </w:trPr>
        <w:tc>
          <w:tcPr>
            <w:tcW w:w="6640" w:type="dxa"/>
            <w:vAlign w:val="bottom"/>
          </w:tcPr>
          <w:p>
            <w:pPr>
              <w:ind w:left="460"/>
              <w:spacing w:after="0"/>
              <w:rPr>
                <w:sz w:val="20"/>
                <w:szCs w:val="20"/>
                <w:color w:val="auto"/>
              </w:rPr>
            </w:pPr>
            <w:r>
              <w:rPr>
                <w:rFonts w:ascii="Calibri" w:cs="Calibri" w:eastAsia="Calibri" w:hAnsi="Calibri"/>
                <w:sz w:val="13"/>
                <w:szCs w:val="13"/>
                <w:color w:val="auto"/>
              </w:rPr>
              <w:t>Accounts payable and accrued liabilites</w:t>
            </w:r>
          </w:p>
        </w:tc>
        <w:tc>
          <w:tcPr>
            <w:tcW w:w="94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Calibri" w:cs="Calibri" w:eastAsia="Calibri" w:hAnsi="Calibri"/>
                <w:sz w:val="13"/>
                <w:szCs w:val="13"/>
                <w:color w:val="auto"/>
              </w:rPr>
              <w:t>(152 )</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alibri" w:cs="Calibri" w:eastAsia="Calibri" w:hAnsi="Calibri"/>
                <w:sz w:val="13"/>
                <w:szCs w:val="13"/>
                <w:color w:val="auto"/>
              </w:rPr>
              <w:t>115</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3"/>
                <w:szCs w:val="13"/>
                <w:color w:val="auto"/>
              </w:rPr>
              <w:t>167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460"/>
              <w:spacing w:after="0"/>
              <w:rPr>
                <w:sz w:val="20"/>
                <w:szCs w:val="20"/>
                <w:color w:val="auto"/>
              </w:rPr>
            </w:pPr>
            <w:r>
              <w:rPr>
                <w:rFonts w:ascii="Calibri" w:cs="Calibri" w:eastAsia="Calibri" w:hAnsi="Calibri"/>
                <w:sz w:val="13"/>
                <w:szCs w:val="13"/>
                <w:color w:val="auto"/>
              </w:rPr>
              <w:t>Income taxes payable</w:t>
            </w:r>
          </w:p>
        </w:tc>
        <w:tc>
          <w:tcPr>
            <w:tcW w:w="94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3"/>
                <w:szCs w:val="13"/>
                <w:color w:val="auto"/>
              </w:rPr>
              <w:t>(4 )</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15</w:t>
            </w: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14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40" w:type="dxa"/>
            <w:vAlign w:val="bottom"/>
          </w:tcPr>
          <w:p>
            <w:pPr>
              <w:ind w:left="460"/>
              <w:spacing w:after="0"/>
              <w:rPr>
                <w:sz w:val="20"/>
                <w:szCs w:val="20"/>
                <w:color w:val="auto"/>
              </w:rPr>
            </w:pPr>
            <w:r>
              <w:rPr>
                <w:rFonts w:ascii="Calibri" w:cs="Calibri" w:eastAsia="Calibri" w:hAnsi="Calibri"/>
                <w:sz w:val="13"/>
                <w:szCs w:val="13"/>
                <w:color w:val="auto"/>
              </w:rPr>
              <w:t>Other liabilites</w:t>
            </w:r>
          </w:p>
        </w:tc>
        <w:tc>
          <w:tcPr>
            <w:tcW w:w="9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alibri" w:cs="Calibri" w:eastAsia="Calibri" w:hAnsi="Calibri"/>
                <w:sz w:val="13"/>
                <w:szCs w:val="13"/>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Calibri" w:cs="Calibri" w:eastAsia="Calibri" w:hAnsi="Calibri"/>
                <w:sz w:val="13"/>
                <w:szCs w:val="13"/>
                <w:color w:val="auto"/>
              </w:rPr>
              <w:t>(7 )</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3"/>
                <w:szCs w:val="13"/>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640" w:type="dxa"/>
            <w:vAlign w:val="bottom"/>
            <w:tcBorders>
              <w:bottom w:val="single" w:sz="8" w:color="CFF0FC"/>
            </w:tcBorders>
            <w:shd w:val="clear" w:color="auto" w:fill="CFF0FC"/>
          </w:tcPr>
          <w:p>
            <w:pPr>
              <w:ind w:left="600"/>
              <w:spacing w:after="0"/>
              <w:rPr>
                <w:sz w:val="20"/>
                <w:szCs w:val="20"/>
                <w:color w:val="auto"/>
              </w:rPr>
            </w:pPr>
            <w:r>
              <w:rPr>
                <w:rFonts w:ascii="Calibri" w:cs="Calibri" w:eastAsia="Calibri" w:hAnsi="Calibri"/>
                <w:sz w:val="13"/>
                <w:szCs w:val="13"/>
                <w:color w:val="auto"/>
              </w:rPr>
              <w:t>Cash provided by operatng actvites</w:t>
            </w:r>
          </w:p>
        </w:tc>
        <w:tc>
          <w:tcPr>
            <w:tcW w:w="9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595</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100</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257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6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b w:val="1"/>
                <w:bCs w:val="1"/>
                <w:color w:val="auto"/>
              </w:rPr>
              <w:t>Cash Flows from Investng Actvites:</w:t>
            </w:r>
          </w:p>
        </w:tc>
        <w:tc>
          <w:tcPr>
            <w:tcW w:w="9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640" w:type="dxa"/>
            <w:vAlign w:val="bottom"/>
          </w:tcPr>
          <w:p>
            <w:pPr>
              <w:ind w:left="160"/>
              <w:spacing w:after="0"/>
              <w:rPr>
                <w:sz w:val="20"/>
                <w:szCs w:val="20"/>
                <w:color w:val="auto"/>
              </w:rPr>
            </w:pPr>
            <w:r>
              <w:rPr>
                <w:rFonts w:ascii="Calibri" w:cs="Calibri" w:eastAsia="Calibri" w:hAnsi="Calibri"/>
                <w:sz w:val="13"/>
                <w:szCs w:val="13"/>
                <w:color w:val="auto"/>
              </w:rPr>
              <w:t>Additons to property, plant and equipment</w:t>
            </w:r>
          </w:p>
        </w:tc>
        <w:tc>
          <w:tcPr>
            <w:tcW w:w="94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Calibri" w:cs="Calibri" w:eastAsia="Calibri" w:hAnsi="Calibri"/>
                <w:sz w:val="13"/>
                <w:szCs w:val="13"/>
                <w:color w:val="auto"/>
              </w:rPr>
              <w:t>(244 )</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Calibri" w:cs="Calibri" w:eastAsia="Calibri" w:hAnsi="Calibri"/>
                <w:sz w:val="13"/>
                <w:szCs w:val="13"/>
                <w:color w:val="auto"/>
              </w:rPr>
              <w:t>(211 )</w:t>
            </w:r>
          </w:p>
        </w:tc>
        <w:tc>
          <w:tcPr>
            <w:tcW w:w="3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Calibri" w:cs="Calibri" w:eastAsia="Calibri" w:hAnsi="Calibri"/>
                <w:sz w:val="13"/>
                <w:szCs w:val="13"/>
                <w:color w:val="auto"/>
              </w:rPr>
              <w:t>(195 )</w:t>
            </w: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3"/>
                <w:szCs w:val="13"/>
                <w:color w:val="auto"/>
              </w:rPr>
              <w:t>Proceeds from sale of a business</w:t>
            </w:r>
          </w:p>
        </w:tc>
        <w:tc>
          <w:tcPr>
            <w:tcW w:w="9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6</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79</w:t>
            </w: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67"/>
        </w:trPr>
        <w:tc>
          <w:tcPr>
            <w:tcW w:w="6640" w:type="dxa"/>
            <w:vAlign w:val="bottom"/>
          </w:tcPr>
          <w:p>
            <w:pPr>
              <w:ind w:left="160"/>
              <w:spacing w:after="0"/>
              <w:rPr>
                <w:sz w:val="20"/>
                <w:szCs w:val="20"/>
                <w:color w:val="auto"/>
              </w:rPr>
            </w:pPr>
            <w:r>
              <w:rPr>
                <w:rFonts w:ascii="Calibri" w:cs="Calibri" w:eastAsia="Calibri" w:hAnsi="Calibri"/>
                <w:sz w:val="13"/>
                <w:szCs w:val="13"/>
                <w:color w:val="auto"/>
              </w:rPr>
              <w:t>Cash paid for acquisiton of business, net of cash acquired of $—, $5 and $—</w:t>
            </w:r>
          </w:p>
        </w:tc>
        <w:tc>
          <w:tcPr>
            <w:tcW w:w="94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Calibri" w:cs="Calibri" w:eastAsia="Calibri" w:hAnsi="Calibri"/>
                <w:sz w:val="13"/>
                <w:szCs w:val="13"/>
                <w:color w:val="auto"/>
              </w:rPr>
              <w:t>(9 )</w:t>
            </w:r>
          </w:p>
        </w:tc>
        <w:tc>
          <w:tcPr>
            <w:tcW w:w="3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35"/>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3"/>
                <w:szCs w:val="13"/>
                <w:color w:val="auto"/>
              </w:rPr>
              <w:t>Proceeds from sale of land</w:t>
            </w:r>
          </w:p>
        </w:tc>
        <w:tc>
          <w:tcPr>
            <w:tcW w:w="9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7</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18</w:t>
            </w: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67"/>
        </w:trPr>
        <w:tc>
          <w:tcPr>
            <w:tcW w:w="6640" w:type="dxa"/>
            <w:vAlign w:val="bottom"/>
          </w:tcPr>
          <w:p>
            <w:pPr>
              <w:ind w:left="160"/>
              <w:spacing w:after="0"/>
              <w:rPr>
                <w:sz w:val="20"/>
                <w:szCs w:val="20"/>
                <w:color w:val="auto"/>
              </w:rPr>
            </w:pPr>
            <w:r>
              <w:rPr>
                <w:rFonts w:ascii="Calibri" w:cs="Calibri" w:eastAsia="Calibri" w:hAnsi="Calibri"/>
                <w:sz w:val="13"/>
                <w:szCs w:val="13"/>
                <w:color w:val="auto"/>
              </w:rPr>
              <w:t>Proceeds from insurance setlements</w:t>
            </w:r>
          </w:p>
        </w:tc>
        <w:tc>
          <w:tcPr>
            <w:tcW w:w="9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alibri" w:cs="Calibri" w:eastAsia="Calibri" w:hAnsi="Calibri"/>
                <w:sz w:val="13"/>
                <w:szCs w:val="13"/>
                <w:color w:val="auto"/>
              </w:rPr>
              <w:t>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alibri" w:cs="Calibri" w:eastAsia="Calibri" w:hAnsi="Calibri"/>
                <w:sz w:val="13"/>
                <w:szCs w:val="13"/>
                <w:color w:val="auto"/>
              </w:rPr>
              <w:t>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3"/>
                <w:szCs w:val="13"/>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3"/>
                <w:szCs w:val="13"/>
                <w:color w:val="auto"/>
              </w:rPr>
              <w:t>Other</w:t>
            </w:r>
          </w:p>
        </w:tc>
        <w:tc>
          <w:tcPr>
            <w:tcW w:w="9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5</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4</w:t>
            </w: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640" w:type="dxa"/>
            <w:vAlign w:val="bottom"/>
          </w:tcPr>
          <w:p>
            <w:pPr>
              <w:ind w:left="600"/>
              <w:spacing w:after="0"/>
              <w:rPr>
                <w:sz w:val="20"/>
                <w:szCs w:val="20"/>
                <w:color w:val="auto"/>
              </w:rPr>
            </w:pPr>
            <w:r>
              <w:rPr>
                <w:rFonts w:ascii="Calibri" w:cs="Calibri" w:eastAsia="Calibri" w:hAnsi="Calibri"/>
                <w:sz w:val="13"/>
                <w:szCs w:val="13"/>
                <w:color w:val="auto"/>
              </w:rPr>
              <w:t>Cash used in investng actvites</w:t>
            </w:r>
          </w:p>
        </w:tc>
        <w:tc>
          <w:tcPr>
            <w:tcW w:w="94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Calibri" w:cs="Calibri" w:eastAsia="Calibri" w:hAnsi="Calibri"/>
                <w:sz w:val="13"/>
                <w:szCs w:val="13"/>
                <w:color w:val="auto"/>
              </w:rPr>
              <w:t>(214 )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Calibri" w:cs="Calibri" w:eastAsia="Calibri" w:hAnsi="Calibri"/>
                <w:sz w:val="13"/>
                <w:szCs w:val="13"/>
                <w:color w:val="auto"/>
              </w:rPr>
              <w:t>(118 )</w:t>
            </w:r>
          </w:p>
        </w:tc>
        <w:tc>
          <w:tcPr>
            <w:tcW w:w="3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Calibri" w:cs="Calibri" w:eastAsia="Calibri" w:hAnsi="Calibri"/>
                <w:sz w:val="13"/>
                <w:szCs w:val="13"/>
                <w:color w:val="auto"/>
              </w:rPr>
              <w:t>(186 )</w:t>
            </w:r>
          </w:p>
        </w:tc>
        <w:tc>
          <w:tcPr>
            <w:tcW w:w="0" w:type="dxa"/>
            <w:vAlign w:val="bottom"/>
          </w:tcPr>
          <w:p>
            <w:pPr>
              <w:spacing w:after="0"/>
              <w:rPr>
                <w:sz w:val="1"/>
                <w:szCs w:val="1"/>
                <w:color w:val="auto"/>
              </w:rPr>
            </w:pPr>
          </w:p>
        </w:tc>
      </w:tr>
      <w:tr>
        <w:trPr>
          <w:trHeight w:val="22"/>
        </w:trPr>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6640" w:type="dxa"/>
            <w:vAlign w:val="bottom"/>
          </w:tcPr>
          <w:p>
            <w:pPr>
              <w:ind w:left="20"/>
              <w:spacing w:after="0"/>
              <w:rPr>
                <w:sz w:val="20"/>
                <w:szCs w:val="20"/>
                <w:color w:val="auto"/>
              </w:rPr>
            </w:pPr>
            <w:r>
              <w:rPr>
                <w:rFonts w:ascii="Calibri" w:cs="Calibri" w:eastAsia="Calibri" w:hAnsi="Calibri"/>
                <w:sz w:val="13"/>
                <w:szCs w:val="13"/>
                <w:b w:val="1"/>
                <w:bCs w:val="1"/>
                <w:color w:val="auto"/>
              </w:rPr>
              <w:t>Cash Flows from Financing Actvites:</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3"/>
                <w:szCs w:val="13"/>
                <w:color w:val="auto"/>
              </w:rPr>
              <w:t>Proceeds from short-term borrowings</w:t>
            </w:r>
          </w:p>
        </w:tc>
        <w:tc>
          <w:tcPr>
            <w:tcW w:w="9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24</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26</w:t>
            </w: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67"/>
        </w:trPr>
        <w:tc>
          <w:tcPr>
            <w:tcW w:w="6640" w:type="dxa"/>
            <w:vAlign w:val="bottom"/>
          </w:tcPr>
          <w:p>
            <w:pPr>
              <w:ind w:left="160"/>
              <w:spacing w:after="0"/>
              <w:rPr>
                <w:sz w:val="20"/>
                <w:szCs w:val="20"/>
                <w:color w:val="auto"/>
              </w:rPr>
            </w:pPr>
            <w:r>
              <w:rPr>
                <w:rFonts w:ascii="Calibri" w:cs="Calibri" w:eastAsia="Calibri" w:hAnsi="Calibri"/>
                <w:sz w:val="13"/>
                <w:szCs w:val="13"/>
                <w:color w:val="auto"/>
              </w:rPr>
              <w:t>Repayments of short-term borrowings</w:t>
            </w:r>
          </w:p>
        </w:tc>
        <w:tc>
          <w:tcPr>
            <w:tcW w:w="94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Calibri" w:cs="Calibri" w:eastAsia="Calibri" w:hAnsi="Calibri"/>
                <w:sz w:val="13"/>
                <w:szCs w:val="13"/>
                <w:color w:val="auto"/>
              </w:rPr>
              <w:t>(48 )</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300"/>
              <w:spacing w:after="0"/>
              <w:rPr>
                <w:sz w:val="20"/>
                <w:szCs w:val="20"/>
                <w:color w:val="auto"/>
              </w:rPr>
            </w:pPr>
            <w:r>
              <w:rPr>
                <w:rFonts w:ascii="Calibri" w:cs="Calibri" w:eastAsia="Calibri" w:hAnsi="Calibri"/>
                <w:sz w:val="13"/>
                <w:szCs w:val="13"/>
                <w:color w:val="auto"/>
              </w:rPr>
              <w:t>—</w:t>
            </w:r>
          </w:p>
        </w:tc>
        <w:tc>
          <w:tcPr>
            <w:tcW w:w="3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35"/>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3"/>
                <w:szCs w:val="13"/>
                <w:color w:val="auto"/>
              </w:rPr>
              <w:t>Proceeds from (repayments of) issuance of commercial paper, net</w:t>
            </w:r>
          </w:p>
        </w:tc>
        <w:tc>
          <w:tcPr>
            <w:tcW w:w="94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3"/>
                <w:szCs w:val="13"/>
                <w:color w:val="auto"/>
              </w:rPr>
              <w:t>(149 )</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250</w:t>
            </w: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58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640" w:type="dxa"/>
            <w:vAlign w:val="bottom"/>
          </w:tcPr>
          <w:p>
            <w:pPr>
              <w:ind w:left="160"/>
              <w:spacing w:after="0"/>
              <w:rPr>
                <w:sz w:val="20"/>
                <w:szCs w:val="20"/>
                <w:color w:val="auto"/>
              </w:rPr>
            </w:pPr>
            <w:r>
              <w:rPr>
                <w:rFonts w:ascii="Calibri" w:cs="Calibri" w:eastAsia="Calibri" w:hAnsi="Calibri"/>
                <w:sz w:val="13"/>
                <w:szCs w:val="13"/>
                <w:color w:val="auto"/>
              </w:rPr>
              <w:t>Proceeds from long-term debt, net of issuance costs</w:t>
            </w:r>
          </w:p>
        </w:tc>
        <w:tc>
          <w:tcPr>
            <w:tcW w:w="9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alibri" w:cs="Calibri" w:eastAsia="Calibri" w:hAnsi="Calibri"/>
                <w:sz w:val="13"/>
                <w:szCs w:val="13"/>
                <w:color w:val="auto"/>
              </w:rPr>
              <w:t>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alibri" w:cs="Calibri" w:eastAsia="Calibri" w:hAnsi="Calibri"/>
                <w:sz w:val="13"/>
                <w:szCs w:val="13"/>
                <w:color w:val="auto"/>
              </w:rPr>
              <w:t>394</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3"/>
                <w:szCs w:val="13"/>
                <w:color w:val="auto"/>
              </w:rPr>
              <w:t>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3"/>
                <w:szCs w:val="13"/>
                <w:color w:val="auto"/>
              </w:rPr>
              <w:t>Repayments of long-term debt</w:t>
            </w:r>
          </w:p>
        </w:tc>
        <w:tc>
          <w:tcPr>
            <w:tcW w:w="94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3"/>
                <w:szCs w:val="13"/>
                <w:color w:val="auto"/>
              </w:rPr>
              <w:t>(90 )</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3"/>
                <w:szCs w:val="13"/>
                <w:color w:val="auto"/>
              </w:rPr>
              <w:t>(372 )</w:t>
            </w:r>
          </w:p>
        </w:tc>
        <w:tc>
          <w:tcPr>
            <w:tcW w:w="3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3"/>
                <w:szCs w:val="13"/>
                <w:color w:val="auto"/>
              </w:rPr>
              <w:t>(222 )</w:t>
            </w:r>
          </w:p>
        </w:tc>
        <w:tc>
          <w:tcPr>
            <w:tcW w:w="0" w:type="dxa"/>
            <w:vAlign w:val="bottom"/>
          </w:tcPr>
          <w:p>
            <w:pPr>
              <w:spacing w:after="0"/>
              <w:rPr>
                <w:sz w:val="1"/>
                <w:szCs w:val="1"/>
                <w:color w:val="auto"/>
              </w:rPr>
            </w:pPr>
          </w:p>
        </w:tc>
      </w:tr>
      <w:tr>
        <w:trPr>
          <w:trHeight w:val="167"/>
        </w:trPr>
        <w:tc>
          <w:tcPr>
            <w:tcW w:w="6640" w:type="dxa"/>
            <w:vAlign w:val="bottom"/>
          </w:tcPr>
          <w:p>
            <w:pPr>
              <w:ind w:left="160"/>
              <w:spacing w:after="0"/>
              <w:rPr>
                <w:sz w:val="20"/>
                <w:szCs w:val="20"/>
                <w:color w:val="auto"/>
              </w:rPr>
            </w:pPr>
            <w:r>
              <w:rPr>
                <w:rFonts w:ascii="Calibri" w:cs="Calibri" w:eastAsia="Calibri" w:hAnsi="Calibri"/>
                <w:sz w:val="13"/>
                <w:szCs w:val="13"/>
                <w:color w:val="auto"/>
              </w:rPr>
              <w:t>Purchases of common stock</w:t>
            </w:r>
          </w:p>
        </w:tc>
        <w:tc>
          <w:tcPr>
            <w:tcW w:w="94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Calibri" w:cs="Calibri" w:eastAsia="Calibri" w:hAnsi="Calibri"/>
                <w:sz w:val="13"/>
                <w:szCs w:val="13"/>
                <w:color w:val="auto"/>
              </w:rPr>
              <w:t>(98 )</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Calibri" w:cs="Calibri" w:eastAsia="Calibri" w:hAnsi="Calibri"/>
                <w:sz w:val="13"/>
                <w:szCs w:val="13"/>
                <w:color w:val="auto"/>
              </w:rPr>
              <w:t>(53 )</w:t>
            </w:r>
          </w:p>
        </w:tc>
        <w:tc>
          <w:tcPr>
            <w:tcW w:w="3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Calibri" w:cs="Calibri" w:eastAsia="Calibri" w:hAnsi="Calibri"/>
                <w:sz w:val="13"/>
                <w:szCs w:val="13"/>
                <w:color w:val="auto"/>
              </w:rPr>
              <w:t>(3 )</w:t>
            </w:r>
          </w:p>
        </w:tc>
        <w:tc>
          <w:tcPr>
            <w:tcW w:w="0" w:type="dxa"/>
            <w:vAlign w:val="bottom"/>
          </w:tcPr>
          <w:p>
            <w:pPr>
              <w:spacing w:after="0"/>
              <w:rPr>
                <w:sz w:val="1"/>
                <w:szCs w:val="1"/>
                <w:color w:val="auto"/>
              </w:rPr>
            </w:pPr>
          </w:p>
        </w:tc>
      </w:tr>
      <w:tr>
        <w:trPr>
          <w:trHeight w:val="35"/>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3"/>
                <w:szCs w:val="13"/>
                <w:color w:val="auto"/>
              </w:rPr>
              <w:t>Proceeds from sales of common stock</w:t>
            </w:r>
          </w:p>
        </w:tc>
        <w:tc>
          <w:tcPr>
            <w:tcW w:w="9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4</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6</w:t>
            </w: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640" w:type="dxa"/>
            <w:vAlign w:val="bottom"/>
          </w:tcPr>
          <w:p>
            <w:pPr>
              <w:ind w:left="160"/>
              <w:spacing w:after="0"/>
              <w:rPr>
                <w:sz w:val="20"/>
                <w:szCs w:val="20"/>
                <w:color w:val="auto"/>
              </w:rPr>
            </w:pPr>
            <w:r>
              <w:rPr>
                <w:rFonts w:ascii="Calibri" w:cs="Calibri" w:eastAsia="Calibri" w:hAnsi="Calibri"/>
                <w:sz w:val="13"/>
                <w:szCs w:val="13"/>
                <w:color w:val="auto"/>
              </w:rPr>
              <w:t>Cash dividends paid to noncontrolling interests</w:t>
            </w:r>
          </w:p>
        </w:tc>
        <w:tc>
          <w:tcPr>
            <w:tcW w:w="94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Calibri" w:cs="Calibri" w:eastAsia="Calibri" w:hAnsi="Calibri"/>
                <w:sz w:val="13"/>
                <w:szCs w:val="13"/>
                <w:color w:val="auto"/>
              </w:rPr>
              <w:t>(42 )</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Calibri" w:cs="Calibri" w:eastAsia="Calibri" w:hAnsi="Calibri"/>
                <w:sz w:val="13"/>
                <w:szCs w:val="13"/>
                <w:color w:val="auto"/>
              </w:rPr>
              <w:t>(22 )</w:t>
            </w:r>
          </w:p>
        </w:tc>
        <w:tc>
          <w:tcPr>
            <w:tcW w:w="3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Calibri" w:cs="Calibri" w:eastAsia="Calibri" w:hAnsi="Calibri"/>
                <w:sz w:val="13"/>
                <w:szCs w:val="13"/>
                <w:color w:val="auto"/>
              </w:rPr>
              <w:t>(19 )</w:t>
            </w:r>
          </w:p>
        </w:tc>
        <w:tc>
          <w:tcPr>
            <w:tcW w:w="0" w:type="dxa"/>
            <w:vAlign w:val="bottom"/>
          </w:tcPr>
          <w:p>
            <w:pPr>
              <w:spacing w:after="0"/>
              <w:rPr>
                <w:sz w:val="1"/>
                <w:szCs w:val="1"/>
                <w:color w:val="auto"/>
              </w:rPr>
            </w:pPr>
          </w:p>
        </w:tc>
      </w:tr>
      <w:tr>
        <w:trPr>
          <w:trHeight w:val="35"/>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3"/>
                <w:szCs w:val="13"/>
                <w:color w:val="auto"/>
              </w:rPr>
              <w:t>Cash dividends paid to common stockholders</w:t>
            </w:r>
          </w:p>
        </w:tc>
        <w:tc>
          <w:tcPr>
            <w:tcW w:w="94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3"/>
                <w:szCs w:val="13"/>
                <w:color w:val="auto"/>
              </w:rPr>
              <w:t>(88 )</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3"/>
                <w:szCs w:val="13"/>
                <w:color w:val="auto"/>
              </w:rPr>
              <w:t>(84 )</w:t>
            </w:r>
          </w:p>
        </w:tc>
        <w:tc>
          <w:tcPr>
            <w:tcW w:w="3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3"/>
                <w:szCs w:val="13"/>
                <w:color w:val="auto"/>
              </w:rPr>
              <w:t>(80 )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640" w:type="dxa"/>
            <w:vAlign w:val="bottom"/>
          </w:tcPr>
          <w:p>
            <w:pPr>
              <w:ind w:left="600"/>
              <w:spacing w:after="0"/>
              <w:rPr>
                <w:sz w:val="20"/>
                <w:szCs w:val="20"/>
                <w:color w:val="auto"/>
              </w:rPr>
            </w:pPr>
            <w:r>
              <w:rPr>
                <w:rFonts w:ascii="Calibri" w:cs="Calibri" w:eastAsia="Calibri" w:hAnsi="Calibri"/>
                <w:sz w:val="13"/>
                <w:szCs w:val="13"/>
                <w:color w:val="auto"/>
              </w:rPr>
              <w:t>Cash provided by (used in) fnancing actvites</w:t>
            </w:r>
          </w:p>
        </w:tc>
        <w:tc>
          <w:tcPr>
            <w:tcW w:w="94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Calibri" w:cs="Calibri" w:eastAsia="Calibri" w:hAnsi="Calibri"/>
                <w:sz w:val="13"/>
                <w:szCs w:val="13"/>
                <w:color w:val="auto"/>
              </w:rPr>
              <w:t>(403 )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alibri" w:cs="Calibri" w:eastAsia="Calibri" w:hAnsi="Calibri"/>
                <w:sz w:val="13"/>
                <w:szCs w:val="13"/>
                <w:color w:val="auto"/>
              </w:rPr>
              <w:t>145</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Calibri" w:cs="Calibri" w:eastAsia="Calibri" w:hAnsi="Calibri"/>
                <w:sz w:val="13"/>
                <w:szCs w:val="13"/>
                <w:color w:val="auto"/>
              </w:rPr>
              <w:t>(60 )</w:t>
            </w:r>
          </w:p>
        </w:tc>
        <w:tc>
          <w:tcPr>
            <w:tcW w:w="0" w:type="dxa"/>
            <w:vAlign w:val="bottom"/>
          </w:tcPr>
          <w:p>
            <w:pPr>
              <w:spacing w:after="0"/>
              <w:rPr>
                <w:sz w:val="1"/>
                <w:szCs w:val="1"/>
                <w:color w:val="auto"/>
              </w:rPr>
            </w:pPr>
          </w:p>
        </w:tc>
      </w:tr>
      <w:tr>
        <w:trPr>
          <w:trHeight w:val="22"/>
        </w:trPr>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6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color w:val="auto"/>
              </w:rPr>
              <w:t>Efects of exchange rate changes on cash</w:t>
            </w:r>
          </w:p>
        </w:tc>
        <w:tc>
          <w:tcPr>
            <w:tcW w:w="9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54</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3"/>
                <w:szCs w:val="13"/>
                <w:color w:val="auto"/>
              </w:rPr>
              <w:t>(91 )</w:t>
            </w:r>
          </w:p>
        </w:tc>
        <w:tc>
          <w:tcPr>
            <w:tcW w:w="3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640" w:type="dxa"/>
            <w:vAlign w:val="bottom"/>
            <w:tcBorders>
              <w:top w:val="single" w:sz="8" w:color="CFF0FC"/>
            </w:tcBorders>
          </w:tcPr>
          <w:p>
            <w:pPr>
              <w:ind w:left="20"/>
              <w:spacing w:after="0"/>
              <w:rPr>
                <w:sz w:val="20"/>
                <w:szCs w:val="20"/>
                <w:color w:val="auto"/>
              </w:rPr>
            </w:pPr>
            <w:r>
              <w:rPr>
                <w:rFonts w:ascii="Calibri" w:cs="Calibri" w:eastAsia="Calibri" w:hAnsi="Calibri"/>
                <w:sz w:val="13"/>
                <w:szCs w:val="13"/>
                <w:color w:val="auto"/>
              </w:rPr>
              <w:t>Increase (decrease) in cash, cash equivalents and restricted cash</w:t>
            </w:r>
          </w:p>
        </w:tc>
        <w:tc>
          <w:tcPr>
            <w:tcW w:w="9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Calibri" w:cs="Calibri" w:eastAsia="Calibri" w:hAnsi="Calibri"/>
                <w:sz w:val="13"/>
                <w:szCs w:val="13"/>
                <w:color w:val="auto"/>
              </w:rPr>
              <w:t>32</w:t>
            </w: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Calibri" w:cs="Calibri" w:eastAsia="Calibri" w:hAnsi="Calibri"/>
                <w:sz w:val="13"/>
                <w:szCs w:val="13"/>
                <w:color w:val="auto"/>
              </w:rPr>
              <w:t>36</w:t>
            </w:r>
          </w:p>
        </w:tc>
        <w:tc>
          <w:tcPr>
            <w:tcW w:w="30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3"/>
                <w:szCs w:val="13"/>
                <w:color w:val="auto"/>
              </w:rPr>
              <w:t>19</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66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color w:val="auto"/>
              </w:rPr>
              <w:t>Cash, cash equivalents and restricted cash at beginning of year</w:t>
            </w:r>
          </w:p>
        </w:tc>
        <w:tc>
          <w:tcPr>
            <w:tcW w:w="9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206</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170</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151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640" w:type="dxa"/>
            <w:vAlign w:val="bottom"/>
            <w:tcBorders>
              <w:top w:val="single" w:sz="8" w:color="CFF0FC"/>
            </w:tcBorders>
            <w:vMerge w:val="restart"/>
          </w:tcPr>
          <w:p>
            <w:pPr>
              <w:ind w:left="20"/>
              <w:spacing w:after="0"/>
              <w:rPr>
                <w:sz w:val="20"/>
                <w:szCs w:val="20"/>
                <w:color w:val="auto"/>
              </w:rPr>
            </w:pPr>
            <w:r>
              <w:rPr>
                <w:rFonts w:ascii="Calibri" w:cs="Calibri" w:eastAsia="Calibri" w:hAnsi="Calibri"/>
                <w:sz w:val="13"/>
                <w:szCs w:val="13"/>
                <w:color w:val="auto"/>
              </w:rPr>
              <w:t>Cash, cash equivalents and restricted cash at end of year</w:t>
            </w:r>
          </w:p>
        </w:tc>
        <w:tc>
          <w:tcPr>
            <w:tcW w:w="940" w:type="dxa"/>
            <w:vAlign w:val="bottom"/>
            <w:tcBorders>
              <w:top w:val="single" w:sz="8" w:color="auto"/>
            </w:tcBorders>
          </w:tcPr>
          <w:p>
            <w:pPr>
              <w:jc w:val="right"/>
              <w:ind w:right="793"/>
              <w:spacing w:after="0"/>
              <w:rPr>
                <w:sz w:val="20"/>
                <w:szCs w:val="20"/>
                <w:color w:val="auto"/>
              </w:rPr>
            </w:pPr>
            <w:r>
              <w:rPr>
                <w:rFonts w:ascii="Calibri" w:cs="Calibri" w:eastAsia="Calibri" w:hAnsi="Calibri"/>
                <w:sz w:val="13"/>
                <w:szCs w:val="13"/>
                <w:color w:val="auto"/>
                <w:w w:val="90"/>
              </w:rPr>
              <w:t>$</w:t>
            </w:r>
          </w:p>
        </w:tc>
        <w:tc>
          <w:tcPr>
            <w:tcW w:w="400" w:type="dxa"/>
            <w:vAlign w:val="bottom"/>
            <w:tcBorders>
              <w:top w:val="single" w:sz="8" w:color="auto"/>
            </w:tcBorders>
          </w:tcPr>
          <w:p>
            <w:pPr>
              <w:jc w:val="right"/>
              <w:spacing w:after="0"/>
              <w:rPr>
                <w:sz w:val="20"/>
                <w:szCs w:val="20"/>
                <w:color w:val="auto"/>
              </w:rPr>
            </w:pPr>
            <w:r>
              <w:rPr>
                <w:rFonts w:ascii="Calibri" w:cs="Calibri" w:eastAsia="Calibri" w:hAnsi="Calibri"/>
                <w:sz w:val="13"/>
                <w:szCs w:val="13"/>
                <w:color w:val="auto"/>
              </w:rPr>
              <w:t>238</w:t>
            </w: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jc w:val="right"/>
              <w:ind w:right="53"/>
              <w:spacing w:after="0"/>
              <w:rPr>
                <w:sz w:val="20"/>
                <w:szCs w:val="20"/>
                <w:color w:val="auto"/>
              </w:rPr>
            </w:pPr>
            <w:r>
              <w:rPr>
                <w:rFonts w:ascii="Calibri" w:cs="Calibri" w:eastAsia="Calibri" w:hAnsi="Calibri"/>
                <w:sz w:val="13"/>
                <w:szCs w:val="13"/>
                <w:color w:val="auto"/>
                <w:w w:val="90"/>
              </w:rPr>
              <w:t>$</w:t>
            </w:r>
          </w:p>
        </w:tc>
        <w:tc>
          <w:tcPr>
            <w:tcW w:w="1100" w:type="dxa"/>
            <w:vAlign w:val="bottom"/>
            <w:tcBorders>
              <w:top w:val="single" w:sz="8" w:color="auto"/>
            </w:tcBorders>
          </w:tcPr>
          <w:p>
            <w:pPr>
              <w:jc w:val="right"/>
              <w:spacing w:after="0"/>
              <w:rPr>
                <w:sz w:val="20"/>
                <w:szCs w:val="20"/>
                <w:color w:val="auto"/>
              </w:rPr>
            </w:pPr>
            <w:r>
              <w:rPr>
                <w:rFonts w:ascii="Calibri" w:cs="Calibri" w:eastAsia="Calibri" w:hAnsi="Calibri"/>
                <w:sz w:val="13"/>
                <w:szCs w:val="13"/>
                <w:color w:val="auto"/>
              </w:rPr>
              <w:t>206</w:t>
            </w:r>
          </w:p>
        </w:tc>
        <w:tc>
          <w:tcPr>
            <w:tcW w:w="30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jc w:val="right"/>
              <w:ind w:right="153"/>
              <w:spacing w:after="0"/>
              <w:rPr>
                <w:sz w:val="20"/>
                <w:szCs w:val="20"/>
                <w:color w:val="auto"/>
              </w:rPr>
            </w:pPr>
            <w:r>
              <w:rPr>
                <w:rFonts w:ascii="Calibri" w:cs="Calibri" w:eastAsia="Calibri" w:hAnsi="Calibri"/>
                <w:sz w:val="13"/>
                <w:szCs w:val="13"/>
                <w:color w:val="auto"/>
                <w:w w:val="90"/>
              </w:rPr>
              <w:t>$</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3"/>
                <w:szCs w:val="13"/>
                <w:color w:val="auto"/>
              </w:rPr>
              <w:t>170</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6640" w:type="dxa"/>
            <w:vAlign w:val="bottom"/>
            <w:vMerge w:val="continue"/>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640" w:type="dxa"/>
            <w:vAlign w:val="bottom"/>
          </w:tcPr>
          <w:p>
            <w:pPr>
              <w:ind w:left="20"/>
              <w:spacing w:after="0"/>
              <w:rPr>
                <w:sz w:val="20"/>
                <w:szCs w:val="20"/>
                <w:color w:val="auto"/>
              </w:rPr>
            </w:pPr>
            <w:r>
              <w:rPr>
                <w:rFonts w:ascii="Calibri" w:cs="Calibri" w:eastAsia="Calibri" w:hAnsi="Calibri"/>
                <w:sz w:val="13"/>
                <w:szCs w:val="13"/>
                <w:b w:val="1"/>
                <w:bCs w:val="1"/>
                <w:color w:val="auto"/>
              </w:rPr>
              <w:t>The following table presents the Company’s cash, cash equivalents and restricted cash by category within the</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20"/>
              <w:spacing w:after="0"/>
              <w:rPr>
                <w:sz w:val="20"/>
                <w:szCs w:val="20"/>
                <w:color w:val="auto"/>
              </w:rPr>
            </w:pPr>
            <w:r>
              <w:rPr>
                <w:rFonts w:ascii="Calibri" w:cs="Calibri" w:eastAsia="Calibri" w:hAnsi="Calibri"/>
                <w:sz w:val="13"/>
                <w:szCs w:val="13"/>
                <w:b w:val="1"/>
                <w:bCs w:val="1"/>
                <w:color w:val="auto"/>
              </w:rPr>
              <w:t>Consolidated Balance Sheets:</w:t>
            </w: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color w:val="auto"/>
              </w:rPr>
              <w:t>Cash and cash equivalents</w:t>
            </w:r>
          </w:p>
        </w:tc>
        <w:tc>
          <w:tcPr>
            <w:tcW w:w="940" w:type="dxa"/>
            <w:vAlign w:val="bottom"/>
            <w:tcBorders>
              <w:bottom w:val="single" w:sz="8" w:color="CFF0FC"/>
            </w:tcBorders>
            <w:shd w:val="clear" w:color="auto" w:fill="CFF0FC"/>
          </w:tcPr>
          <w:p>
            <w:pPr>
              <w:jc w:val="right"/>
              <w:ind w:right="793"/>
              <w:spacing w:after="0"/>
              <w:rPr>
                <w:sz w:val="20"/>
                <w:szCs w:val="20"/>
                <w:color w:val="auto"/>
              </w:rPr>
            </w:pPr>
            <w:r>
              <w:rPr>
                <w:rFonts w:ascii="Calibri" w:cs="Calibri" w:eastAsia="Calibri" w:hAnsi="Calibri"/>
                <w:sz w:val="13"/>
                <w:szCs w:val="13"/>
                <w:color w:val="auto"/>
                <w:w w:val="90"/>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238</w:t>
            </w: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gridSpan w:val="2"/>
            <w:shd w:val="clear" w:color="auto" w:fill="CFF0FC"/>
          </w:tcPr>
          <w:p>
            <w:pPr>
              <w:jc w:val="right"/>
              <w:ind w:right="53"/>
              <w:spacing w:after="0"/>
              <w:rPr>
                <w:sz w:val="20"/>
                <w:szCs w:val="20"/>
                <w:color w:val="auto"/>
              </w:rPr>
            </w:pPr>
            <w:r>
              <w:rPr>
                <w:rFonts w:ascii="Calibri" w:cs="Calibri" w:eastAsia="Calibri" w:hAnsi="Calibri"/>
                <w:sz w:val="13"/>
                <w:szCs w:val="13"/>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206</w:t>
            </w: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ind w:right="153"/>
              <w:spacing w:after="0"/>
              <w:rPr>
                <w:sz w:val="20"/>
                <w:szCs w:val="20"/>
                <w:color w:val="auto"/>
              </w:rPr>
            </w:pPr>
            <w:r>
              <w:rPr>
                <w:rFonts w:ascii="Calibri" w:cs="Calibri" w:eastAsia="Calibri" w:hAnsi="Calibri"/>
                <w:sz w:val="13"/>
                <w:szCs w:val="13"/>
                <w:color w:val="auto"/>
                <w:w w:val="90"/>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168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40" w:type="dxa"/>
            <w:vAlign w:val="bottom"/>
          </w:tcPr>
          <w:p>
            <w:pPr>
              <w:ind w:left="20"/>
              <w:spacing w:after="0"/>
              <w:rPr>
                <w:sz w:val="20"/>
                <w:szCs w:val="20"/>
                <w:color w:val="auto"/>
              </w:rPr>
            </w:pPr>
            <w:r>
              <w:rPr>
                <w:rFonts w:ascii="Calibri" w:cs="Calibri" w:eastAsia="Calibri" w:hAnsi="Calibri"/>
                <w:sz w:val="13"/>
                <w:szCs w:val="13"/>
                <w:color w:val="auto"/>
              </w:rPr>
              <w:t>Restricted cash classifed within Prepaid expenses and other current assets</w:t>
            </w:r>
          </w:p>
        </w:tc>
        <w:tc>
          <w:tcPr>
            <w:tcW w:w="94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300"/>
              <w:spacing w:after="0"/>
              <w:rPr>
                <w:sz w:val="20"/>
                <w:szCs w:val="20"/>
                <w:color w:val="auto"/>
              </w:rPr>
            </w:pPr>
            <w:r>
              <w:rPr>
                <w:rFonts w:ascii="Calibri" w:cs="Calibri" w:eastAsia="Calibri" w:hAnsi="Calibri"/>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3"/>
                <w:szCs w:val="13"/>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66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color w:val="auto"/>
              </w:rPr>
              <w:t>Cash, cash equivalents and restricted cash</w:t>
            </w:r>
          </w:p>
        </w:tc>
        <w:tc>
          <w:tcPr>
            <w:tcW w:w="940" w:type="dxa"/>
            <w:vAlign w:val="bottom"/>
            <w:tcBorders>
              <w:bottom w:val="single" w:sz="8" w:color="CFF0FC"/>
            </w:tcBorders>
            <w:shd w:val="clear" w:color="auto" w:fill="CFF0FC"/>
          </w:tcPr>
          <w:p>
            <w:pPr>
              <w:jc w:val="right"/>
              <w:ind w:right="793"/>
              <w:spacing w:after="0"/>
              <w:rPr>
                <w:sz w:val="20"/>
                <w:szCs w:val="20"/>
                <w:color w:val="auto"/>
              </w:rPr>
            </w:pPr>
            <w:r>
              <w:rPr>
                <w:rFonts w:ascii="Calibri" w:cs="Calibri" w:eastAsia="Calibri" w:hAnsi="Calibri"/>
                <w:sz w:val="13"/>
                <w:szCs w:val="13"/>
                <w:color w:val="auto"/>
                <w:w w:val="90"/>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238</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gridSpan w:val="2"/>
            <w:shd w:val="clear" w:color="auto" w:fill="CFF0FC"/>
          </w:tcPr>
          <w:p>
            <w:pPr>
              <w:jc w:val="right"/>
              <w:ind w:right="53"/>
              <w:spacing w:after="0"/>
              <w:rPr>
                <w:sz w:val="20"/>
                <w:szCs w:val="20"/>
                <w:color w:val="auto"/>
              </w:rPr>
            </w:pPr>
            <w:r>
              <w:rPr>
                <w:rFonts w:ascii="Calibri" w:cs="Calibri" w:eastAsia="Calibri" w:hAnsi="Calibri"/>
                <w:sz w:val="13"/>
                <w:szCs w:val="13"/>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206</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jc w:val="right"/>
              <w:ind w:right="153"/>
              <w:spacing w:after="0"/>
              <w:rPr>
                <w:sz w:val="20"/>
                <w:szCs w:val="20"/>
                <w:color w:val="auto"/>
              </w:rPr>
            </w:pPr>
            <w:r>
              <w:rPr>
                <w:rFonts w:ascii="Calibri" w:cs="Calibri" w:eastAsia="Calibri" w:hAnsi="Calibri"/>
                <w:sz w:val="13"/>
                <w:szCs w:val="13"/>
                <w:color w:val="auto"/>
                <w:w w:val="90"/>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170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4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b w:val="1"/>
                <w:bCs w:val="1"/>
                <w:color w:val="auto"/>
              </w:rPr>
              <w:t>Non-cash investng actvites and supplemental cash fow informaton:</w:t>
            </w:r>
          </w:p>
        </w:tc>
        <w:tc>
          <w:tcPr>
            <w:tcW w:w="9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640" w:type="dxa"/>
            <w:vAlign w:val="bottom"/>
          </w:tcPr>
          <w:p>
            <w:pPr>
              <w:ind w:left="160"/>
              <w:spacing w:after="0"/>
              <w:rPr>
                <w:sz w:val="20"/>
                <w:szCs w:val="20"/>
                <w:color w:val="auto"/>
              </w:rPr>
            </w:pPr>
            <w:r>
              <w:rPr>
                <w:rFonts w:ascii="Calibri" w:cs="Calibri" w:eastAsia="Calibri" w:hAnsi="Calibri"/>
                <w:sz w:val="13"/>
                <w:szCs w:val="13"/>
                <w:color w:val="auto"/>
              </w:rPr>
              <w:t>Additons to property, plant and equipment included in Accounts payable and accrued</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Calibri" w:cs="Calibri" w:eastAsia="Calibri" w:hAnsi="Calibri"/>
                <w:sz w:val="13"/>
                <w:szCs w:val="13"/>
                <w:color w:val="auto"/>
              </w:rPr>
              <w:t>liabilites</w:t>
            </w:r>
          </w:p>
        </w:tc>
        <w:tc>
          <w:tcPr>
            <w:tcW w:w="940" w:type="dxa"/>
            <w:vAlign w:val="bottom"/>
          </w:tcPr>
          <w:p>
            <w:pPr>
              <w:jc w:val="right"/>
              <w:ind w:right="793"/>
              <w:spacing w:after="0"/>
              <w:rPr>
                <w:sz w:val="20"/>
                <w:szCs w:val="20"/>
                <w:color w:val="auto"/>
              </w:rPr>
            </w:pPr>
            <w:r>
              <w:rPr>
                <w:rFonts w:ascii="Calibri" w:cs="Calibri" w:eastAsia="Calibri" w:hAnsi="Calibri"/>
                <w:sz w:val="13"/>
                <w:szCs w:val="13"/>
                <w:color w:val="auto"/>
                <w:w w:val="90"/>
              </w:rPr>
              <w:t>$</w:t>
            </w:r>
          </w:p>
        </w:tc>
        <w:tc>
          <w:tcPr>
            <w:tcW w:w="400" w:type="dxa"/>
            <w:vAlign w:val="bottom"/>
          </w:tcPr>
          <w:p>
            <w:pPr>
              <w:jc w:val="right"/>
              <w:spacing w:after="0"/>
              <w:rPr>
                <w:sz w:val="20"/>
                <w:szCs w:val="20"/>
                <w:color w:val="auto"/>
              </w:rPr>
            </w:pPr>
            <w:r>
              <w:rPr>
                <w:rFonts w:ascii="Calibri" w:cs="Calibri" w:eastAsia="Calibri" w:hAnsi="Calibri"/>
                <w:sz w:val="13"/>
                <w:szCs w:val="13"/>
                <w:color w:val="auto"/>
              </w:rPr>
              <w:t>41</w:t>
            </w:r>
          </w:p>
        </w:tc>
        <w:tc>
          <w:tcPr>
            <w:tcW w:w="100" w:type="dxa"/>
            <w:vAlign w:val="bottom"/>
          </w:tcPr>
          <w:p>
            <w:pPr>
              <w:spacing w:after="0"/>
              <w:rPr>
                <w:sz w:val="15"/>
                <w:szCs w:val="15"/>
                <w:color w:val="auto"/>
              </w:rPr>
            </w:pPr>
          </w:p>
        </w:tc>
        <w:tc>
          <w:tcPr>
            <w:tcW w:w="340" w:type="dxa"/>
            <w:vAlign w:val="bottom"/>
            <w:gridSpan w:val="2"/>
          </w:tcPr>
          <w:p>
            <w:pPr>
              <w:jc w:val="right"/>
              <w:ind w:right="53"/>
              <w:spacing w:after="0"/>
              <w:rPr>
                <w:sz w:val="20"/>
                <w:szCs w:val="20"/>
                <w:color w:val="auto"/>
              </w:rPr>
            </w:pPr>
            <w:r>
              <w:rPr>
                <w:rFonts w:ascii="Calibri" w:cs="Calibri" w:eastAsia="Calibri" w:hAnsi="Calibri"/>
                <w:sz w:val="13"/>
                <w:szCs w:val="13"/>
                <w:color w:val="auto"/>
              </w:rPr>
              <w:t>$</w:t>
            </w:r>
          </w:p>
        </w:tc>
        <w:tc>
          <w:tcPr>
            <w:tcW w:w="1100" w:type="dxa"/>
            <w:vAlign w:val="bottom"/>
          </w:tcPr>
          <w:p>
            <w:pPr>
              <w:jc w:val="right"/>
              <w:spacing w:after="0"/>
              <w:rPr>
                <w:sz w:val="20"/>
                <w:szCs w:val="20"/>
                <w:color w:val="auto"/>
              </w:rPr>
            </w:pPr>
            <w:r>
              <w:rPr>
                <w:rFonts w:ascii="Calibri" w:cs="Calibri" w:eastAsia="Calibri" w:hAnsi="Calibri"/>
                <w:sz w:val="13"/>
                <w:szCs w:val="13"/>
                <w:color w:val="auto"/>
              </w:rPr>
              <w:t>24</w:t>
            </w:r>
          </w:p>
        </w:tc>
        <w:tc>
          <w:tcPr>
            <w:tcW w:w="300" w:type="dxa"/>
            <w:vAlign w:val="bottom"/>
          </w:tcPr>
          <w:p>
            <w:pPr>
              <w:spacing w:after="0"/>
              <w:rPr>
                <w:sz w:val="15"/>
                <w:szCs w:val="15"/>
                <w:color w:val="auto"/>
              </w:rPr>
            </w:pPr>
          </w:p>
        </w:tc>
        <w:tc>
          <w:tcPr>
            <w:tcW w:w="300" w:type="dxa"/>
            <w:vAlign w:val="bottom"/>
          </w:tcPr>
          <w:p>
            <w:pPr>
              <w:jc w:val="right"/>
              <w:ind w:right="153"/>
              <w:spacing w:after="0"/>
              <w:rPr>
                <w:sz w:val="20"/>
                <w:szCs w:val="20"/>
                <w:color w:val="auto"/>
              </w:rPr>
            </w:pPr>
            <w:r>
              <w:rPr>
                <w:rFonts w:ascii="Calibri" w:cs="Calibri" w:eastAsia="Calibri" w:hAnsi="Calibri"/>
                <w:sz w:val="13"/>
                <w:szCs w:val="13"/>
                <w:color w:val="auto"/>
                <w:w w:val="90"/>
              </w:rPr>
              <w:t>$</w:t>
            </w:r>
          </w:p>
        </w:tc>
        <w:tc>
          <w:tcPr>
            <w:tcW w:w="1020" w:type="dxa"/>
            <w:vAlign w:val="bottom"/>
          </w:tcPr>
          <w:p>
            <w:pPr>
              <w:jc w:val="right"/>
              <w:spacing w:after="0"/>
              <w:rPr>
                <w:sz w:val="20"/>
                <w:szCs w:val="20"/>
                <w:color w:val="auto"/>
              </w:rPr>
            </w:pPr>
            <w:r>
              <w:rPr>
                <w:rFonts w:ascii="Calibri" w:cs="Calibri" w:eastAsia="Calibri" w:hAnsi="Calibri"/>
                <w:sz w:val="13"/>
                <w:szCs w:val="13"/>
                <w:color w:val="auto"/>
              </w:rPr>
              <w:t>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3"/>
                <w:szCs w:val="13"/>
                <w:color w:val="auto"/>
              </w:rPr>
              <w:t>Income taxes paid</w:t>
            </w:r>
          </w:p>
        </w:tc>
        <w:tc>
          <w:tcPr>
            <w:tcW w:w="940" w:type="dxa"/>
            <w:vAlign w:val="bottom"/>
            <w:tcBorders>
              <w:bottom w:val="single" w:sz="8" w:color="CFF0FC"/>
            </w:tcBorders>
            <w:shd w:val="clear" w:color="auto" w:fill="CFF0FC"/>
          </w:tcPr>
          <w:p>
            <w:pPr>
              <w:jc w:val="right"/>
              <w:ind w:right="793"/>
              <w:spacing w:after="0"/>
              <w:rPr>
                <w:sz w:val="20"/>
                <w:szCs w:val="20"/>
                <w:color w:val="auto"/>
              </w:rPr>
            </w:pPr>
            <w:r>
              <w:rPr>
                <w:rFonts w:ascii="Calibri" w:cs="Calibri" w:eastAsia="Calibri" w:hAnsi="Calibri"/>
                <w:sz w:val="13"/>
                <w:szCs w:val="13"/>
                <w:color w:val="auto"/>
                <w:w w:val="90"/>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140</w:t>
            </w: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gridSpan w:val="2"/>
            <w:shd w:val="clear" w:color="auto" w:fill="CFF0FC"/>
          </w:tcPr>
          <w:p>
            <w:pPr>
              <w:jc w:val="right"/>
              <w:ind w:right="53"/>
              <w:spacing w:after="0"/>
              <w:rPr>
                <w:sz w:val="20"/>
                <w:szCs w:val="20"/>
                <w:color w:val="auto"/>
              </w:rPr>
            </w:pPr>
            <w:r>
              <w:rPr>
                <w:rFonts w:ascii="Calibri" w:cs="Calibri" w:eastAsia="Calibri" w:hAnsi="Calibri"/>
                <w:sz w:val="13"/>
                <w:szCs w:val="13"/>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129</w:t>
            </w: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ind w:right="153"/>
              <w:spacing w:after="0"/>
              <w:rPr>
                <w:sz w:val="20"/>
                <w:szCs w:val="20"/>
                <w:color w:val="auto"/>
              </w:rPr>
            </w:pPr>
            <w:r>
              <w:rPr>
                <w:rFonts w:ascii="Calibri" w:cs="Calibri" w:eastAsia="Calibri" w:hAnsi="Calibri"/>
                <w:sz w:val="13"/>
                <w:szCs w:val="13"/>
                <w:color w:val="auto"/>
                <w:w w:val="90"/>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93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640" w:type="dxa"/>
            <w:vAlign w:val="bottom"/>
          </w:tcPr>
          <w:p>
            <w:pPr>
              <w:ind w:left="160"/>
              <w:spacing w:after="0"/>
              <w:rPr>
                <w:sz w:val="20"/>
                <w:szCs w:val="20"/>
                <w:color w:val="auto"/>
              </w:rPr>
            </w:pPr>
            <w:r>
              <w:rPr>
                <w:rFonts w:ascii="Calibri" w:cs="Calibri" w:eastAsia="Calibri" w:hAnsi="Calibri"/>
                <w:sz w:val="13"/>
                <w:szCs w:val="13"/>
                <w:color w:val="auto"/>
              </w:rPr>
              <w:t>Interest paid</w:t>
            </w:r>
          </w:p>
        </w:tc>
        <w:tc>
          <w:tcPr>
            <w:tcW w:w="940" w:type="dxa"/>
            <w:vAlign w:val="bottom"/>
          </w:tcPr>
          <w:p>
            <w:pPr>
              <w:jc w:val="right"/>
              <w:ind w:right="793"/>
              <w:spacing w:after="0"/>
              <w:rPr>
                <w:sz w:val="20"/>
                <w:szCs w:val="20"/>
                <w:color w:val="auto"/>
              </w:rPr>
            </w:pPr>
            <w:r>
              <w:rPr>
                <w:rFonts w:ascii="Calibri" w:cs="Calibri" w:eastAsia="Calibri" w:hAnsi="Calibri"/>
                <w:sz w:val="13"/>
                <w:szCs w:val="13"/>
                <w:color w:val="auto"/>
                <w:w w:val="90"/>
              </w:rPr>
              <w:t>$</w:t>
            </w:r>
          </w:p>
        </w:tc>
        <w:tc>
          <w:tcPr>
            <w:tcW w:w="400" w:type="dxa"/>
            <w:vAlign w:val="bottom"/>
          </w:tcPr>
          <w:p>
            <w:pPr>
              <w:jc w:val="right"/>
              <w:spacing w:after="0"/>
              <w:rPr>
                <w:sz w:val="20"/>
                <w:szCs w:val="20"/>
                <w:color w:val="auto"/>
              </w:rPr>
            </w:pPr>
            <w:r>
              <w:rPr>
                <w:rFonts w:ascii="Calibri" w:cs="Calibri" w:eastAsia="Calibri" w:hAnsi="Calibri"/>
                <w:sz w:val="13"/>
                <w:szCs w:val="13"/>
                <w:color w:val="auto"/>
              </w:rPr>
              <w:t>85</w:t>
            </w:r>
          </w:p>
        </w:tc>
        <w:tc>
          <w:tcPr>
            <w:tcW w:w="100" w:type="dxa"/>
            <w:vAlign w:val="bottom"/>
          </w:tcPr>
          <w:p>
            <w:pPr>
              <w:spacing w:after="0"/>
              <w:rPr>
                <w:sz w:val="14"/>
                <w:szCs w:val="14"/>
                <w:color w:val="auto"/>
              </w:rPr>
            </w:pPr>
          </w:p>
        </w:tc>
        <w:tc>
          <w:tcPr>
            <w:tcW w:w="340" w:type="dxa"/>
            <w:vAlign w:val="bottom"/>
            <w:gridSpan w:val="2"/>
          </w:tcPr>
          <w:p>
            <w:pPr>
              <w:jc w:val="right"/>
              <w:ind w:right="53"/>
              <w:spacing w:after="0"/>
              <w:rPr>
                <w:sz w:val="20"/>
                <w:szCs w:val="20"/>
                <w:color w:val="auto"/>
              </w:rPr>
            </w:pPr>
            <w:r>
              <w:rPr>
                <w:rFonts w:ascii="Calibri" w:cs="Calibri" w:eastAsia="Calibri" w:hAnsi="Calibri"/>
                <w:sz w:val="13"/>
                <w:szCs w:val="13"/>
                <w:color w:val="auto"/>
              </w:rPr>
              <w:t>$</w:t>
            </w:r>
          </w:p>
        </w:tc>
        <w:tc>
          <w:tcPr>
            <w:tcW w:w="1100" w:type="dxa"/>
            <w:vAlign w:val="bottom"/>
          </w:tcPr>
          <w:p>
            <w:pPr>
              <w:jc w:val="right"/>
              <w:spacing w:after="0"/>
              <w:rPr>
                <w:sz w:val="20"/>
                <w:szCs w:val="20"/>
                <w:color w:val="auto"/>
              </w:rPr>
            </w:pPr>
            <w:r>
              <w:rPr>
                <w:rFonts w:ascii="Calibri" w:cs="Calibri" w:eastAsia="Calibri" w:hAnsi="Calibri"/>
                <w:sz w:val="13"/>
                <w:szCs w:val="13"/>
                <w:color w:val="auto"/>
              </w:rPr>
              <w:t>46</w:t>
            </w:r>
          </w:p>
        </w:tc>
        <w:tc>
          <w:tcPr>
            <w:tcW w:w="300" w:type="dxa"/>
            <w:vAlign w:val="bottom"/>
          </w:tcPr>
          <w:p>
            <w:pPr>
              <w:spacing w:after="0"/>
              <w:rPr>
                <w:sz w:val="14"/>
                <w:szCs w:val="14"/>
                <w:color w:val="auto"/>
              </w:rPr>
            </w:pPr>
          </w:p>
        </w:tc>
        <w:tc>
          <w:tcPr>
            <w:tcW w:w="300" w:type="dxa"/>
            <w:vAlign w:val="bottom"/>
          </w:tcPr>
          <w:p>
            <w:pPr>
              <w:jc w:val="right"/>
              <w:ind w:right="153"/>
              <w:spacing w:after="0"/>
              <w:rPr>
                <w:sz w:val="20"/>
                <w:szCs w:val="20"/>
                <w:color w:val="auto"/>
              </w:rPr>
            </w:pPr>
            <w:r>
              <w:rPr>
                <w:rFonts w:ascii="Calibri" w:cs="Calibri" w:eastAsia="Calibri" w:hAnsi="Calibri"/>
                <w:sz w:val="13"/>
                <w:szCs w:val="13"/>
                <w:color w:val="auto"/>
                <w:w w:val="90"/>
              </w:rPr>
              <w:t>$</w:t>
            </w:r>
          </w:p>
        </w:tc>
        <w:tc>
          <w:tcPr>
            <w:tcW w:w="1020" w:type="dxa"/>
            <w:vAlign w:val="bottom"/>
          </w:tcPr>
          <w:p>
            <w:pPr>
              <w:jc w:val="right"/>
              <w:spacing w:after="0"/>
              <w:rPr>
                <w:sz w:val="20"/>
                <w:szCs w:val="20"/>
                <w:color w:val="auto"/>
              </w:rPr>
            </w:pPr>
            <w:r>
              <w:rPr>
                <w:rFonts w:ascii="Calibri" w:cs="Calibri" w:eastAsia="Calibri" w:hAnsi="Calibri"/>
                <w:sz w:val="13"/>
                <w:szCs w:val="13"/>
                <w:color w:val="auto"/>
              </w:rPr>
              <w:t>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-4820285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-4820285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-4820285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-3782695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-3782695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-3782695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-2222500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-2222500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-1948180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-1948180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-1948180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-1682750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-1682750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-1682750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-756920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-739775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-756920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-739775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-756920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-739775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 w:lineRule="exact"/>
        <w:rPr>
          <w:sz w:val="20"/>
          <w:szCs w:val="20"/>
          <w:color w:val="auto"/>
        </w:rPr>
      </w:pPr>
    </w:p>
    <w:p>
      <w:pPr>
        <w:jc w:val="center"/>
        <w:spacing w:after="0"/>
        <w:rPr>
          <w:sz w:val="20"/>
          <w:szCs w:val="20"/>
          <w:color w:val="auto"/>
        </w:rPr>
      </w:pPr>
      <w:r>
        <w:rPr>
          <w:rFonts w:ascii="Calibri" w:cs="Calibri" w:eastAsia="Calibri" w:hAnsi="Calibri"/>
          <w:sz w:val="16"/>
          <w:szCs w:val="16"/>
          <w:i w:val="1"/>
          <w:iCs w:val="1"/>
          <w:color w:val="auto"/>
        </w:rPr>
        <w:t>The accompanying notes are an integral part of these consolidated fnancial statements</w:t>
      </w:r>
      <w:r>
        <w:rPr>
          <w:rFonts w:ascii="Calibri" w:cs="Calibri" w:eastAsia="Calibri" w:hAnsi="Calibri"/>
          <w:sz w:val="15"/>
          <w:szCs w:val="15"/>
          <w:i w:val="1"/>
          <w:iCs w:val="1"/>
          <w:color w:val="auto"/>
        </w:rPr>
        <w:t>.</w:t>
      </w:r>
    </w:p>
    <w:p>
      <w:pPr>
        <w:spacing w:after="0" w:line="21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5" w:name="page46"/>
    <w:bookmarkEnd w:id="45"/>
    <w:p>
      <w:pPr>
        <w:jc w:val="center"/>
        <w:ind w:right="-19"/>
        <w:spacing w:after="0"/>
        <w:rPr>
          <w:sz w:val="20"/>
          <w:szCs w:val="20"/>
          <w:color w:val="auto"/>
        </w:rPr>
      </w:pPr>
      <w:r>
        <w:rPr>
          <w:rFonts w:ascii="Calibri" w:cs="Calibri" w:eastAsia="Calibri" w:hAnsi="Calibri"/>
          <w:sz w:val="18"/>
          <w:szCs w:val="18"/>
          <w:b w:val="1"/>
          <w:bCs w:val="1"/>
          <w:color w:val="auto"/>
        </w:rPr>
        <w:t>CABOT CORPORATION</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b w:val="1"/>
          <w:bCs w:val="1"/>
          <w:color w:val="auto"/>
        </w:rPr>
        <w:t>CONSOLIDATED STATEMENTS OF CHANGES IN STOCKHOLDERS’ EQUITY</w:t>
      </w:r>
    </w:p>
    <w:p>
      <w:pPr>
        <w:spacing w:after="0" w:line="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(In millions, except shares in thousands and per share amounts)</w:t>
      </w:r>
    </w:p>
    <w:p>
      <w:pPr>
        <w:sectPr>
          <w:pgSz w:w="11900" w:h="16838" w:orient="portrait"/>
          <w:cols w:equalWidth="0" w:num="1">
            <w:col w:w="11180"/>
          </w:cols>
          <w:pgMar w:left="340" w:top="32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300"/>
        <w:spacing w:after="0" w:line="279" w:lineRule="auto"/>
        <w:rPr>
          <w:sz w:val="20"/>
          <w:szCs w:val="20"/>
          <w:color w:val="auto"/>
        </w:rPr>
      </w:pPr>
      <w:r>
        <w:rPr>
          <w:rFonts w:ascii="Calibri" w:cs="Calibri" w:eastAsia="Calibri" w:hAnsi="Calibri"/>
          <w:sz w:val="16"/>
          <w:szCs w:val="16"/>
          <w:color w:val="auto"/>
        </w:rPr>
        <w:t>Balance at September 30, 2020 Net income (loss)</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Total other comprehensive income (loss)</w:t>
      </w:r>
    </w:p>
    <w:p>
      <w:pPr>
        <w:spacing w:after="0" w:line="36" w:lineRule="exact"/>
        <w:rPr>
          <w:sz w:val="20"/>
          <w:szCs w:val="20"/>
          <w:color w:val="auto"/>
        </w:rPr>
      </w:pPr>
    </w:p>
    <w:p>
      <w:pPr>
        <w:jc w:val="both"/>
        <w:spacing w:after="0" w:line="259" w:lineRule="auto"/>
        <w:rPr>
          <w:sz w:val="20"/>
          <w:szCs w:val="20"/>
          <w:color w:val="auto"/>
        </w:rPr>
      </w:pPr>
      <w:r>
        <w:rPr>
          <w:rFonts w:ascii="Calibri" w:cs="Calibri" w:eastAsia="Calibri" w:hAnsi="Calibri"/>
          <w:sz w:val="16"/>
          <w:szCs w:val="16"/>
          <w:color w:val="auto"/>
        </w:rPr>
        <w:t>Cash dividends declared to noncontrolling interests Cash dividends declared to common stockholders, $1.40 per</w:t>
      </w:r>
    </w:p>
    <w:p>
      <w:pPr>
        <w:ind w:left="120"/>
        <w:spacing w:after="0"/>
        <w:rPr>
          <w:sz w:val="20"/>
          <w:szCs w:val="20"/>
          <w:color w:val="auto"/>
        </w:rPr>
      </w:pPr>
      <w:r>
        <w:rPr>
          <w:rFonts w:ascii="Calibri" w:cs="Calibri" w:eastAsia="Calibri" w:hAnsi="Calibri"/>
          <w:sz w:val="16"/>
          <w:szCs w:val="16"/>
          <w:color w:val="auto"/>
        </w:rPr>
        <w:t>share</w:t>
      </w:r>
    </w:p>
    <w:p>
      <w:pPr>
        <w:spacing w:after="0" w:line="36" w:lineRule="exact"/>
        <w:rPr>
          <w:sz w:val="20"/>
          <w:szCs w:val="20"/>
          <w:color w:val="auto"/>
        </w:rPr>
      </w:pPr>
    </w:p>
    <w:p>
      <w:pPr>
        <w:jc w:val="both"/>
        <w:spacing w:after="0" w:line="279" w:lineRule="auto"/>
        <w:rPr>
          <w:sz w:val="20"/>
          <w:szCs w:val="20"/>
          <w:color w:val="auto"/>
        </w:rPr>
      </w:pPr>
      <w:r>
        <w:rPr>
          <w:rFonts w:ascii="Calibri" w:cs="Calibri" w:eastAsia="Calibri" w:hAnsi="Calibri"/>
          <w:sz w:val="16"/>
          <w:szCs w:val="16"/>
          <w:color w:val="auto"/>
        </w:rPr>
        <w:t>Issuance of stock under equity compensaton plans Stock-based compensaton</w:t>
      </w:r>
    </w:p>
    <w:p>
      <w:pPr>
        <w:spacing w:after="0" w:line="18" w:lineRule="exact"/>
        <w:rPr>
          <w:sz w:val="20"/>
          <w:szCs w:val="20"/>
          <w:color w:val="auto"/>
        </w:rPr>
      </w:pPr>
    </w:p>
    <w:p>
      <w:pPr>
        <w:ind w:right="560"/>
        <w:spacing w:after="0" w:line="280" w:lineRule="auto"/>
        <w:rPr>
          <w:sz w:val="20"/>
          <w:szCs w:val="20"/>
          <w:color w:val="auto"/>
        </w:rPr>
      </w:pPr>
      <w:r>
        <w:rPr>
          <w:rFonts w:ascii="Calibri" w:cs="Calibri" w:eastAsia="Calibri" w:hAnsi="Calibri"/>
          <w:sz w:val="16"/>
          <w:szCs w:val="16"/>
          <w:color w:val="auto"/>
        </w:rPr>
        <w:t>Purchase and retrement of common stock Balance at September 30, 2021 Net income (loss)</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Total other comprehensive income (loss)</w:t>
      </w:r>
    </w:p>
    <w:p>
      <w:pPr>
        <w:spacing w:after="0" w:line="36" w:lineRule="exact"/>
        <w:rPr>
          <w:sz w:val="20"/>
          <w:szCs w:val="20"/>
          <w:color w:val="auto"/>
        </w:rPr>
      </w:pPr>
    </w:p>
    <w:p>
      <w:pPr>
        <w:jc w:val="both"/>
        <w:spacing w:after="0" w:line="259" w:lineRule="auto"/>
        <w:rPr>
          <w:sz w:val="20"/>
          <w:szCs w:val="20"/>
          <w:color w:val="auto"/>
        </w:rPr>
      </w:pPr>
      <w:r>
        <w:rPr>
          <w:rFonts w:ascii="Calibri" w:cs="Calibri" w:eastAsia="Calibri" w:hAnsi="Calibri"/>
          <w:sz w:val="16"/>
          <w:szCs w:val="16"/>
          <w:color w:val="auto"/>
        </w:rPr>
        <w:t>Cash dividends declared to noncontrolling interests Cash dividends declared to common stockholders, $1.48 per</w:t>
      </w:r>
    </w:p>
    <w:p>
      <w:pPr>
        <w:ind w:left="120"/>
        <w:spacing w:after="0"/>
        <w:rPr>
          <w:sz w:val="20"/>
          <w:szCs w:val="20"/>
          <w:color w:val="auto"/>
        </w:rPr>
      </w:pPr>
      <w:r>
        <w:rPr>
          <w:rFonts w:ascii="Calibri" w:cs="Calibri" w:eastAsia="Calibri" w:hAnsi="Calibri"/>
          <w:sz w:val="16"/>
          <w:szCs w:val="16"/>
          <w:color w:val="auto"/>
        </w:rPr>
        <w:t>share</w:t>
      </w:r>
    </w:p>
    <w:p>
      <w:pPr>
        <w:spacing w:after="0" w:line="36" w:lineRule="exact"/>
        <w:rPr>
          <w:sz w:val="20"/>
          <w:szCs w:val="20"/>
          <w:color w:val="auto"/>
        </w:rPr>
      </w:pPr>
    </w:p>
    <w:p>
      <w:pPr>
        <w:jc w:val="both"/>
        <w:spacing w:after="0" w:line="279" w:lineRule="auto"/>
        <w:rPr>
          <w:sz w:val="20"/>
          <w:szCs w:val="20"/>
          <w:color w:val="auto"/>
        </w:rPr>
      </w:pPr>
      <w:r>
        <w:rPr>
          <w:rFonts w:ascii="Calibri" w:cs="Calibri" w:eastAsia="Calibri" w:hAnsi="Calibri"/>
          <w:sz w:val="16"/>
          <w:szCs w:val="16"/>
          <w:color w:val="auto"/>
        </w:rPr>
        <w:t>Issuance of stock under equity compensaton plans Stock-based compensaton</w:t>
      </w:r>
    </w:p>
    <w:p>
      <w:pPr>
        <w:spacing w:after="0" w:line="18" w:lineRule="exact"/>
        <w:rPr>
          <w:sz w:val="20"/>
          <w:szCs w:val="20"/>
          <w:color w:val="auto"/>
        </w:rPr>
      </w:pPr>
    </w:p>
    <w:p>
      <w:pPr>
        <w:ind w:right="560"/>
        <w:spacing w:after="0" w:line="280" w:lineRule="auto"/>
        <w:rPr>
          <w:sz w:val="20"/>
          <w:szCs w:val="20"/>
          <w:color w:val="auto"/>
        </w:rPr>
      </w:pPr>
      <w:r>
        <w:rPr>
          <w:rFonts w:ascii="Calibri" w:cs="Calibri" w:eastAsia="Calibri" w:hAnsi="Calibri"/>
          <w:sz w:val="16"/>
          <w:szCs w:val="16"/>
          <w:color w:val="auto"/>
        </w:rPr>
        <w:t>Purchase and retrement of common stock Balance at September 30, 2022 Net income (loss)</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Total other comprehensive income (loss)</w:t>
      </w:r>
    </w:p>
    <w:p>
      <w:pPr>
        <w:spacing w:after="0" w:line="36" w:lineRule="exact"/>
        <w:rPr>
          <w:sz w:val="20"/>
          <w:szCs w:val="20"/>
          <w:color w:val="auto"/>
        </w:rPr>
      </w:pPr>
    </w:p>
    <w:p>
      <w:pPr>
        <w:jc w:val="both"/>
        <w:spacing w:after="0" w:line="259" w:lineRule="auto"/>
        <w:rPr>
          <w:sz w:val="20"/>
          <w:szCs w:val="20"/>
          <w:color w:val="auto"/>
        </w:rPr>
      </w:pPr>
      <w:r>
        <w:rPr>
          <w:rFonts w:ascii="Calibri" w:cs="Calibri" w:eastAsia="Calibri" w:hAnsi="Calibri"/>
          <w:sz w:val="16"/>
          <w:szCs w:val="16"/>
          <w:color w:val="auto"/>
        </w:rPr>
        <w:t>Cash dividends declared to noncontrolling interests Cash dividends declared to common stockholders, $1.54 per</w:t>
      </w:r>
    </w:p>
    <w:p>
      <w:pPr>
        <w:ind w:left="120"/>
        <w:spacing w:after="0"/>
        <w:rPr>
          <w:sz w:val="20"/>
          <w:szCs w:val="20"/>
          <w:color w:val="auto"/>
        </w:rPr>
      </w:pPr>
      <w:r>
        <w:rPr>
          <w:rFonts w:ascii="Calibri" w:cs="Calibri" w:eastAsia="Calibri" w:hAnsi="Calibri"/>
          <w:sz w:val="16"/>
          <w:szCs w:val="16"/>
          <w:color w:val="auto"/>
        </w:rPr>
        <w:t>share</w:t>
      </w:r>
    </w:p>
    <w:p>
      <w:pPr>
        <w:spacing w:after="0" w:line="36" w:lineRule="exact"/>
        <w:rPr>
          <w:sz w:val="20"/>
          <w:szCs w:val="20"/>
          <w:color w:val="auto"/>
        </w:rPr>
      </w:pPr>
    </w:p>
    <w:p>
      <w:pPr>
        <w:jc w:val="both"/>
        <w:spacing w:after="0" w:line="279" w:lineRule="auto"/>
        <w:rPr>
          <w:sz w:val="20"/>
          <w:szCs w:val="20"/>
          <w:color w:val="auto"/>
        </w:rPr>
      </w:pPr>
      <w:r>
        <w:rPr>
          <w:rFonts w:ascii="Calibri" w:cs="Calibri" w:eastAsia="Calibri" w:hAnsi="Calibri"/>
          <w:sz w:val="16"/>
          <w:szCs w:val="16"/>
          <w:color w:val="auto"/>
        </w:rPr>
        <w:t>Issuance of stock under equity compensaton plans Stock-based compensaton</w:t>
      </w:r>
    </w:p>
    <w:p>
      <w:pPr>
        <w:spacing w:after="0" w:line="18" w:lineRule="exact"/>
        <w:rPr>
          <w:sz w:val="20"/>
          <w:szCs w:val="20"/>
          <w:color w:val="auto"/>
        </w:rPr>
      </w:pPr>
    </w:p>
    <w:p>
      <w:pPr>
        <w:ind w:right="560"/>
        <w:spacing w:after="0" w:line="321" w:lineRule="auto"/>
        <w:rPr>
          <w:sz w:val="20"/>
          <w:szCs w:val="20"/>
          <w:color w:val="auto"/>
        </w:rPr>
      </w:pPr>
      <w:r>
        <w:rPr>
          <w:rFonts w:ascii="Calibri" w:cs="Calibri" w:eastAsia="Calibri" w:hAnsi="Calibri"/>
          <w:sz w:val="16"/>
          <w:szCs w:val="16"/>
          <w:color w:val="auto"/>
        </w:rPr>
        <w:t>Purchase and retrement of common stock Balance at September 30, 2023</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w w:val="94"/>
              </w:rPr>
              <w:t>Total</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Cabot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tcPr>
          <w:p>
            <w:pPr>
              <w:jc w:val="center"/>
              <w:ind w:right="119"/>
              <w:spacing w:after="0"/>
              <w:rPr>
                <w:sz w:val="20"/>
                <w:szCs w:val="20"/>
                <w:color w:val="auto"/>
              </w:rPr>
            </w:pPr>
            <w:r>
              <w:rPr>
                <w:rFonts w:ascii="Calibri" w:cs="Calibri" w:eastAsia="Calibri" w:hAnsi="Calibri"/>
                <w:sz w:val="14"/>
                <w:szCs w:val="14"/>
                <w:b w:val="1"/>
                <w:bCs w:val="1"/>
                <w:color w:val="auto"/>
              </w:rPr>
              <w:t>Accumulat</w:t>
            </w:r>
          </w:p>
        </w:tc>
        <w:tc>
          <w:tcPr>
            <w:tcW w:w="920" w:type="dxa"/>
            <w:vAlign w:val="bottom"/>
            <w:gridSpan w:val="3"/>
          </w:tcPr>
          <w:p>
            <w:pPr>
              <w:jc w:val="center"/>
              <w:ind w:right="200"/>
              <w:spacing w:after="0"/>
              <w:rPr>
                <w:sz w:val="20"/>
                <w:szCs w:val="20"/>
                <w:color w:val="auto"/>
              </w:rPr>
            </w:pPr>
            <w:r>
              <w:rPr>
                <w:rFonts w:ascii="Calibri" w:cs="Calibri" w:eastAsia="Calibri" w:hAnsi="Calibri"/>
                <w:sz w:val="14"/>
                <w:szCs w:val="14"/>
                <w:b w:val="1"/>
                <w:bCs w:val="1"/>
                <w:color w:val="auto"/>
              </w:rPr>
              <w:t>Corporato</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0" w:type="dxa"/>
            <w:vAlign w:val="bottom"/>
            <w:gridSpan w:val="5"/>
            <w:vMerge w:val="restart"/>
          </w:tcPr>
          <w:p>
            <w:pPr>
              <w:jc w:val="right"/>
              <w:ind w:right="460"/>
              <w:spacing w:after="0"/>
              <w:rPr>
                <w:sz w:val="20"/>
                <w:szCs w:val="20"/>
                <w:color w:val="auto"/>
              </w:rPr>
            </w:pPr>
            <w:r>
              <w:rPr>
                <w:rFonts w:ascii="Calibri" w:cs="Calibri" w:eastAsia="Calibri" w:hAnsi="Calibri"/>
                <w:sz w:val="14"/>
                <w:szCs w:val="14"/>
                <w:b w:val="1"/>
                <w:bCs w:val="1"/>
                <w:color w:val="auto"/>
              </w:rPr>
              <w:t>Common Stock, Net of</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tcPr>
          <w:p>
            <w:pPr>
              <w:jc w:val="center"/>
              <w:ind w:right="159"/>
              <w:spacing w:after="0"/>
              <w:rPr>
                <w:sz w:val="20"/>
                <w:szCs w:val="20"/>
                <w:color w:val="auto"/>
              </w:rPr>
            </w:pPr>
            <w:r>
              <w:rPr>
                <w:rFonts w:ascii="Calibri" w:cs="Calibri" w:eastAsia="Calibri" w:hAnsi="Calibri"/>
                <w:sz w:val="14"/>
                <w:szCs w:val="14"/>
                <w:b w:val="1"/>
                <w:bCs w:val="1"/>
                <w:color w:val="auto"/>
              </w:rPr>
              <w:t>ed Other</w:t>
            </w:r>
          </w:p>
        </w:tc>
        <w:tc>
          <w:tcPr>
            <w:tcW w:w="140" w:type="dxa"/>
            <w:vAlign w:val="bottom"/>
          </w:tcPr>
          <w:p>
            <w:pPr>
              <w:spacing w:after="0"/>
              <w:rPr>
                <w:sz w:val="15"/>
                <w:szCs w:val="15"/>
                <w:color w:val="auto"/>
              </w:rPr>
            </w:pPr>
          </w:p>
        </w:tc>
        <w:tc>
          <w:tcPr>
            <w:tcW w:w="78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n</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w w:val="94"/>
              </w:rPr>
              <w:t>Total</w:t>
            </w:r>
          </w:p>
        </w:tc>
        <w:tc>
          <w:tcPr>
            <w:tcW w:w="0" w:type="dxa"/>
            <w:vAlign w:val="bottom"/>
          </w:tcPr>
          <w:p>
            <w:pPr>
              <w:spacing w:after="0"/>
              <w:rPr>
                <w:sz w:val="1"/>
                <w:szCs w:val="1"/>
                <w:color w:val="auto"/>
              </w:rPr>
            </w:pPr>
          </w:p>
        </w:tc>
      </w:tr>
      <w:tr>
        <w:trPr>
          <w:trHeight w:val="168"/>
        </w:trPr>
        <w:tc>
          <w:tcPr>
            <w:tcW w:w="2000" w:type="dxa"/>
            <w:vAlign w:val="bottom"/>
            <w:gridSpan w:val="5"/>
            <w:vMerge w:val="continue"/>
          </w:tcPr>
          <w:p>
            <w:pPr>
              <w:spacing w:after="0"/>
              <w:rPr>
                <w:sz w:val="14"/>
                <w:szCs w:val="14"/>
                <w:color w:val="auto"/>
              </w:rPr>
            </w:pPr>
          </w:p>
        </w:tc>
        <w:tc>
          <w:tcPr>
            <w:tcW w:w="940" w:type="dxa"/>
            <w:vAlign w:val="bottom"/>
            <w:gridSpan w:val="3"/>
          </w:tcPr>
          <w:p>
            <w:pPr>
              <w:jc w:val="right"/>
              <w:ind w:right="280"/>
              <w:spacing w:after="0" w:line="168" w:lineRule="exact"/>
              <w:rPr>
                <w:sz w:val="20"/>
                <w:szCs w:val="20"/>
                <w:color w:val="auto"/>
              </w:rPr>
            </w:pPr>
            <w:r>
              <w:rPr>
                <w:rFonts w:ascii="Calibri" w:cs="Calibri" w:eastAsia="Calibri" w:hAnsi="Calibri"/>
                <w:sz w:val="14"/>
                <w:szCs w:val="14"/>
                <w:b w:val="1"/>
                <w:bCs w:val="1"/>
                <w:color w:val="auto"/>
              </w:rPr>
              <w:t>Additonal</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jc w:val="center"/>
              <w:ind w:right="119"/>
              <w:spacing w:after="0" w:line="168" w:lineRule="exact"/>
              <w:rPr>
                <w:sz w:val="20"/>
                <w:szCs w:val="20"/>
                <w:color w:val="auto"/>
              </w:rPr>
            </w:pPr>
            <w:r>
              <w:rPr>
                <w:rFonts w:ascii="Calibri" w:cs="Calibri" w:eastAsia="Calibri" w:hAnsi="Calibri"/>
                <w:sz w:val="14"/>
                <w:szCs w:val="14"/>
                <w:b w:val="1"/>
                <w:bCs w:val="1"/>
                <w:color w:val="auto"/>
              </w:rPr>
              <w:t>Comprehe</w:t>
            </w:r>
          </w:p>
        </w:tc>
        <w:tc>
          <w:tcPr>
            <w:tcW w:w="920" w:type="dxa"/>
            <w:vAlign w:val="bottom"/>
            <w:gridSpan w:val="3"/>
          </w:tcPr>
          <w:p>
            <w:pPr>
              <w:jc w:val="center"/>
              <w:ind w:right="220"/>
              <w:spacing w:after="0" w:line="168" w:lineRule="exact"/>
              <w:rPr>
                <w:sz w:val="20"/>
                <w:szCs w:val="20"/>
                <w:color w:val="auto"/>
              </w:rPr>
            </w:pPr>
            <w:r>
              <w:rPr>
                <w:rFonts w:ascii="Calibri" w:cs="Calibri" w:eastAsia="Calibri" w:hAnsi="Calibri"/>
                <w:sz w:val="14"/>
                <w:szCs w:val="14"/>
                <w:b w:val="1"/>
                <w:bCs w:val="1"/>
                <w:color w:val="auto"/>
              </w:rPr>
              <w:t>Stockhold</w:t>
            </w:r>
          </w:p>
        </w:tc>
        <w:tc>
          <w:tcPr>
            <w:tcW w:w="900" w:type="dxa"/>
            <w:vAlign w:val="bottom"/>
            <w:gridSpan w:val="3"/>
          </w:tcPr>
          <w:p>
            <w:pPr>
              <w:ind w:left="20"/>
              <w:spacing w:after="0" w:line="168" w:lineRule="exact"/>
              <w:rPr>
                <w:sz w:val="20"/>
                <w:szCs w:val="20"/>
                <w:color w:val="auto"/>
              </w:rPr>
            </w:pPr>
            <w:r>
              <w:rPr>
                <w:rFonts w:ascii="Calibri" w:cs="Calibri" w:eastAsia="Calibri" w:hAnsi="Calibri"/>
                <w:sz w:val="14"/>
                <w:szCs w:val="14"/>
                <w:b w:val="1"/>
                <w:bCs w:val="1"/>
                <w:color w:val="auto"/>
              </w:rPr>
              <w:t>Noncontro</w:t>
            </w:r>
          </w:p>
        </w:tc>
        <w:tc>
          <w:tcPr>
            <w:tcW w:w="780" w:type="dxa"/>
            <w:vAlign w:val="bottom"/>
            <w:gridSpan w:val="3"/>
          </w:tcPr>
          <w:p>
            <w:pPr>
              <w:jc w:val="center"/>
              <w:ind w:right="80"/>
              <w:spacing w:after="0" w:line="168" w:lineRule="exact"/>
              <w:rPr>
                <w:sz w:val="20"/>
                <w:szCs w:val="20"/>
                <w:color w:val="auto"/>
              </w:rPr>
            </w:pPr>
            <w:r>
              <w:rPr>
                <w:rFonts w:ascii="Calibri" w:cs="Calibri" w:eastAsia="Calibri" w:hAnsi="Calibri"/>
                <w:sz w:val="14"/>
                <w:szCs w:val="14"/>
                <w:b w:val="1"/>
                <w:bCs w:val="1"/>
                <w:color w:val="auto"/>
              </w:rPr>
              <w:t>Stockholde</w:t>
            </w:r>
          </w:p>
        </w:tc>
        <w:tc>
          <w:tcPr>
            <w:tcW w:w="0" w:type="dxa"/>
            <w:vAlign w:val="bottom"/>
          </w:tcPr>
          <w:p>
            <w:pPr>
              <w:spacing w:after="0"/>
              <w:rPr>
                <w:sz w:val="1"/>
                <w:szCs w:val="1"/>
                <w:color w:val="auto"/>
              </w:rPr>
            </w:pPr>
          </w:p>
        </w:tc>
      </w:tr>
      <w:tr>
        <w:trPr>
          <w:trHeight w:val="197"/>
        </w:trPr>
        <w:tc>
          <w:tcPr>
            <w:tcW w:w="2000" w:type="dxa"/>
            <w:vAlign w:val="bottom"/>
            <w:gridSpan w:val="5"/>
          </w:tcPr>
          <w:p>
            <w:pPr>
              <w:jc w:val="right"/>
              <w:ind w:right="680"/>
              <w:spacing w:after="0"/>
              <w:rPr>
                <w:sz w:val="20"/>
                <w:szCs w:val="20"/>
                <w:color w:val="auto"/>
              </w:rPr>
            </w:pPr>
            <w:r>
              <w:rPr>
                <w:rFonts w:ascii="Calibri" w:cs="Calibri" w:eastAsia="Calibri" w:hAnsi="Calibri"/>
                <w:sz w:val="14"/>
                <w:szCs w:val="14"/>
                <w:b w:val="1"/>
                <w:bCs w:val="1"/>
                <w:color w:val="auto"/>
              </w:rPr>
              <w:t>Treasury Stock</w:t>
            </w:r>
          </w:p>
        </w:tc>
        <w:tc>
          <w:tcPr>
            <w:tcW w:w="120" w:type="dxa"/>
            <w:vAlign w:val="bottom"/>
          </w:tcPr>
          <w:p>
            <w:pPr>
              <w:spacing w:after="0"/>
              <w:rPr>
                <w:sz w:val="17"/>
                <w:szCs w:val="17"/>
                <w:color w:val="auto"/>
              </w:rPr>
            </w:pPr>
          </w:p>
        </w:tc>
        <w:tc>
          <w:tcPr>
            <w:tcW w:w="820" w:type="dxa"/>
            <w:vAlign w:val="bottom"/>
            <w:gridSpan w:val="2"/>
          </w:tcPr>
          <w:p>
            <w:pPr>
              <w:jc w:val="right"/>
              <w:ind w:right="380"/>
              <w:spacing w:after="0"/>
              <w:rPr>
                <w:sz w:val="20"/>
                <w:szCs w:val="20"/>
                <w:color w:val="auto"/>
              </w:rPr>
            </w:pPr>
            <w:r>
              <w:rPr>
                <w:rFonts w:ascii="Calibri" w:cs="Calibri" w:eastAsia="Calibri" w:hAnsi="Calibri"/>
                <w:sz w:val="14"/>
                <w:szCs w:val="14"/>
                <w:b w:val="1"/>
                <w:bCs w:val="1"/>
                <w:color w:val="auto"/>
              </w:rPr>
              <w:t>Paid-in</w:t>
            </w:r>
          </w:p>
        </w:tc>
        <w:tc>
          <w:tcPr>
            <w:tcW w:w="900" w:type="dxa"/>
            <w:vAlign w:val="bottom"/>
            <w:gridSpan w:val="3"/>
          </w:tcPr>
          <w:p>
            <w:pPr>
              <w:jc w:val="right"/>
              <w:ind w:right="300"/>
              <w:spacing w:after="0"/>
              <w:rPr>
                <w:sz w:val="20"/>
                <w:szCs w:val="20"/>
                <w:color w:val="auto"/>
              </w:rPr>
            </w:pPr>
            <w:r>
              <w:rPr>
                <w:rFonts w:ascii="Calibri" w:cs="Calibri" w:eastAsia="Calibri" w:hAnsi="Calibri"/>
                <w:sz w:val="14"/>
                <w:szCs w:val="14"/>
                <w:b w:val="1"/>
                <w:bCs w:val="1"/>
                <w:color w:val="auto"/>
              </w:rPr>
              <w:t>Retained</w:t>
            </w:r>
          </w:p>
        </w:tc>
        <w:tc>
          <w:tcPr>
            <w:tcW w:w="100" w:type="dxa"/>
            <w:vAlign w:val="bottom"/>
          </w:tcPr>
          <w:p>
            <w:pPr>
              <w:spacing w:after="0"/>
              <w:rPr>
                <w:sz w:val="17"/>
                <w:szCs w:val="17"/>
                <w:color w:val="auto"/>
              </w:rPr>
            </w:pPr>
          </w:p>
        </w:tc>
        <w:tc>
          <w:tcPr>
            <w:tcW w:w="800" w:type="dxa"/>
            <w:vAlign w:val="bottom"/>
            <w:gridSpan w:val="2"/>
          </w:tcPr>
          <w:p>
            <w:pPr>
              <w:jc w:val="center"/>
              <w:ind w:right="219"/>
              <w:spacing w:after="0"/>
              <w:rPr>
                <w:sz w:val="20"/>
                <w:szCs w:val="20"/>
                <w:color w:val="auto"/>
              </w:rPr>
            </w:pPr>
            <w:r>
              <w:rPr>
                <w:rFonts w:ascii="Calibri" w:cs="Calibri" w:eastAsia="Calibri" w:hAnsi="Calibri"/>
                <w:sz w:val="14"/>
                <w:szCs w:val="14"/>
                <w:b w:val="1"/>
                <w:bCs w:val="1"/>
                <w:color w:val="auto"/>
                <w:w w:val="99"/>
              </w:rPr>
              <w:t>nsive</w:t>
            </w:r>
          </w:p>
        </w:tc>
        <w:tc>
          <w:tcPr>
            <w:tcW w:w="140" w:type="dxa"/>
            <w:vAlign w:val="bottom"/>
          </w:tcPr>
          <w:p>
            <w:pPr>
              <w:spacing w:after="0"/>
              <w:rPr>
                <w:sz w:val="17"/>
                <w:szCs w:val="17"/>
                <w:color w:val="auto"/>
              </w:rPr>
            </w:pPr>
          </w:p>
        </w:tc>
        <w:tc>
          <w:tcPr>
            <w:tcW w:w="78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ers’</w:t>
            </w:r>
          </w:p>
        </w:tc>
        <w:tc>
          <w:tcPr>
            <w:tcW w:w="140" w:type="dxa"/>
            <w:vAlign w:val="bottom"/>
          </w:tcPr>
          <w:p>
            <w:pPr>
              <w:spacing w:after="0"/>
              <w:rPr>
                <w:sz w:val="17"/>
                <w:szCs w:val="17"/>
                <w:color w:val="auto"/>
              </w:rPr>
            </w:pPr>
          </w:p>
        </w:tc>
        <w:tc>
          <w:tcPr>
            <w:tcW w:w="760" w:type="dxa"/>
            <w:vAlign w:val="bottom"/>
            <w:gridSpan w:val="2"/>
          </w:tcPr>
          <w:p>
            <w:pPr>
              <w:jc w:val="right"/>
              <w:ind w:right="440"/>
              <w:spacing w:after="0"/>
              <w:rPr>
                <w:sz w:val="20"/>
                <w:szCs w:val="20"/>
                <w:color w:val="auto"/>
              </w:rPr>
            </w:pPr>
            <w:r>
              <w:rPr>
                <w:rFonts w:ascii="Calibri" w:cs="Calibri" w:eastAsia="Calibri" w:hAnsi="Calibri"/>
                <w:sz w:val="14"/>
                <w:szCs w:val="14"/>
                <w:b w:val="1"/>
                <w:bCs w:val="1"/>
                <w:color w:val="auto"/>
              </w:rPr>
              <w:t>lling</w:t>
            </w:r>
          </w:p>
        </w:tc>
        <w:tc>
          <w:tcPr>
            <w:tcW w:w="120" w:type="dxa"/>
            <w:vAlign w:val="bottom"/>
          </w:tcPr>
          <w:p>
            <w:pPr>
              <w:spacing w:after="0"/>
              <w:rPr>
                <w:sz w:val="17"/>
                <w:szCs w:val="17"/>
                <w:color w:val="auto"/>
              </w:rPr>
            </w:pPr>
          </w:p>
        </w:tc>
        <w:tc>
          <w:tcPr>
            <w:tcW w:w="66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w w:val="98"/>
              </w:rPr>
              <w:t>rs’</w:t>
            </w:r>
          </w:p>
        </w:tc>
        <w:tc>
          <w:tcPr>
            <w:tcW w:w="0" w:type="dxa"/>
            <w:vAlign w:val="bottom"/>
          </w:tcPr>
          <w:p>
            <w:pPr>
              <w:spacing w:after="0"/>
              <w:rPr>
                <w:sz w:val="1"/>
                <w:szCs w:val="1"/>
                <w:color w:val="auto"/>
              </w:rPr>
            </w:pPr>
          </w:p>
        </w:tc>
      </w:tr>
      <w:tr>
        <w:trPr>
          <w:trHeight w:val="169"/>
        </w:trPr>
        <w:tc>
          <w:tcPr>
            <w:tcW w:w="8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39"/>
              <w:spacing w:after="0" w:line="169" w:lineRule="exact"/>
              <w:rPr>
                <w:sz w:val="20"/>
                <w:szCs w:val="20"/>
                <w:color w:val="auto"/>
              </w:rPr>
            </w:pPr>
            <w:r>
              <w:rPr>
                <w:rFonts w:ascii="Calibri" w:cs="Calibri" w:eastAsia="Calibri" w:hAnsi="Calibri"/>
                <w:sz w:val="14"/>
                <w:szCs w:val="14"/>
                <w:b w:val="1"/>
                <w:bCs w:val="1"/>
                <w:color w:val="auto"/>
              </w:rPr>
              <w:t>Income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40" w:type="dxa"/>
            <w:vAlign w:val="bottom"/>
            <w:gridSpan w:val="2"/>
          </w:tcPr>
          <w:p>
            <w:pPr>
              <w:jc w:val="right"/>
              <w:ind w:right="440"/>
              <w:spacing w:after="0"/>
              <w:rPr>
                <w:sz w:val="20"/>
                <w:szCs w:val="20"/>
                <w:color w:val="auto"/>
              </w:rPr>
            </w:pPr>
            <w:r>
              <w:rPr>
                <w:rFonts w:ascii="Calibri" w:cs="Calibri" w:eastAsia="Calibri" w:hAnsi="Calibri"/>
                <w:sz w:val="14"/>
                <w:szCs w:val="14"/>
                <w:b w:val="1"/>
                <w:bCs w:val="1"/>
                <w:color w:val="auto"/>
              </w:rPr>
              <w:t>Shares</w:t>
            </w:r>
          </w:p>
        </w:tc>
        <w:tc>
          <w:tcPr>
            <w:tcW w:w="16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Calibri" w:cs="Calibri" w:eastAsia="Calibri" w:hAnsi="Calibri"/>
                <w:sz w:val="14"/>
                <w:szCs w:val="14"/>
                <w:b w:val="1"/>
                <w:bCs w:val="1"/>
                <w:color w:val="auto"/>
              </w:rPr>
              <w:t>Cost</w:t>
            </w:r>
          </w:p>
        </w:tc>
        <w:tc>
          <w:tcPr>
            <w:tcW w:w="12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Calibri" w:cs="Calibri" w:eastAsia="Calibri" w:hAnsi="Calibri"/>
                <w:sz w:val="14"/>
                <w:szCs w:val="14"/>
                <w:b w:val="1"/>
                <w:bCs w:val="1"/>
                <w:color w:val="auto"/>
              </w:rPr>
              <w:t>Capital</w:t>
            </w:r>
          </w:p>
        </w:tc>
        <w:tc>
          <w:tcPr>
            <w:tcW w:w="900" w:type="dxa"/>
            <w:vAlign w:val="bottom"/>
            <w:gridSpan w:val="3"/>
          </w:tcPr>
          <w:p>
            <w:pPr>
              <w:jc w:val="right"/>
              <w:ind w:right="300"/>
              <w:spacing w:after="0"/>
              <w:rPr>
                <w:sz w:val="20"/>
                <w:szCs w:val="20"/>
                <w:color w:val="auto"/>
              </w:rPr>
            </w:pPr>
            <w:r>
              <w:rPr>
                <w:rFonts w:ascii="Calibri" w:cs="Calibri" w:eastAsia="Calibri" w:hAnsi="Calibri"/>
                <w:sz w:val="14"/>
                <w:szCs w:val="14"/>
                <w:b w:val="1"/>
                <w:bCs w:val="1"/>
                <w:color w:val="auto"/>
              </w:rPr>
              <w:t>Earnings</w:t>
            </w:r>
          </w:p>
        </w:tc>
        <w:tc>
          <w:tcPr>
            <w:tcW w:w="100" w:type="dxa"/>
            <w:vAlign w:val="bottom"/>
          </w:tcPr>
          <w:p>
            <w:pPr>
              <w:spacing w:after="0"/>
              <w:rPr>
                <w:sz w:val="15"/>
                <w:szCs w:val="15"/>
                <w:color w:val="auto"/>
              </w:rPr>
            </w:pPr>
          </w:p>
        </w:tc>
        <w:tc>
          <w:tcPr>
            <w:tcW w:w="800" w:type="dxa"/>
            <w:vAlign w:val="bottom"/>
            <w:gridSpan w:val="2"/>
          </w:tcPr>
          <w:p>
            <w:pPr>
              <w:jc w:val="center"/>
              <w:ind w:right="219"/>
              <w:spacing w:after="0"/>
              <w:rPr>
                <w:sz w:val="20"/>
                <w:szCs w:val="20"/>
                <w:color w:val="auto"/>
              </w:rPr>
            </w:pPr>
            <w:r>
              <w:rPr>
                <w:rFonts w:ascii="Calibri" w:cs="Calibri" w:eastAsia="Calibri" w:hAnsi="Calibri"/>
                <w:sz w:val="14"/>
                <w:szCs w:val="14"/>
                <w:b w:val="1"/>
                <w:bCs w:val="1"/>
                <w:color w:val="auto"/>
              </w:rPr>
              <w:t>(Loss)</w:t>
            </w:r>
          </w:p>
        </w:tc>
        <w:tc>
          <w:tcPr>
            <w:tcW w:w="140" w:type="dxa"/>
            <w:vAlign w:val="bottom"/>
          </w:tcPr>
          <w:p>
            <w:pPr>
              <w:spacing w:after="0"/>
              <w:rPr>
                <w:sz w:val="15"/>
                <w:szCs w:val="15"/>
                <w:color w:val="auto"/>
              </w:rPr>
            </w:pPr>
          </w:p>
        </w:tc>
        <w:tc>
          <w:tcPr>
            <w:tcW w:w="78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Equity</w:t>
            </w:r>
          </w:p>
        </w:tc>
        <w:tc>
          <w:tcPr>
            <w:tcW w:w="900" w:type="dxa"/>
            <w:vAlign w:val="bottom"/>
            <w:gridSpan w:val="3"/>
          </w:tcPr>
          <w:p>
            <w:pPr>
              <w:jc w:val="right"/>
              <w:ind w:right="300"/>
              <w:spacing w:after="0"/>
              <w:rPr>
                <w:sz w:val="20"/>
                <w:szCs w:val="20"/>
                <w:color w:val="auto"/>
              </w:rPr>
            </w:pPr>
            <w:r>
              <w:rPr>
                <w:rFonts w:ascii="Calibri" w:cs="Calibri" w:eastAsia="Calibri" w:hAnsi="Calibri"/>
                <w:sz w:val="14"/>
                <w:szCs w:val="14"/>
                <w:b w:val="1"/>
                <w:bCs w:val="1"/>
                <w:color w:val="auto"/>
              </w:rPr>
              <w:t>Interests</w:t>
            </w:r>
          </w:p>
        </w:tc>
        <w:tc>
          <w:tcPr>
            <w:tcW w:w="12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33"/>
        </w:trPr>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vMerge w:val="restart"/>
          </w:tcPr>
          <w:p>
            <w:pPr>
              <w:jc w:val="right"/>
              <w:ind w:right="59"/>
              <w:spacing w:after="0"/>
              <w:rPr>
                <w:sz w:val="20"/>
                <w:szCs w:val="20"/>
                <w:color w:val="auto"/>
              </w:rPr>
            </w:pPr>
            <w:r>
              <w:rPr>
                <w:rFonts w:ascii="Calibri" w:cs="Calibri" w:eastAsia="Calibri" w:hAnsi="Calibri"/>
                <w:sz w:val="16"/>
                <w:szCs w:val="16"/>
                <w:color w:val="auto"/>
                <w:w w:val="81"/>
              </w:rPr>
              <w:t>)</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00" w:type="dxa"/>
            <w:vAlign w:val="bottom"/>
          </w:tcPr>
          <w:p>
            <w:pPr>
              <w:jc w:val="right"/>
              <w:spacing w:after="0" w:line="187" w:lineRule="exact"/>
              <w:rPr>
                <w:sz w:val="20"/>
                <w:szCs w:val="20"/>
                <w:color w:val="auto"/>
              </w:rPr>
            </w:pPr>
            <w:r>
              <w:rPr>
                <w:rFonts w:ascii="Calibri" w:cs="Calibri" w:eastAsia="Calibri" w:hAnsi="Calibri"/>
                <w:sz w:val="16"/>
                <w:szCs w:val="16"/>
                <w:color w:val="auto"/>
              </w:rPr>
              <w:t>56,467</w:t>
            </w:r>
          </w:p>
        </w:tc>
        <w:tc>
          <w:tcPr>
            <w:tcW w:w="240" w:type="dxa"/>
            <w:vAlign w:val="bottom"/>
          </w:tcPr>
          <w:p>
            <w:pPr>
              <w:spacing w:after="0"/>
              <w:rPr>
                <w:sz w:val="16"/>
                <w:szCs w:val="16"/>
                <w:color w:val="auto"/>
              </w:rPr>
            </w:pPr>
          </w:p>
        </w:tc>
        <w:tc>
          <w:tcPr>
            <w:tcW w:w="160" w:type="dxa"/>
            <w:vAlign w:val="bottom"/>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53</w:t>
            </w:r>
          </w:p>
        </w:tc>
        <w:tc>
          <w:tcPr>
            <w:tcW w:w="240" w:type="dxa"/>
            <w:vAlign w:val="bottom"/>
          </w:tcPr>
          <w:p>
            <w:pPr>
              <w:spacing w:after="0"/>
              <w:rPr>
                <w:sz w:val="16"/>
                <w:szCs w:val="16"/>
                <w:color w:val="auto"/>
              </w:rPr>
            </w:pPr>
          </w:p>
        </w:tc>
        <w:tc>
          <w:tcPr>
            <w:tcW w:w="120" w:type="dxa"/>
            <w:vAlign w:val="bottom"/>
          </w:tcPr>
          <w:p>
            <w:pPr>
              <w:jc w:val="right"/>
              <w:spacing w:after="0" w:line="187" w:lineRule="exact"/>
              <w:rPr>
                <w:sz w:val="20"/>
                <w:szCs w:val="20"/>
                <w:color w:val="auto"/>
              </w:rPr>
            </w:pPr>
            <w:r>
              <w:rPr>
                <w:rFonts w:ascii="Calibri" w:cs="Calibri" w:eastAsia="Calibri" w:hAnsi="Calibri"/>
                <w:sz w:val="16"/>
                <w:szCs w:val="16"/>
                <w:color w:val="auto"/>
                <w:w w:val="73"/>
              </w:rPr>
              <w:t>$</w:t>
            </w:r>
          </w:p>
        </w:tc>
        <w:tc>
          <w:tcPr>
            <w:tcW w:w="580" w:type="dxa"/>
            <w:vAlign w:val="bottom"/>
          </w:tcPr>
          <w:p>
            <w:pPr>
              <w:jc w:val="right"/>
              <w:spacing w:after="0" w:line="187"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6"/>
                <w:szCs w:val="16"/>
                <w:color w:val="auto"/>
              </w:rPr>
            </w:pPr>
          </w:p>
        </w:tc>
        <w:tc>
          <w:tcPr>
            <w:tcW w:w="200" w:type="dxa"/>
            <w:vAlign w:val="bottom"/>
          </w:tcPr>
          <w:p>
            <w:pPr>
              <w:jc w:val="right"/>
              <w:ind w:right="24"/>
              <w:spacing w:after="0" w:line="187" w:lineRule="exact"/>
              <w:rPr>
                <w:sz w:val="20"/>
                <w:szCs w:val="20"/>
                <w:color w:val="auto"/>
              </w:rPr>
            </w:pPr>
            <w:r>
              <w:rPr>
                <w:rFonts w:ascii="Calibri" w:cs="Calibri" w:eastAsia="Calibri" w:hAnsi="Calibri"/>
                <w:sz w:val="16"/>
                <w:szCs w:val="16"/>
                <w:color w:val="auto"/>
                <w:w w:val="97"/>
              </w:rPr>
              <w:t>$</w:t>
            </w:r>
          </w:p>
        </w:tc>
        <w:tc>
          <w:tcPr>
            <w:tcW w:w="480" w:type="dxa"/>
            <w:vAlign w:val="bottom"/>
          </w:tcPr>
          <w:p>
            <w:pPr>
              <w:jc w:val="right"/>
              <w:spacing w:after="0" w:line="187" w:lineRule="exact"/>
              <w:rPr>
                <w:sz w:val="20"/>
                <w:szCs w:val="20"/>
                <w:color w:val="auto"/>
              </w:rPr>
            </w:pPr>
            <w:r>
              <w:rPr>
                <w:rFonts w:ascii="Calibri" w:cs="Calibri" w:eastAsia="Calibri" w:hAnsi="Calibri"/>
                <w:sz w:val="16"/>
                <w:szCs w:val="16"/>
                <w:color w:val="auto"/>
              </w:rPr>
              <w:t>989</w:t>
            </w:r>
          </w:p>
        </w:tc>
        <w:tc>
          <w:tcPr>
            <w:tcW w:w="220" w:type="dxa"/>
            <w:vAlign w:val="bottom"/>
          </w:tcPr>
          <w:p>
            <w:pPr>
              <w:spacing w:after="0"/>
              <w:rPr>
                <w:sz w:val="16"/>
                <w:szCs w:val="16"/>
                <w:color w:val="auto"/>
              </w:rPr>
            </w:pPr>
          </w:p>
        </w:tc>
        <w:tc>
          <w:tcPr>
            <w:tcW w:w="100" w:type="dxa"/>
            <w:vAlign w:val="bottom"/>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600" w:type="dxa"/>
            <w:vAlign w:val="bottom"/>
          </w:tcPr>
          <w:p>
            <w:pPr>
              <w:jc w:val="right"/>
              <w:spacing w:after="0" w:line="187" w:lineRule="exact"/>
              <w:rPr>
                <w:sz w:val="20"/>
                <w:szCs w:val="20"/>
                <w:color w:val="auto"/>
              </w:rPr>
            </w:pPr>
            <w:r>
              <w:rPr>
                <w:rFonts w:ascii="Calibri" w:cs="Calibri" w:eastAsia="Calibri" w:hAnsi="Calibri"/>
                <w:sz w:val="16"/>
                <w:szCs w:val="16"/>
                <w:color w:val="auto"/>
              </w:rPr>
              <w:t>(351</w:t>
            </w:r>
          </w:p>
        </w:tc>
        <w:tc>
          <w:tcPr>
            <w:tcW w:w="200" w:type="dxa"/>
            <w:vAlign w:val="bottom"/>
            <w:vMerge w:val="continue"/>
          </w:tcPr>
          <w:p>
            <w:pPr>
              <w:spacing w:after="0"/>
              <w:rPr>
                <w:sz w:val="16"/>
                <w:szCs w:val="16"/>
                <w:color w:val="auto"/>
              </w:rPr>
            </w:pPr>
          </w:p>
        </w:tc>
        <w:tc>
          <w:tcPr>
            <w:tcW w:w="140" w:type="dxa"/>
            <w:vAlign w:val="bottom"/>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560" w:type="dxa"/>
            <w:vAlign w:val="bottom"/>
          </w:tcPr>
          <w:p>
            <w:pPr>
              <w:jc w:val="right"/>
              <w:spacing w:after="0" w:line="187" w:lineRule="exact"/>
              <w:rPr>
                <w:sz w:val="20"/>
                <w:szCs w:val="20"/>
                <w:color w:val="auto"/>
              </w:rPr>
            </w:pPr>
            <w:r>
              <w:rPr>
                <w:rFonts w:ascii="Calibri" w:cs="Calibri" w:eastAsia="Calibri" w:hAnsi="Calibri"/>
                <w:sz w:val="16"/>
                <w:szCs w:val="16"/>
                <w:color w:val="auto"/>
              </w:rPr>
              <w:t>691</w:t>
            </w:r>
          </w:p>
        </w:tc>
        <w:tc>
          <w:tcPr>
            <w:tcW w:w="220" w:type="dxa"/>
            <w:vAlign w:val="bottom"/>
          </w:tcPr>
          <w:p>
            <w:pPr>
              <w:spacing w:after="0"/>
              <w:rPr>
                <w:sz w:val="16"/>
                <w:szCs w:val="16"/>
                <w:color w:val="auto"/>
              </w:rPr>
            </w:pPr>
          </w:p>
        </w:tc>
        <w:tc>
          <w:tcPr>
            <w:tcW w:w="140" w:type="dxa"/>
            <w:vAlign w:val="bottom"/>
          </w:tcPr>
          <w:p>
            <w:pPr>
              <w:spacing w:after="0" w:line="187" w:lineRule="exact"/>
              <w:rPr>
                <w:sz w:val="20"/>
                <w:szCs w:val="20"/>
                <w:color w:val="auto"/>
              </w:rPr>
            </w:pPr>
            <w:r>
              <w:rPr>
                <w:rFonts w:ascii="Calibri" w:cs="Calibri" w:eastAsia="Calibri" w:hAnsi="Calibri"/>
                <w:sz w:val="16"/>
                <w:szCs w:val="16"/>
                <w:color w:val="auto"/>
              </w:rPr>
              <w:t>$</w:t>
            </w:r>
          </w:p>
        </w:tc>
        <w:tc>
          <w:tcPr>
            <w:tcW w:w="540" w:type="dxa"/>
            <w:vAlign w:val="bottom"/>
          </w:tcPr>
          <w:p>
            <w:pPr>
              <w:jc w:val="right"/>
              <w:spacing w:after="0" w:line="187" w:lineRule="exact"/>
              <w:rPr>
                <w:sz w:val="20"/>
                <w:szCs w:val="20"/>
                <w:color w:val="auto"/>
              </w:rPr>
            </w:pPr>
            <w:r>
              <w:rPr>
                <w:rFonts w:ascii="Calibri" w:cs="Calibri" w:eastAsia="Calibri" w:hAnsi="Calibri"/>
                <w:sz w:val="16"/>
                <w:szCs w:val="16"/>
                <w:color w:val="auto"/>
              </w:rPr>
              <w:t>123</w:t>
            </w:r>
          </w:p>
        </w:tc>
        <w:tc>
          <w:tcPr>
            <w:tcW w:w="220" w:type="dxa"/>
            <w:vAlign w:val="bottom"/>
          </w:tcPr>
          <w:p>
            <w:pPr>
              <w:spacing w:after="0"/>
              <w:rPr>
                <w:sz w:val="16"/>
                <w:szCs w:val="16"/>
                <w:color w:val="auto"/>
              </w:rPr>
            </w:pPr>
          </w:p>
        </w:tc>
        <w:tc>
          <w:tcPr>
            <w:tcW w:w="120" w:type="dxa"/>
            <w:vAlign w:val="bottom"/>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600" w:type="dxa"/>
            <w:vAlign w:val="bottom"/>
          </w:tcPr>
          <w:p>
            <w:pPr>
              <w:jc w:val="right"/>
              <w:spacing w:after="0" w:line="187" w:lineRule="exact"/>
              <w:rPr>
                <w:sz w:val="20"/>
                <w:szCs w:val="20"/>
                <w:color w:val="auto"/>
              </w:rPr>
            </w:pPr>
            <w:r>
              <w:rPr>
                <w:rFonts w:ascii="Calibri" w:cs="Calibri" w:eastAsia="Calibri" w:hAnsi="Calibri"/>
                <w:sz w:val="16"/>
                <w:szCs w:val="16"/>
                <w:color w:val="auto"/>
              </w:rPr>
              <w:t>814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Calibri" w:cs="Calibri" w:eastAsia="Calibri" w:hAnsi="Calibri"/>
                <w:sz w:val="16"/>
                <w:szCs w:val="16"/>
                <w:color w:val="auto"/>
              </w:rPr>
              <w:t>250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250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auto"/>
              </w:rPr>
              <w:t>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286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auto"/>
              </w:rPr>
              <w:t>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(23 )</w:t>
            </w: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(23 )</w:t>
            </w:r>
          </w:p>
        </w:tc>
        <w:tc>
          <w:tcPr>
            <w:tcW w:w="0" w:type="dxa"/>
            <w:vAlign w:val="bottom"/>
          </w:tcPr>
          <w:p>
            <w:pPr>
              <w:spacing w:after="0"/>
              <w:rPr>
                <w:sz w:val="1"/>
                <w:szCs w:val="1"/>
                <w:color w:val="auto"/>
              </w:rPr>
            </w:pPr>
          </w:p>
        </w:tc>
      </w:tr>
      <w:tr>
        <w:trPr>
          <w:trHeight w:val="635"/>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(80 )</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(80 )</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(80 )</w:t>
            </w:r>
          </w:p>
        </w:tc>
        <w:tc>
          <w:tcPr>
            <w:tcW w:w="0" w:type="dxa"/>
            <w:vAlign w:val="bottom"/>
          </w:tcPr>
          <w:p>
            <w:pPr>
              <w:spacing w:after="0"/>
              <w:rPr>
                <w:sz w:val="1"/>
                <w:szCs w:val="1"/>
                <w:color w:val="auto"/>
              </w:rPr>
            </w:pPr>
          </w:p>
        </w:tc>
      </w:tr>
      <w:tr>
        <w:trPr>
          <w:trHeight w:val="229"/>
        </w:trPr>
        <w:tc>
          <w:tcPr>
            <w:tcW w:w="800" w:type="dxa"/>
            <w:vAlign w:val="bottom"/>
          </w:tcPr>
          <w:p>
            <w:pPr>
              <w:jc w:val="right"/>
              <w:spacing w:after="0"/>
              <w:rPr>
                <w:sz w:val="20"/>
                <w:szCs w:val="20"/>
                <w:color w:val="auto"/>
              </w:rPr>
            </w:pPr>
            <w:r>
              <w:rPr>
                <w:rFonts w:ascii="Calibri" w:cs="Calibri" w:eastAsia="Calibri" w:hAnsi="Calibri"/>
                <w:sz w:val="16"/>
                <w:szCs w:val="16"/>
                <w:color w:val="auto"/>
              </w:rPr>
              <w:t>317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Calibri" w:cs="Calibri" w:eastAsia="Calibri" w:hAnsi="Calibri"/>
                <w:sz w:val="16"/>
                <w:szCs w:val="16"/>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Calibri" w:cs="Calibri" w:eastAsia="Calibri" w:hAnsi="Calibri"/>
                <w:sz w:val="16"/>
                <w:szCs w:val="16"/>
                <w:color w:val="auto"/>
              </w:rPr>
              <w:t>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gridSpan w:val="2"/>
          </w:tcPr>
          <w:p>
            <w:pPr>
              <w:jc w:val="right"/>
              <w:ind w:right="180"/>
              <w:spacing w:after="0"/>
              <w:rPr>
                <w:sz w:val="20"/>
                <w:szCs w:val="20"/>
                <w:color w:val="auto"/>
              </w:rPr>
            </w:pPr>
            <w:r>
              <w:rPr>
                <w:rFonts w:ascii="Calibri" w:cs="Calibri" w:eastAsia="Calibri" w:hAnsi="Calibri"/>
                <w:sz w:val="16"/>
                <w:szCs w:val="16"/>
                <w:color w:val="auto"/>
              </w:rPr>
              <w:t>(57 )</w:t>
            </w:r>
          </w:p>
        </w:tc>
        <w:tc>
          <w:tcPr>
            <w:tcW w:w="16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(3 )</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(3 )</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(3 )</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56,727</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53</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24</w:t>
            </w: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1,159</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(289</w:t>
            </w:r>
          </w:p>
        </w:tc>
        <w:tc>
          <w:tcPr>
            <w:tcW w:w="200" w:type="dxa"/>
            <w:vAlign w:val="bottom"/>
          </w:tcPr>
          <w:p>
            <w:pPr>
              <w:jc w:val="right"/>
              <w:ind w:right="59"/>
              <w:spacing w:after="0" w:line="182" w:lineRule="exact"/>
              <w:rPr>
                <w:sz w:val="20"/>
                <w:szCs w:val="20"/>
                <w:color w:val="auto"/>
              </w:rPr>
            </w:pPr>
            <w:r>
              <w:rPr>
                <w:rFonts w:ascii="Calibri" w:cs="Calibri" w:eastAsia="Calibri" w:hAnsi="Calibri"/>
                <w:sz w:val="16"/>
                <w:szCs w:val="16"/>
                <w:color w:val="auto"/>
                <w:w w:val="81"/>
              </w:rPr>
              <w:t>)</w:t>
            </w: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947</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143</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1,090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Calibri" w:cs="Calibri" w:eastAsia="Calibri" w:hAnsi="Calibri"/>
                <w:sz w:val="16"/>
                <w:szCs w:val="16"/>
                <w:color w:val="auto"/>
              </w:rPr>
              <w:t>209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209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auto"/>
              </w:rPr>
              <w:t>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59"/>
              <w:spacing w:after="0"/>
              <w:rPr>
                <w:sz w:val="20"/>
                <w:szCs w:val="20"/>
                <w:color w:val="auto"/>
              </w:rPr>
            </w:pPr>
            <w:r>
              <w:rPr>
                <w:rFonts w:ascii="Calibri" w:cs="Calibri" w:eastAsia="Calibri" w:hAnsi="Calibri"/>
                <w:sz w:val="16"/>
                <w:szCs w:val="16"/>
                <w:color w:val="auto"/>
              </w:rPr>
              <w:t>(150 )</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(150 )</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(15 )</w:t>
            </w: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(165 )</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(28 )</w:t>
            </w: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(28 )</w:t>
            </w:r>
          </w:p>
        </w:tc>
        <w:tc>
          <w:tcPr>
            <w:tcW w:w="0" w:type="dxa"/>
            <w:vAlign w:val="bottom"/>
          </w:tcPr>
          <w:p>
            <w:pPr>
              <w:spacing w:after="0"/>
              <w:rPr>
                <w:sz w:val="1"/>
                <w:szCs w:val="1"/>
                <w:color w:val="auto"/>
              </w:rPr>
            </w:pPr>
          </w:p>
        </w:tc>
      </w:tr>
      <w:tr>
        <w:trPr>
          <w:trHeight w:val="635"/>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(84 )</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(84 )</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(84 )</w:t>
            </w:r>
          </w:p>
        </w:tc>
        <w:tc>
          <w:tcPr>
            <w:tcW w:w="0" w:type="dxa"/>
            <w:vAlign w:val="bottom"/>
          </w:tcPr>
          <w:p>
            <w:pPr>
              <w:spacing w:after="0"/>
              <w:rPr>
                <w:sz w:val="1"/>
                <w:szCs w:val="1"/>
                <w:color w:val="auto"/>
              </w:rPr>
            </w:pPr>
          </w:p>
        </w:tc>
      </w:tr>
      <w:tr>
        <w:trPr>
          <w:trHeight w:val="229"/>
        </w:trPr>
        <w:tc>
          <w:tcPr>
            <w:tcW w:w="800" w:type="dxa"/>
            <w:vAlign w:val="bottom"/>
          </w:tcPr>
          <w:p>
            <w:pPr>
              <w:jc w:val="right"/>
              <w:spacing w:after="0"/>
              <w:rPr>
                <w:sz w:val="20"/>
                <w:szCs w:val="20"/>
                <w:color w:val="auto"/>
              </w:rPr>
            </w:pPr>
            <w:r>
              <w:rPr>
                <w:rFonts w:ascii="Calibri" w:cs="Calibri" w:eastAsia="Calibri" w:hAnsi="Calibri"/>
                <w:sz w:val="16"/>
                <w:szCs w:val="16"/>
                <w:color w:val="auto"/>
              </w:rPr>
              <w:t>359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Calibri" w:cs="Calibri" w:eastAsia="Calibri" w:hAnsi="Calibri"/>
                <w:sz w:val="16"/>
                <w:szCs w:val="16"/>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Calibri" w:cs="Calibri" w:eastAsia="Calibri" w:hAnsi="Calibri"/>
                <w:sz w:val="16"/>
                <w:szCs w:val="16"/>
                <w:color w:val="auto"/>
              </w:rPr>
              <w:t>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23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gridSpan w:val="2"/>
          </w:tcPr>
          <w:p>
            <w:pPr>
              <w:jc w:val="right"/>
              <w:ind w:right="180"/>
              <w:spacing w:after="0"/>
              <w:rPr>
                <w:sz w:val="20"/>
                <w:szCs w:val="20"/>
                <w:color w:val="auto"/>
              </w:rPr>
            </w:pPr>
            <w:r>
              <w:rPr>
                <w:rFonts w:ascii="Calibri" w:cs="Calibri" w:eastAsia="Calibri" w:hAnsi="Calibri"/>
                <w:sz w:val="16"/>
                <w:szCs w:val="16"/>
                <w:color w:val="auto"/>
              </w:rPr>
              <w:t>(837 )</w:t>
            </w: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Calibri" w:cs="Calibri" w:eastAsia="Calibri" w:hAnsi="Calibri"/>
                <w:sz w:val="16"/>
                <w:szCs w:val="16"/>
                <w:color w:val="auto"/>
              </w:rPr>
              <w:t>(1 )</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(52 )</w:t>
            </w:r>
          </w:p>
        </w:tc>
        <w:tc>
          <w:tcPr>
            <w:tcW w:w="2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(53 )</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(53 )</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56,249</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52</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w:t>
            </w: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1,284</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(439</w:t>
            </w:r>
          </w:p>
        </w:tc>
        <w:tc>
          <w:tcPr>
            <w:tcW w:w="200" w:type="dxa"/>
            <w:vAlign w:val="bottom"/>
          </w:tcPr>
          <w:p>
            <w:pPr>
              <w:jc w:val="right"/>
              <w:ind w:right="59"/>
              <w:spacing w:after="0" w:line="182" w:lineRule="exact"/>
              <w:rPr>
                <w:sz w:val="20"/>
                <w:szCs w:val="20"/>
                <w:color w:val="auto"/>
              </w:rPr>
            </w:pPr>
            <w:r>
              <w:rPr>
                <w:rFonts w:ascii="Calibri" w:cs="Calibri" w:eastAsia="Calibri" w:hAnsi="Calibri"/>
                <w:sz w:val="16"/>
                <w:szCs w:val="16"/>
                <w:color w:val="auto"/>
                <w:w w:val="81"/>
              </w:rPr>
              <w:t>)</w:t>
            </w: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898</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134</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1,032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Calibri" w:cs="Calibri" w:eastAsia="Calibri" w:hAnsi="Calibri"/>
                <w:sz w:val="16"/>
                <w:szCs w:val="16"/>
                <w:color w:val="auto"/>
              </w:rPr>
              <w:t>445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445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auto"/>
              </w:rPr>
              <w:t>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77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(30 )</w:t>
            </w: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(30 )</w:t>
            </w:r>
          </w:p>
        </w:tc>
        <w:tc>
          <w:tcPr>
            <w:tcW w:w="0" w:type="dxa"/>
            <w:vAlign w:val="bottom"/>
          </w:tcPr>
          <w:p>
            <w:pPr>
              <w:spacing w:after="0"/>
              <w:rPr>
                <w:sz w:val="1"/>
                <w:szCs w:val="1"/>
                <w:color w:val="auto"/>
              </w:rPr>
            </w:pPr>
          </w:p>
        </w:tc>
      </w:tr>
      <w:tr>
        <w:trPr>
          <w:trHeight w:val="635"/>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(88 )</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(88 )</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(88 )</w:t>
            </w:r>
          </w:p>
        </w:tc>
        <w:tc>
          <w:tcPr>
            <w:tcW w:w="0" w:type="dxa"/>
            <w:vAlign w:val="bottom"/>
          </w:tcPr>
          <w:p>
            <w:pPr>
              <w:spacing w:after="0"/>
              <w:rPr>
                <w:sz w:val="1"/>
                <w:szCs w:val="1"/>
                <w:color w:val="auto"/>
              </w:rPr>
            </w:pPr>
          </w:p>
        </w:tc>
      </w:tr>
      <w:tr>
        <w:trPr>
          <w:trHeight w:val="230"/>
        </w:trPr>
        <w:tc>
          <w:tcPr>
            <w:tcW w:w="800" w:type="dxa"/>
            <w:vAlign w:val="bottom"/>
          </w:tcPr>
          <w:p>
            <w:pPr>
              <w:jc w:val="right"/>
              <w:spacing w:after="0"/>
              <w:rPr>
                <w:sz w:val="20"/>
                <w:szCs w:val="20"/>
                <w:color w:val="auto"/>
              </w:rPr>
            </w:pPr>
            <w:r>
              <w:rPr>
                <w:rFonts w:ascii="Calibri" w:cs="Calibri" w:eastAsia="Calibri" w:hAnsi="Calibri"/>
                <w:sz w:val="16"/>
                <w:szCs w:val="16"/>
                <w:color w:val="auto"/>
              </w:rPr>
              <w:t>357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Calibri" w:cs="Calibri" w:eastAsia="Calibri" w:hAnsi="Calibri"/>
                <w:sz w:val="16"/>
                <w:szCs w:val="16"/>
                <w:color w:val="auto"/>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Calibri" w:cs="Calibri" w:eastAsia="Calibri" w:hAnsi="Calibri"/>
                <w:sz w:val="16"/>
                <w:szCs w:val="16"/>
                <w:color w:val="auto"/>
              </w:rPr>
              <w:t>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Calibri" w:cs="Calibri" w:eastAsia="Calibri" w:hAnsi="Calibri"/>
                <w:sz w:val="16"/>
                <w:szCs w:val="16"/>
                <w:color w:val="auto"/>
              </w:rPr>
              <w:t>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gridSpan w:val="2"/>
          </w:tcPr>
          <w:p>
            <w:pPr>
              <w:jc w:val="right"/>
              <w:ind w:right="180"/>
              <w:spacing w:after="0"/>
              <w:rPr>
                <w:sz w:val="20"/>
                <w:szCs w:val="20"/>
                <w:color w:val="auto"/>
              </w:rPr>
            </w:pPr>
            <w:r>
              <w:rPr>
                <w:rFonts w:ascii="Calibri" w:cs="Calibri" w:eastAsia="Calibri" w:hAnsi="Calibri"/>
                <w:sz w:val="16"/>
                <w:szCs w:val="16"/>
                <w:color w:val="auto"/>
              </w:rPr>
              <w:t>(1,362 )</w:t>
            </w: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Calibri" w:cs="Calibri" w:eastAsia="Calibri" w:hAnsi="Calibri"/>
                <w:sz w:val="16"/>
                <w:szCs w:val="16"/>
                <w:color w:val="auto"/>
              </w:rPr>
              <w:t>(1 )</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(30 )</w:t>
            </w:r>
          </w:p>
        </w:tc>
        <w:tc>
          <w:tcPr>
            <w:tcW w:w="2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(67 )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(98 )</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Calibri" w:cs="Calibri" w:eastAsia="Calibri" w:hAnsi="Calibri"/>
                <w:sz w:val="16"/>
                <w:szCs w:val="16"/>
                <w:color w:val="auto"/>
              </w:rPr>
              <w:t>(98 )</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55,244</w:t>
            </w:r>
          </w:p>
        </w:tc>
        <w:tc>
          <w:tcPr>
            <w:tcW w:w="240" w:type="dxa"/>
            <w:vAlign w:val="bottom"/>
          </w:tcPr>
          <w:p>
            <w:pPr>
              <w:spacing w:after="0"/>
              <w:rPr>
                <w:sz w:val="16"/>
                <w:szCs w:val="16"/>
                <w:color w:val="auto"/>
              </w:rPr>
            </w:pPr>
          </w:p>
        </w:tc>
        <w:tc>
          <w:tcPr>
            <w:tcW w:w="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5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52</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6"/>
                <w:szCs w:val="16"/>
                <w:color w:val="auto"/>
              </w:rPr>
            </w:pPr>
          </w:p>
        </w:tc>
        <w:tc>
          <w:tcPr>
            <w:tcW w:w="200" w:type="dxa"/>
            <w:vAlign w:val="bottom"/>
            <w:tcBorders>
              <w:top w:val="single" w:sz="8" w:color="auto"/>
            </w:tcBorders>
          </w:tcPr>
          <w:p>
            <w:pPr>
              <w:jc w:val="right"/>
              <w:ind w:right="24"/>
              <w:spacing w:after="0" w:line="187" w:lineRule="exact"/>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1,574</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6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(362</w:t>
            </w:r>
          </w:p>
        </w:tc>
        <w:tc>
          <w:tcPr>
            <w:tcW w:w="200" w:type="dxa"/>
            <w:vAlign w:val="bottom"/>
          </w:tcPr>
          <w:p>
            <w:pPr>
              <w:jc w:val="right"/>
              <w:ind w:right="59"/>
              <w:spacing w:after="0" w:line="182" w:lineRule="exact"/>
              <w:rPr>
                <w:sz w:val="20"/>
                <w:szCs w:val="20"/>
                <w:color w:val="auto"/>
              </w:rPr>
            </w:pPr>
            <w:r>
              <w:rPr>
                <w:rFonts w:ascii="Calibri" w:cs="Calibri" w:eastAsia="Calibri" w:hAnsi="Calibri"/>
                <w:sz w:val="16"/>
                <w:szCs w:val="16"/>
                <w:color w:val="auto"/>
                <w:w w:val="81"/>
              </w:rPr>
              <w:t>)</w:t>
            </w:r>
          </w:p>
        </w:tc>
        <w:tc>
          <w:tcPr>
            <w:tcW w:w="1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5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1,264</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line="187" w:lineRule="exact"/>
              <w:rPr>
                <w:sz w:val="20"/>
                <w:szCs w:val="20"/>
                <w:color w:val="auto"/>
              </w:rPr>
            </w:pPr>
            <w:r>
              <w:rPr>
                <w:rFonts w:ascii="Calibri" w:cs="Calibri" w:eastAsia="Calibri" w:hAnsi="Calibri"/>
                <w:sz w:val="16"/>
                <w:szCs w:val="16"/>
                <w:color w:val="auto"/>
              </w:rPr>
              <w:t>$</w:t>
            </w:r>
          </w:p>
        </w:tc>
        <w:tc>
          <w:tcPr>
            <w:tcW w:w="5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143</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6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1,407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8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-4465320</wp:posOffset>
            </wp:positionV>
            <wp:extent cx="7132320" cy="145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-4173855</wp:posOffset>
            </wp:positionV>
            <wp:extent cx="713232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-3882390</wp:posOffset>
            </wp:positionV>
            <wp:extent cx="7132320" cy="4032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40322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-3333750</wp:posOffset>
            </wp:positionV>
            <wp:extent cx="7132320"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-3034030</wp:posOffset>
            </wp:positionV>
            <wp:extent cx="7132320"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-2742565</wp:posOffset>
            </wp:positionV>
            <wp:extent cx="7132320"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-2451100</wp:posOffset>
            </wp:positionV>
            <wp:extent cx="7132320" cy="402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40259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-1902460</wp:posOffset>
            </wp:positionV>
            <wp:extent cx="713232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-1602105</wp:posOffset>
            </wp:positionV>
            <wp:extent cx="7132320" cy="145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-1310640</wp:posOffset>
            </wp:positionV>
            <wp:extent cx="713232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-1019175</wp:posOffset>
            </wp:positionV>
            <wp:extent cx="7132320" cy="402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40259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-471170</wp:posOffset>
            </wp:positionV>
            <wp:extent cx="7132320"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-170815</wp:posOffset>
            </wp:positionV>
            <wp:extent cx="713232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3360" w:space="480"/>
            <w:col w:w="7340"/>
          </w:cols>
          <w:pgMar w:left="340" w:top="328" w:right="379" w:bottom="1440" w:gutter="0" w:footer="0" w:header="0"/>
          <w:type w:val="continuous"/>
        </w:sectPr>
      </w:pPr>
    </w:p>
    <w:p>
      <w:pPr>
        <w:jc w:val="center"/>
        <w:ind w:right="-39"/>
        <w:spacing w:after="0"/>
        <w:rPr>
          <w:sz w:val="20"/>
          <w:szCs w:val="20"/>
          <w:color w:val="auto"/>
        </w:rPr>
      </w:pPr>
      <w:r>
        <w:rPr>
          <w:rFonts w:ascii="Calibri" w:cs="Calibri" w:eastAsia="Calibri" w:hAnsi="Calibri"/>
          <w:sz w:val="17"/>
          <w:szCs w:val="17"/>
          <w:i w:val="1"/>
          <w:iCs w:val="1"/>
          <w:color w:val="auto"/>
        </w:rPr>
        <w:t>The accompanying notes are an integral part of these consolidated fnancial statements.</w:t>
      </w:r>
    </w:p>
    <w:p>
      <w:pPr>
        <w:spacing w:after="0" w:line="22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28" w:right="379" w:bottom="1440" w:gutter="0" w:footer="0" w:header="0"/>
          <w:type w:val="continuous"/>
        </w:sectPr>
      </w:pPr>
    </w:p>
    <w:bookmarkStart w:id="46" w:name="page47"/>
    <w:bookmarkEnd w:id="46"/>
    <w:p>
      <w:pPr>
        <w:jc w:val="center"/>
        <w:spacing w:after="0"/>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A. Signifcant Accountng Policies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consolidated fnancial statements have been prepared in conformity with accountng principles generally accepted in the United States (“U.S.</w:t>
      </w:r>
    </w:p>
    <w:p>
      <w:pPr>
        <w:spacing w:after="0" w:line="235" w:lineRule="auto"/>
        <w:rPr>
          <w:sz w:val="20"/>
          <w:szCs w:val="20"/>
          <w:color w:val="auto"/>
        </w:rPr>
      </w:pPr>
      <w:r>
        <w:rPr>
          <w:rFonts w:ascii="Calibri" w:cs="Calibri" w:eastAsia="Calibri" w:hAnsi="Calibri"/>
          <w:sz w:val="18"/>
          <w:szCs w:val="18"/>
          <w:color w:val="auto"/>
        </w:rPr>
        <w:t>GAAP”). The signifcant accountng policies of Cabot Corporaton (“Cabot” or “the Company”) are described below.</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Unless otherwise indicated, all disclosures and amounts in the Notes to the Consolidated Financial Statements relate to the Company’s operatons.</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Principles of Consolidaton</w:t>
      </w:r>
    </w:p>
    <w:p>
      <w:pPr>
        <w:spacing w:after="0" w:line="82"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The consolidated fnancial statements include the accounts of Cabot and its wholly-owned subsidiaries and majority-owned and controlled subsidiaries. Additonally, Cabot considers consolidaton of enttes over which control is achieved through means other than votng rights, of which there were none in the periods presented. Intercompany transactons have been eliminated in consolidaton.</w:t>
      </w:r>
    </w:p>
    <w:p>
      <w:pPr>
        <w:spacing w:after="0" w:line="7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Cash and Cash Equivalents</w:t>
      </w:r>
    </w:p>
    <w:p>
      <w:pPr>
        <w:spacing w:after="0" w:line="82"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Cash equivalents include all highly liquid investments with a maturity of three months or less at date of acquisiton. Cabot contnually assesses the liquidity of cash equivalents and, as of September 30, 2023, has determined that they are readily convertble to cash.</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Inventories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Inventories are stated at the lower of cost or net realizable value. The cost of inventories is determined using the frst-in, frst-out method.</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Cabot periodically reviews inventory for both potental obsolescence and potental declines in antcipated selling prices. In this review, the Company makes assumptons about the future demand for and market value of the inventory, and based on these assumptons estmates the amount of any obsolete, unmarketable, slow moving, or overvalued inventory. Cabot writes down the value of these inventories by an amount equal to the diference between the cost of the inventory and its estmated net realizable value.</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Investments</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Company has investments in equity afliates and marketable securites. As circumstances warrant, all investments are subject to periodic impairment reviews. Unless consolidaton is required, investments in equity afliates, where Cabot generally owns between 20% and 50% of the afliate, are accounted for using the equity method. Cabot records its share of the equity afliate’s results of operatons based on its percentage of ownership of the afliate. Dividends declared from equity afliates are a return on investment and are recorded as a reducton to the equity investment value. At both September 30, 2023 and 2022, Cabot had equity afliate investments of $20 million. Dividends declared and received from these investments were $2 million, $1 million and $5 million in fscal 2023, 2022 and 2021, respectvely.</w:t>
      </w:r>
    </w:p>
    <w:p>
      <w:pPr>
        <w:spacing w:after="0" w:line="81"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Intangible Assets and Goodwill Impairment</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 Company records tangible and intangible assets acquired and liabilites assumed in business combinatons under the acquisiton method of accountng. Amounts paid for an acquisiton are allocated to the assets acquired and liabilites assumed based on their fair values at the date of acquisiton. The Company uses assumptons and estmates in determining the fair value of assets acquired and liabilites assumed in a business combinaton. The determinaton of the fair value of intangible assets requires the use of signifcant judgment with regard to assumptons used in the valuaton model. The Company estmates the fair value of identfable acquisiton-related intangible assets principally based on projectons of cash fows that will arise from these assets. The projected cash fows are discounted to determine the fair value of the assets at the dates of acquisiton.</w:t>
      </w:r>
    </w:p>
    <w:p>
      <w:pPr>
        <w:spacing w:after="0" w:line="8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Defnite-lived intangible assets, which are comprised of trademarks, customer relatonships and developed technologies, are amortzed over their estmated useful lives and are reviewed for impairment when indicaton of potental impairment exists, such as a signifcant reducton in cash fows associated with the assets.</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Goodwill is comprised of the purchase price of business acquisitons in excess of the fair value assigned to the net tangible and identfable intangible assets acquired. Goodwill is not amortzed and is subject to impairment testng annually, or when events or changes in the business environment indicate that the carrying value of the reportng unit may exceed its fair value.</w:t>
      </w:r>
    </w:p>
    <w:p>
      <w:pPr>
        <w:spacing w:after="0" w:line="21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7" w:name="page48"/>
    <w:bookmarkEnd w:id="47"/>
    <w:p>
      <w:pPr>
        <w:ind w:right="280" w:firstLine="509"/>
        <w:spacing w:after="0" w:line="235" w:lineRule="auto"/>
        <w:rPr>
          <w:sz w:val="20"/>
          <w:szCs w:val="20"/>
          <w:color w:val="auto"/>
        </w:rPr>
      </w:pPr>
      <w:r>
        <w:rPr>
          <w:rFonts w:ascii="Calibri" w:cs="Calibri" w:eastAsia="Calibri" w:hAnsi="Calibri"/>
          <w:sz w:val="18"/>
          <w:szCs w:val="18"/>
          <w:color w:val="auto"/>
        </w:rPr>
        <w:t>A reportng unit, for the purpose of the impairment test, is at or below the operatng segment level, and consttutes a business for which discrete fnancial informaton is available and regularly reviewed by segment management. Reinforcement Materials, and the fumed metal oxides, specialty compounds, specialty carbons and batery materials product lines within Performance Chemicals, which are considered separate reportng units, carry the Company’s goodwill balances as of September 30, 2023.</w:t>
      </w:r>
    </w:p>
    <w:p>
      <w:pPr>
        <w:spacing w:after="0" w:line="84"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For the purpose of the goodwill impairment test, the Company frst assesses qualitatve factors to determine whether it is more likely than not that the fair value of a reportng unit is less than its carrying amount. If an inital qualitatve assessment identfes that it is more likely than not that the carrying value of a reportng unit exceeds its estmated fair value, an additonal quanttatve evaluaton is performed. If based on the quanttatve evaluaton the fair value of the reportng unit is less than its carrying amount, a goodwill impairment loss would result. The goodwill impairment loss would be the amount by which the carrying value of the reportng unit, including goodwill, exceeds its fair value, limited to the total amount of goodwill allocated to that reportng unit. The fair value of a reportng unit is based on discounted estmated future cash fows. The assumptons used to estmate fair value include management’s best estmates of future growth rates, operatng cash fows, capital expenditures and discount rates over an estmate of the remaining operatng period at the reportng unit level. The fair value is also benchmarked against the value calculated from a market approach using the guideline public company method. In fscal 2023, the Company’s qualitatve assessment, performed as of August 31, 2023, indicated that the fair values of the Reinforcement Materials, fumed metal oxides, specialty compounds, specialty carbons and batery materials reportng units were in excess of their carrying values.</w:t>
      </w:r>
    </w:p>
    <w:p>
      <w:pPr>
        <w:spacing w:after="0" w:line="75"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Long-lived Assets Impairment</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Long-lived assets are grouped with other assets and liabilites at the lowest level for which independent identfable cash fows are determinable. The carrying values of long-lived assets are reviewed for impairment whenever events or changes in business circumstances indicate that the carrying amount of an asset may not be recoverable. To test for impairment of assets, the Company generally uses a probability-weighted estmate of the future undiscounted net cash fows of the assets over their remaining lives to determine if the value of the asset is recoverable.</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An asset impairment is recognized when the carrying value of the asset is not recoverable based on the analysis described above, in which case the asset is writen down to its fair value. If the asset does not have a readily determinable market value, a discounted cash fow model may be used to determine the fair value of the asset.</w:t>
      </w:r>
    </w:p>
    <w:p>
      <w:pPr>
        <w:spacing w:after="0" w:line="7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Property, Plant and Equipment</w:t>
      </w:r>
    </w:p>
    <w:p>
      <w:pPr>
        <w:spacing w:after="0" w:line="82" w:lineRule="exact"/>
        <w:rPr>
          <w:sz w:val="20"/>
          <w:szCs w:val="20"/>
          <w:color w:val="auto"/>
        </w:rPr>
      </w:pPr>
    </w:p>
    <w:p>
      <w:pPr>
        <w:ind w:right="180" w:firstLine="509"/>
        <w:spacing w:after="0" w:line="251" w:lineRule="auto"/>
        <w:rPr>
          <w:sz w:val="20"/>
          <w:szCs w:val="20"/>
          <w:color w:val="auto"/>
        </w:rPr>
      </w:pPr>
      <w:r>
        <w:rPr>
          <w:rFonts w:ascii="Calibri" w:cs="Calibri" w:eastAsia="Calibri" w:hAnsi="Calibri"/>
          <w:sz w:val="17"/>
          <w:szCs w:val="17"/>
          <w:color w:val="auto"/>
        </w:rPr>
        <w:t>Property, plant and equipment are recorded at cost. Depreciaton of property, plant and equipment is calculated using the straight-line method over the estmated useful lives of the related assets. The depreciable lives for buildings, machinery and equipment, and other fxed assets are generally between twenty and twenty-fve years, ten and twenty-fve years, and three and twenty-fve years, respectvely. The cost and accumulated depreciaton for property, plant and equipment sold, retred, or otherwise disposed of are removed from the Consolidated Balance Sheets and resultng gains or losses are included in earnings in the Consolidated Statements of Operatons. Expenditures for repairs and maintenance are charged to expenses as incurred. Expenditures for major renewals and beterments, which signifcantly extend the useful lives of existng plant and equipment, are capitalized and depreciated.</w:t>
      </w:r>
    </w:p>
    <w:p>
      <w:pPr>
        <w:spacing w:after="0" w:line="7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Cabot capitalizes interest costs when they are part of the cost of acquiring and constructng certain assets that require a period of tme to prepare for their intended use. During fscal 2023, 2022 and 2021, Cabot capitalized $6 million, $3 million and $1 million of interest costs, respectvely. These amounts are amortzed over the lives of the related assets when they are placed in service.</w:t>
      </w:r>
    </w:p>
    <w:p>
      <w:pPr>
        <w:spacing w:after="0" w:line="7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Asset Retrement Obligatons</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Cabot estmates incremental costs for special handling, removal and disposal of materials that may or will give rise to conditonal asset retrement obligatons (“ARO”) and then discounts the expected costs back to the current year using a credit adjusted risk-free rate. Cabot recognizes ARO liabilites and costs when they are probable and can be reasonably estmated. In certain instances, Cabot has not recorded a reserve for AROs because the tming of disposal of the underlying asset is unknown. The ARO reserves were $11 million and $10 million at September 30, 2023 and 2022, respectvely. The ARO balances are included in Accounts payable and accrued liabilites and Other liabilites on the Consolidated Balance Sheets.</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Foreign Currency Translaton</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functonal currency of the majority of Cabot’s foreign subsidiaries is the local currency in which the subsidiary operates. Assets and liabilites of foreign subsidiaries are translated into U.S. dollars at exchange rates in efect at the balance sheet dates. Income and expense items are translated at average monthly exchange rates during the year. The functonal currency of Cabot’s foreign subsidiaries that operate in a highly infatonary economy is the U.S. dollar. Cabot’s operatons in highly infatonary economies are not material.</w:t>
      </w: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8" w:name="page49"/>
    <w:bookmarkEnd w:id="48"/>
    <w:p>
      <w:pPr>
        <w:ind w:firstLine="509"/>
        <w:spacing w:after="0" w:line="235" w:lineRule="auto"/>
        <w:rPr>
          <w:sz w:val="20"/>
          <w:szCs w:val="20"/>
          <w:color w:val="auto"/>
        </w:rPr>
      </w:pPr>
      <w:r>
        <w:rPr>
          <w:rFonts w:ascii="Calibri" w:cs="Calibri" w:eastAsia="Calibri" w:hAnsi="Calibri"/>
          <w:sz w:val="18"/>
          <w:szCs w:val="18"/>
          <w:color w:val="auto"/>
        </w:rPr>
        <w:t>Unrealized currency translaton adjustments (“CTA”) are included as a separate component of Accumulated other comprehensive income (loss) (“AOCI”) within stockholders’ equity. Realized and unrealized foreign currency gains and losses arising from transactons denominated in currencies other than the subsidiary’s functonal currency are refected in earnings with the excepton of (i) intercompany transactons considered to be of a long-term investment nature; (ii) income taxes upon future repatriaton of unremited earnings from non-U.S. subsidiaries that are not indefnitely reinvested; and (iii) foreign currency borrowings designated as net investment hedges. Gains or losses arising from these transactons are included within the CTA component of Other comprehensive income (loss). In fscal 2023, 2022 and 2021, net foreign currency transacton loss of $35 million, $13 million, and $6 million, respectvely, is included in Other income (expense) in the Consolidated Statements of Operatons.</w:t>
      </w:r>
    </w:p>
    <w:p>
      <w:pPr>
        <w:spacing w:after="0" w:line="82"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Share Repurchases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Periodically, Cabot repurchases shares of the Company’s common stock in the open market or in privately negotated transactons under the authorizaton approved by the Board of Directors. The Company retres the repurchased shares and records the excess of the purchase price over par value to additonal paid-in capital (“APIC”) untl such amount is reduced to zero and then charges the remainder against retained earnings.</w:t>
      </w:r>
    </w:p>
    <w:p>
      <w:pPr>
        <w:spacing w:after="0" w:line="7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Financial Instruments</w:t>
      </w:r>
    </w:p>
    <w:p>
      <w:pPr>
        <w:spacing w:after="0" w:line="82" w:lineRule="exact"/>
        <w:rPr>
          <w:sz w:val="20"/>
          <w:szCs w:val="20"/>
          <w:color w:val="auto"/>
        </w:rPr>
      </w:pPr>
    </w:p>
    <w:p>
      <w:pPr>
        <w:ind w:right="360" w:firstLine="509"/>
        <w:spacing w:after="0" w:line="251" w:lineRule="auto"/>
        <w:rPr>
          <w:sz w:val="20"/>
          <w:szCs w:val="20"/>
          <w:color w:val="auto"/>
        </w:rPr>
      </w:pPr>
      <w:r>
        <w:rPr>
          <w:rFonts w:ascii="Calibri" w:cs="Calibri" w:eastAsia="Calibri" w:hAnsi="Calibri"/>
          <w:sz w:val="17"/>
          <w:szCs w:val="17"/>
          <w:color w:val="auto"/>
        </w:rPr>
        <w:t>Cabot’s fnancial instruments consist primarily of cash and cash equivalents, accounts and notes receivable, investments, accounts payable and accrued liabilites, short-term and long-term debt, and derivatve instruments. The carrying values of Cabot’s fnancial instruments approximate fair value with the excepton of fxed rate long-term debt, which is recorded at amortzed cost. The fair values of the Company’s fnancial instruments are based on quoted market prices, if such prices are available. In situatons where quoted market prices are not available, the Company relies on valuaton models to derive fair value. Such valuatons take into account the ability of the fnancial counterparty to perform and the Company’s own credit risk.</w:t>
      </w:r>
    </w:p>
    <w:p>
      <w:pPr>
        <w:spacing w:after="0" w:line="76"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Cabot uses derivatve fnancial instruments primarily for purposes of hedging the exposures to fuctuatons in foreign currency exchange rates, which exist as part of its on-going business operatons. Cabot does not enter into derivatve contracts for speculatve purposes, nor does it hold or issue any derivatve contracts for trading purposes. All derivatves are recognized on the Consolidated Balance Sheets at fair value. Where Cabot has a legal right to ofset derivatve setlements under a master netng agreement with a counterparty, derivatves with that counterparty are presented on a net basis. The changes in the fair value of derivatves are recorded in either earnings or AOCI, depending on whether or not the instrument is designated as part of a hedge transacton and, if designated as part of a hedge transacton, the type of hedge transacton. The gains or losses on derivatve instruments reported in AOCI are reclassifed to earnings in the period in which earnings are afected by the underlying hedged item. The inefectve porton of all hedges is recognized in earnings during the period in which the inefectveness occurs.</w:t>
      </w:r>
    </w:p>
    <w:p>
      <w:pPr>
        <w:spacing w:after="0" w:line="88"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In accordance with Cabot’s risk management strategy, the Company may enter into certain derivatve instruments that may not be designated as hedges for hedge accountng purposes. Although these derivatves are not designated as hedges, the Company believes that such instruments are closely correlated with the underlying exposure, thus managing the associated risk. The Company records in earnings the gains or losses from changes in the fair value of derivatve instruments that are not designated as hedges. Cash movements associated with these instruments are presented in the Consolidated Statements of Cash Flows as Cash Flows from Operatng Actvites because the derivatves are designed to mitgate risk to the Company’s cash fow from operatons.</w:t>
      </w:r>
    </w:p>
    <w:p>
      <w:pPr>
        <w:spacing w:after="0" w:line="81"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Revenue Recogniton</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Cabot recognizes revenue when its customers obtain control of promised goods or services. The revenue recognized is the amount of consideraton which the Company expects to receive in exchange for those goods or services. The Company’s contracts with customers are generally for products only and do not include other performance obligatons. Generally, Cabot considers purchase orders, which in some cases are governed by master supply agreements, to be contracts with customers. The transacton price as specifed on the purchase order or sales contract is considered the standalone selling price for each distnct product. To determine the transacton price at the tme when revenue is recognized, the Company evaluates whether the price is subject to adjustments, such as for returns, discounts or volume rebates, which are stated in the customer contract, to determine the net consideraton to which the Company expects to be enttled. Substantally all revenue from product sales is based on a point in tme model and is recognized when control of the product is transferred to the customer, which typically occurs upon shipment or delivery of the product to the customer and ttle, risk and rewards of ownership have passed to the customer. For contracts where we complete our performance obligaton prior to our right to consideraton or contracts where we receive consideraton prior to completng our performance obligaton we record a contract asset or a contract liability, respectvely, on the Consolidated Balance Sheets.</w:t>
      </w: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9" w:name="page50"/>
    <w:bookmarkEnd w:id="49"/>
    <w:p>
      <w:pPr>
        <w:ind w:right="180" w:firstLine="509"/>
        <w:spacing w:after="0" w:line="235" w:lineRule="auto"/>
        <w:rPr>
          <w:sz w:val="20"/>
          <w:szCs w:val="20"/>
          <w:color w:val="auto"/>
        </w:rPr>
      </w:pPr>
      <w:r>
        <w:rPr>
          <w:rFonts w:ascii="Calibri" w:cs="Calibri" w:eastAsia="Calibri" w:hAnsi="Calibri"/>
          <w:sz w:val="18"/>
          <w:szCs w:val="18"/>
          <w:color w:val="auto"/>
        </w:rPr>
        <w:t>Shipping and handling actvites that occur afer the transfer of control to the customer are billed to customers and are recorded as sales revenue, as the Company considers these to be fulfllment costs. These shipping and handling costs are expensed in the period incurred and included in Cost of sales within the Consolidated Statement of Operatons. Taxes collected on sales to customers are excluded from the transacton price.</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generally provides a warranty that its products will substantally conform to the identfed specifcatons. The Company’s liability typically is limited to either a credit equal to the purchase price or replacement of the non-conforming product. Returns under warranty have historically been immaterial.</w:t>
      </w:r>
    </w:p>
    <w:p>
      <w:pPr>
        <w:spacing w:after="0" w:line="84" w:lineRule="exact"/>
        <w:rPr>
          <w:sz w:val="20"/>
          <w:szCs w:val="20"/>
          <w:color w:val="auto"/>
        </w:rPr>
      </w:pPr>
    </w:p>
    <w:p>
      <w:pPr>
        <w:ind w:right="200" w:firstLine="509"/>
        <w:spacing w:after="0" w:line="258" w:lineRule="auto"/>
        <w:rPr>
          <w:sz w:val="20"/>
          <w:szCs w:val="20"/>
          <w:color w:val="auto"/>
        </w:rPr>
      </w:pPr>
      <w:r>
        <w:rPr>
          <w:rFonts w:ascii="Calibri" w:cs="Calibri" w:eastAsia="Calibri" w:hAnsi="Calibri"/>
          <w:sz w:val="17"/>
          <w:szCs w:val="17"/>
          <w:color w:val="auto"/>
        </w:rPr>
        <w:t>Payment terms typically range from zero to ninety days. When the period of tme between the transfer of control of the goods and the tme the customer pays for the goods is one year or less, the Company does not consider there to be a signifcant fnancing component associated with the contract.</w:t>
      </w:r>
    </w:p>
    <w:p>
      <w:pPr>
        <w:spacing w:after="0" w:line="62"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Cost of Sales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Cost of sales consists of the cost of raw and packaging materials, direct manufacturing costs, depreciaton, internal transfer costs, inspecton costs, inbound and outbound freight and shipping and handling costs, plant purchasing and receiving costs and other overhead expenses necessary to manufacture the products.</w:t>
      </w:r>
    </w:p>
    <w:p>
      <w:pPr>
        <w:spacing w:after="0" w:line="7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Accounts and Notes Receivable</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Trade receivables are recorded at the invoiced amount and generally do not bear interest.</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Cabot maintains allowances for doubtul accounts based on an assessment of the collectability of specifc customer accounts, the aging of accounts receivable and other economic informaton on both a historical and prospectve basis. Customer account balances are charged against the allowance when it is probable the receivable will not be recovered. There were no material changes in the allowance for any of the years presented.</w:t>
      </w:r>
    </w:p>
    <w:p>
      <w:pPr>
        <w:spacing w:after="0" w:line="7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Stock-based Compensaton</w:t>
      </w:r>
    </w:p>
    <w:p>
      <w:pPr>
        <w:spacing w:after="0" w:line="82" w:lineRule="exact"/>
        <w:rPr>
          <w:sz w:val="20"/>
          <w:szCs w:val="20"/>
          <w:color w:val="auto"/>
        </w:rPr>
      </w:pPr>
    </w:p>
    <w:p>
      <w:pPr>
        <w:ind w:right="120" w:firstLine="509"/>
        <w:spacing w:after="0" w:line="251" w:lineRule="auto"/>
        <w:rPr>
          <w:sz w:val="20"/>
          <w:szCs w:val="20"/>
          <w:color w:val="auto"/>
        </w:rPr>
      </w:pPr>
      <w:r>
        <w:rPr>
          <w:rFonts w:ascii="Calibri" w:cs="Calibri" w:eastAsia="Calibri" w:hAnsi="Calibri"/>
          <w:sz w:val="17"/>
          <w:szCs w:val="17"/>
          <w:color w:val="auto"/>
        </w:rPr>
        <w:t>Cabot recognizes compensaton expense for stock-based awards granted to employees using the fair value method. Under the fair value recogniton provisions, stock-based compensaton cost is measured at the grant date based on the fair value of the award, and is recognized as expense over the service period, which generally represents the vestng period, and includes an estmate of what level of performance the Company will achieve for Cabot’s performance-based stock awards. Cabot calculates the fair value of its stock optons using the Black-Scholes opton pricing model. The fair value of restricted stock units is determined using the closing price of Cabot stock on the day of the grant. The Company recognizes forfeitures as they occur.</w:t>
      </w:r>
    </w:p>
    <w:p>
      <w:pPr>
        <w:spacing w:after="0" w:line="71"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Selling and Administratve Expenses</w:t>
      </w:r>
    </w:p>
    <w:p>
      <w:pPr>
        <w:spacing w:after="0" w:line="82"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Selling and administratve expenses consist of salaries and fringe benefts of sales and ofce personnel, general ofce expenses and other expenses not directly related to manufacturing operatons.</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Research and Technical Expenses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Research and technical expenses include salaries, equipment and material expenditures, and contractor fees and are expensed as incurred.</w:t>
      </w:r>
    </w:p>
    <w:p>
      <w:pPr>
        <w:spacing w:after="0" w:line="64" w:lineRule="exact"/>
        <w:rPr>
          <w:sz w:val="20"/>
          <w:szCs w:val="20"/>
          <w:color w:val="auto"/>
        </w:rPr>
      </w:pPr>
    </w:p>
    <w:p>
      <w:pPr>
        <w:ind w:left="280"/>
        <w:spacing w:after="0"/>
        <w:rPr>
          <w:sz w:val="20"/>
          <w:szCs w:val="20"/>
          <w:color w:val="auto"/>
        </w:rPr>
      </w:pPr>
      <w:r>
        <w:rPr>
          <w:rFonts w:ascii="Calibri" w:cs="Calibri" w:eastAsia="Calibri" w:hAnsi="Calibri"/>
          <w:sz w:val="18"/>
          <w:szCs w:val="18"/>
          <w:b w:val="1"/>
          <w:bCs w:val="1"/>
          <w:i w:val="1"/>
          <w:iCs w:val="1"/>
          <w:color w:val="auto"/>
        </w:rPr>
        <w:t>Pensions and Other Postretrement Benefts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recognizes the funded status of defned beneft pension and other postretrement beneft plans as an asset or liability. This amount is defned as the diference between the fair value of plan assets and the beneft obligaton. Pension and post-retrement beneft costs other than service cost are included in Other income (expense) in the Consolidated Statement of Operatons. Service cost is included with other employee compensaton costs within Cost of sales, Selling and administratve expenses, or Research and technical expenses. The Company recognizes actuarial gains and losses and prior service costs and credits as a component of Other comprehensive income (loss), net of tax, which are subsequently amortzed into earnings as a component of net periodic beneft cost.</w:t>
      </w:r>
    </w:p>
    <w:p>
      <w:pPr>
        <w:spacing w:after="0" w:line="81" w:lineRule="exact"/>
        <w:rPr>
          <w:sz w:val="20"/>
          <w:szCs w:val="20"/>
          <w:color w:val="auto"/>
        </w:rPr>
      </w:pPr>
    </w:p>
    <w:p>
      <w:pPr>
        <w:ind w:left="320"/>
        <w:spacing w:after="0"/>
        <w:rPr>
          <w:sz w:val="20"/>
          <w:szCs w:val="20"/>
          <w:color w:val="auto"/>
        </w:rPr>
      </w:pPr>
      <w:r>
        <w:rPr>
          <w:rFonts w:ascii="Calibri" w:cs="Calibri" w:eastAsia="Calibri" w:hAnsi="Calibri"/>
          <w:sz w:val="18"/>
          <w:szCs w:val="18"/>
          <w:b w:val="1"/>
          <w:bCs w:val="1"/>
          <w:i w:val="1"/>
          <w:iCs w:val="1"/>
          <w:color w:val="auto"/>
        </w:rPr>
        <w:t>Accumulated Other Comprehensive Income (Loss)</w:t>
      </w:r>
    </w:p>
    <w:p>
      <w:pPr>
        <w:spacing w:after="0" w:line="82"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AOCI, which is included as a component of stockholders’ equity, includes unrealized gains or losses on derivatve instruments, currency translaton adjustments in foreign subsidiaries and pension and post-retrement related adjustments.</w:t>
      </w:r>
    </w:p>
    <w:p>
      <w:pPr>
        <w:spacing w:after="0" w:line="21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0" w:name="page51"/>
    <w:bookmarkEnd w:id="50"/>
    <w:p>
      <w:pPr>
        <w:ind w:left="260"/>
        <w:spacing w:after="0"/>
        <w:rPr>
          <w:sz w:val="20"/>
          <w:szCs w:val="20"/>
          <w:color w:val="auto"/>
        </w:rPr>
      </w:pPr>
      <w:r>
        <w:rPr>
          <w:rFonts w:ascii="Calibri" w:cs="Calibri" w:eastAsia="Calibri" w:hAnsi="Calibri"/>
          <w:sz w:val="18"/>
          <w:szCs w:val="18"/>
          <w:b w:val="1"/>
          <w:bCs w:val="1"/>
          <w:i w:val="1"/>
          <w:iCs w:val="1"/>
          <w:color w:val="auto"/>
        </w:rPr>
        <w:t>Income Taxes</w:t>
      </w:r>
    </w:p>
    <w:p>
      <w:pPr>
        <w:spacing w:after="0" w:line="82" w:lineRule="exact"/>
        <w:rPr>
          <w:sz w:val="20"/>
          <w:szCs w:val="20"/>
          <w:color w:val="auto"/>
        </w:rPr>
      </w:pPr>
    </w:p>
    <w:p>
      <w:pPr>
        <w:jc w:val="both"/>
        <w:ind w:right="40" w:firstLine="509"/>
        <w:spacing w:after="0" w:line="249" w:lineRule="auto"/>
        <w:rPr>
          <w:sz w:val="20"/>
          <w:szCs w:val="20"/>
          <w:color w:val="auto"/>
        </w:rPr>
      </w:pPr>
      <w:r>
        <w:rPr>
          <w:rFonts w:ascii="Calibri" w:cs="Calibri" w:eastAsia="Calibri" w:hAnsi="Calibri"/>
          <w:sz w:val="17"/>
          <w:szCs w:val="17"/>
          <w:color w:val="auto"/>
        </w:rPr>
        <w:t>Deferred income taxes are determined based on the estmated future tax efects of diferences between fnancial statement carrying amounts and the tax bases of existng assets and liabilites. Deferred tax assets are recognized to the extent that realizaton of those assets is considered to be more likely than not. A valuaton allowance is established for deferred taxes when it is more likely than not that all or a porton of the deferred tax assets will not be realized.</w:t>
      </w:r>
    </w:p>
    <w:p>
      <w:pPr>
        <w:spacing w:after="0" w:line="2"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Provisions are made for the U.S. income tax liability and additonal non-U.S. taxes on the undistributed earnings of non-U.S. subsidiaries, except for amounts Cabot has designated to be indefnitely reinvested.</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Cabot records benefts for uncertain tax positons based on an assessment of whether the positon is more likely than not to be sustained by the taxing authorites. If this threshold is not met, no tax beneft of the uncertain tax positon is recognized. If the threshold is met, the tax beneft that is recognized is the largest amount that is greater than 50% likely of being realized upon ultmate setlement. This analysis presumes the taxing authorites’ full knowledge of the positons taken and all relevant facts, but does not consider the tme value of money. The Company also accrues for interest and penaltes on its uncertain tax positons and includes such charges in its income tax provision in the Consolidated Statements of Operatons.</w:t>
      </w:r>
    </w:p>
    <w:p>
      <w:pPr>
        <w:spacing w:after="0" w:line="80"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Contngencies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Cabot accrues costs related to contngencies when it is probable that a liability has been incurred and the amount can be reasonably estmated. Contngencies could arise from litgaton, environmental remediaton or contractual arrangements. When a single liability amount cannot be reasonably estmated, but a range can be reasonably estmated, Cabot accrues the amount that refects the best estmate within that range or the low end of the range if no estmate within the range would be considered more likely than any other estmate. The amount accrued is determined through the evaluaton of various informaton, which could include claims, setlement ofers, demands by government agencies, estmates performed by independent third partes, identfcaton of other responsible partes and an assessment of their ability to contribute, and our prior experience. Cabot does not reduce its estmated liability for possible recoveries from insurance carriers. Proceeds from insurance carriers are recorded when realized by either the receipt of cash or a contractual agreement.</w:t>
      </w:r>
    </w:p>
    <w:p>
      <w:pPr>
        <w:spacing w:after="0" w:line="83"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Use of Estmates</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preparaton of consolidated fnancial statements in conformity with U.S. GAAP requires management to make certain estmates and assumptons that afect the reported amount of assets and liabilites and the disclosure of contngent assets and liabilites at the date of the consolidated fnancial statements and the reported amounts of revenues and expenses during the reported period. Actual results could difer from those estmates.</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B. Recent Accountng Pronouncements</w:t>
      </w:r>
    </w:p>
    <w:p>
      <w:pPr>
        <w:spacing w:after="0" w:line="82" w:lineRule="exact"/>
        <w:rPr>
          <w:sz w:val="20"/>
          <w:szCs w:val="20"/>
          <w:color w:val="auto"/>
        </w:rPr>
      </w:pPr>
    </w:p>
    <w:p>
      <w:pPr>
        <w:ind w:firstLine="562"/>
        <w:spacing w:after="0" w:line="235" w:lineRule="auto"/>
        <w:rPr>
          <w:sz w:val="20"/>
          <w:szCs w:val="20"/>
          <w:color w:val="auto"/>
        </w:rPr>
      </w:pPr>
      <w:r>
        <w:rPr>
          <w:rFonts w:ascii="Calibri" w:cs="Calibri" w:eastAsia="Calibri" w:hAnsi="Calibri"/>
          <w:sz w:val="18"/>
          <w:szCs w:val="18"/>
          <w:color w:val="auto"/>
        </w:rPr>
        <w:t>In November 2022, the FASB issued a new standard on the disclosure of supplier fnancing programs. The new standard requires qualitatve and quanttatve disclosure as to the nature and potental magnitude of such programs in additon to program actvity and changes for the periods presented. The Company adopted this standard October 1, 2023. The Company has evaluated the efect of adoptng this accountng guidance and will include the new required disclosure in future flings.</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C. Acquisitons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Tokai Carbon (Tianjin) Co.</w:t>
      </w:r>
    </w:p>
    <w:p>
      <w:pPr>
        <w:spacing w:after="0" w:line="82" w:lineRule="exact"/>
        <w:rPr>
          <w:sz w:val="20"/>
          <w:szCs w:val="20"/>
          <w:color w:val="auto"/>
        </w:rPr>
      </w:pPr>
    </w:p>
    <w:p>
      <w:pPr>
        <w:ind w:right="120" w:firstLine="562"/>
        <w:spacing w:after="0" w:line="235" w:lineRule="auto"/>
        <w:rPr>
          <w:sz w:val="20"/>
          <w:szCs w:val="20"/>
          <w:color w:val="auto"/>
        </w:rPr>
      </w:pPr>
      <w:r>
        <w:rPr>
          <w:rFonts w:ascii="Calibri" w:cs="Calibri" w:eastAsia="Calibri" w:hAnsi="Calibri"/>
          <w:sz w:val="18"/>
          <w:szCs w:val="18"/>
          <w:color w:val="auto"/>
        </w:rPr>
        <w:t>In February 2022, the Company purchased 100% of the registered capital of Tokai Carbon (Tianjin) Co., a carbon black manufacturing facility, from Tokai Carbon Group for a net purchase price of $9 million, consistng of cash consideraton of $14 million, including customary post-closing adjustments, and net of $5 million of cash acquired.</w:t>
      </w:r>
    </w:p>
    <w:p>
      <w:pPr>
        <w:spacing w:after="0" w:line="84" w:lineRule="exact"/>
        <w:rPr>
          <w:sz w:val="20"/>
          <w:szCs w:val="20"/>
          <w:color w:val="auto"/>
        </w:rPr>
      </w:pPr>
    </w:p>
    <w:p>
      <w:pPr>
        <w:ind w:right="20" w:firstLine="509"/>
        <w:spacing w:after="0" w:line="258" w:lineRule="auto"/>
        <w:rPr>
          <w:sz w:val="20"/>
          <w:szCs w:val="20"/>
          <w:color w:val="auto"/>
        </w:rPr>
      </w:pPr>
      <w:r>
        <w:rPr>
          <w:rFonts w:ascii="Calibri" w:cs="Calibri" w:eastAsia="Calibri" w:hAnsi="Calibri"/>
          <w:sz w:val="17"/>
          <w:szCs w:val="17"/>
          <w:color w:val="auto"/>
        </w:rPr>
        <w:t>The excess of the fair value of the net assets over the purchase price was recorded as a gain of $24 million in fscal 2022. The Gain on bargain purchase of a business arose primarily due to necessary equipment upgrades that will be required afer the purchase to contnue to utlize the existng assets.</w:t>
      </w:r>
    </w:p>
    <w:p>
      <w:pPr>
        <w:spacing w:after="0" w:line="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D. Divesttures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Sale of Purifcaton Solutons Business</w:t>
      </w:r>
    </w:p>
    <w:p>
      <w:pPr>
        <w:spacing w:after="0" w:line="82" w:lineRule="exact"/>
        <w:rPr>
          <w:sz w:val="20"/>
          <w:szCs w:val="20"/>
          <w:color w:val="auto"/>
        </w:rPr>
      </w:pPr>
    </w:p>
    <w:p>
      <w:pPr>
        <w:ind w:right="60" w:firstLine="509"/>
        <w:spacing w:after="0" w:line="238" w:lineRule="auto"/>
        <w:rPr>
          <w:sz w:val="20"/>
          <w:szCs w:val="20"/>
          <w:color w:val="auto"/>
        </w:rPr>
      </w:pPr>
      <w:r>
        <w:rPr>
          <w:rFonts w:ascii="Calibri" w:cs="Calibri" w:eastAsia="Calibri" w:hAnsi="Calibri"/>
          <w:sz w:val="18"/>
          <w:szCs w:val="18"/>
          <w:color w:val="auto"/>
        </w:rPr>
        <w:t>In March 2022, the Company completed the sale of its Purifcaton Solutons business, a reportng segment of the Company, to an afliate of funds advised by One Equity Partners for total cash proceeds of $85 million, net of $7 million cash transferred. The Company recognized a pre-tax impairment charge of $197 million and a pre-tax loss on sale of the Purifcaton Solutons business of $10 million during fscal 2022. The purchase price of the Purifcaton Solutons business was subject to customary post-closing adjustments, which were fnalized in fscal 2023 and resulted in an additonal pre-tax loss on sale of $3 million.</w:t>
      </w: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51" w:name="page52"/>
    <w:bookmarkEnd w:id="51"/>
    <w:p>
      <w:pPr>
        <w:spacing w:after="0"/>
        <w:rPr>
          <w:sz w:val="20"/>
          <w:szCs w:val="20"/>
          <w:color w:val="auto"/>
        </w:rPr>
      </w:pPr>
      <w:r>
        <w:rPr>
          <w:rFonts w:ascii="Calibri" w:cs="Calibri" w:eastAsia="Calibri" w:hAnsi="Calibri"/>
          <w:sz w:val="18"/>
          <w:szCs w:val="18"/>
          <w:b w:val="1"/>
          <w:bCs w:val="1"/>
          <w:color w:val="auto"/>
        </w:rPr>
        <w:t>Note E. Inventories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Inventories, net of obsolete, unmarketable and slow-moving reserves,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Calibri" w:cs="Calibri" w:eastAsia="Calibri" w:hAnsi="Calibri"/>
                <w:sz w:val="14"/>
                <w:szCs w:val="14"/>
                <w:b w:val="1"/>
                <w:bCs w:val="1"/>
                <w:color w:val="auto"/>
              </w:rPr>
              <w:t>September 30</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94"/>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r>
      <w:tr>
        <w:trPr>
          <w:trHeight w:val="33"/>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jc w:val="right"/>
              <w:ind w:right="16"/>
              <w:spacing w:after="0" w:line="164" w:lineRule="exact"/>
              <w:rPr>
                <w:sz w:val="20"/>
                <w:szCs w:val="20"/>
                <w:color w:val="auto"/>
              </w:rPr>
            </w:pPr>
            <w:r>
              <w:rPr>
                <w:rFonts w:ascii="Calibri" w:cs="Calibri" w:eastAsia="Calibri" w:hAnsi="Calibri"/>
                <w:sz w:val="14"/>
                <w:szCs w:val="14"/>
                <w:b w:val="1"/>
                <w:bCs w:val="1"/>
                <w:color w:val="auto"/>
              </w:rPr>
              <w:t>(In</w:t>
            </w:r>
          </w:p>
        </w:tc>
        <w:tc>
          <w:tcPr>
            <w:tcW w:w="560" w:type="dxa"/>
            <w:vAlign w:val="bottom"/>
            <w:gridSpan w:val="2"/>
          </w:tcPr>
          <w:p>
            <w:pPr>
              <w:jc w:val="right"/>
              <w:ind w:right="100"/>
              <w:spacing w:after="0" w:line="164" w:lineRule="exact"/>
              <w:rPr>
                <w:sz w:val="20"/>
                <w:szCs w:val="20"/>
                <w:color w:val="auto"/>
              </w:rPr>
            </w:pPr>
            <w:r>
              <w:rPr>
                <w:rFonts w:ascii="Calibri" w:cs="Calibri" w:eastAsia="Calibri" w:hAnsi="Calibri"/>
                <w:sz w:val="14"/>
                <w:szCs w:val="14"/>
                <w:b w:val="1"/>
                <w:bCs w:val="1"/>
                <w:color w:val="auto"/>
                <w:w w:val="87"/>
              </w:rPr>
              <w:t>millions)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700" w:type="dxa"/>
            <w:vAlign w:val="bottom"/>
          </w:tcPr>
          <w:p>
            <w:pPr>
              <w:spacing w:after="0"/>
              <w:rPr>
                <w:sz w:val="19"/>
                <w:szCs w:val="19"/>
                <w:color w:val="auto"/>
              </w:rPr>
            </w:pPr>
          </w:p>
        </w:tc>
        <w:tc>
          <w:tcPr>
            <w:tcW w:w="5440" w:type="dxa"/>
            <w:vAlign w:val="bottom"/>
            <w:tcBorders>
              <w:bottom w:val="single" w:sz="8" w:color="CFF0FC"/>
            </w:tcBorders>
            <w:gridSpan w:val="2"/>
            <w:shd w:val="clear" w:color="auto" w:fill="CFF0FC"/>
          </w:tcPr>
          <w:p>
            <w:pPr>
              <w:spacing w:after="0" w:line="215" w:lineRule="exact"/>
              <w:rPr>
                <w:sz w:val="20"/>
                <w:szCs w:val="20"/>
                <w:color w:val="auto"/>
              </w:rPr>
            </w:pPr>
            <w:r>
              <w:rPr>
                <w:rFonts w:ascii="Calibri" w:cs="Calibri" w:eastAsia="Calibri" w:hAnsi="Calibri"/>
                <w:sz w:val="18"/>
                <w:szCs w:val="18"/>
                <w:color w:val="auto"/>
              </w:rPr>
              <w:t>Raw materials</w:t>
            </w:r>
          </w:p>
        </w:tc>
        <w:tc>
          <w:tcPr>
            <w:tcW w:w="720" w:type="dxa"/>
            <w:vAlign w:val="bottom"/>
            <w:tcBorders>
              <w:bottom w:val="single" w:sz="8" w:color="CFF0FC"/>
            </w:tcBorders>
            <w:shd w:val="clear" w:color="auto" w:fill="CFF0FC"/>
          </w:tcPr>
          <w:p>
            <w:pPr>
              <w:jc w:val="right"/>
              <w:ind w:right="516"/>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148</w:t>
            </w:r>
          </w:p>
        </w:tc>
        <w:tc>
          <w:tcPr>
            <w:tcW w:w="56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1700" w:type="dxa"/>
            <w:vAlign w:val="bottom"/>
          </w:tcPr>
          <w:p>
            <w:pPr>
              <w:spacing w:after="0"/>
              <w:rPr>
                <w:sz w:val="18"/>
                <w:szCs w:val="18"/>
                <w:color w:val="auto"/>
              </w:rPr>
            </w:pPr>
          </w:p>
        </w:tc>
        <w:tc>
          <w:tcPr>
            <w:tcW w:w="5440" w:type="dxa"/>
            <w:vAlign w:val="bottom"/>
            <w:gridSpan w:val="2"/>
          </w:tcPr>
          <w:p>
            <w:pPr>
              <w:spacing w:after="0" w:line="215" w:lineRule="exact"/>
              <w:rPr>
                <w:sz w:val="20"/>
                <w:szCs w:val="20"/>
                <w:color w:val="auto"/>
              </w:rPr>
            </w:pPr>
            <w:r>
              <w:rPr>
                <w:rFonts w:ascii="Calibri" w:cs="Calibri" w:eastAsia="Calibri" w:hAnsi="Calibri"/>
                <w:sz w:val="18"/>
                <w:szCs w:val="18"/>
                <w:color w:val="auto"/>
              </w:rPr>
              <w:t>Finished goods</w:t>
            </w:r>
          </w:p>
        </w:tc>
        <w:tc>
          <w:tcPr>
            <w:tcW w:w="72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374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427</w:t>
            </w:r>
          </w:p>
        </w:tc>
        <w:tc>
          <w:tcPr>
            <w:tcW w:w="80" w:type="dxa"/>
            <w:vAlign w:val="bottom"/>
          </w:tcPr>
          <w:p>
            <w:pPr>
              <w:spacing w:after="0"/>
              <w:rPr>
                <w:sz w:val="18"/>
                <w:szCs w:val="18"/>
                <w:color w:val="auto"/>
              </w:rPr>
            </w:pPr>
          </w:p>
        </w:tc>
      </w:tr>
      <w:tr>
        <w:trPr>
          <w:trHeight w:val="28"/>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1700" w:type="dxa"/>
            <w:vAlign w:val="bottom"/>
          </w:tcPr>
          <w:p>
            <w:pPr>
              <w:spacing w:after="0"/>
              <w:rPr>
                <w:sz w:val="21"/>
                <w:szCs w:val="21"/>
                <w:color w:val="auto"/>
              </w:rPr>
            </w:pPr>
          </w:p>
        </w:tc>
        <w:tc>
          <w:tcPr>
            <w:tcW w:w="5440" w:type="dxa"/>
            <w:vAlign w:val="bottom"/>
            <w:tcBorders>
              <w:bottom w:val="single" w:sz="8" w:color="CFF0FC"/>
            </w:tcBorders>
            <w:gridSpan w:val="2"/>
            <w:shd w:val="clear" w:color="auto" w:fill="CFF0FC"/>
          </w:tcPr>
          <w:p>
            <w:pPr>
              <w:spacing w:after="0" w:line="243" w:lineRule="exact"/>
              <w:rPr>
                <w:sz w:val="20"/>
                <w:szCs w:val="20"/>
                <w:color w:val="auto"/>
              </w:rPr>
            </w:pPr>
            <w:r>
              <w:rPr>
                <w:rFonts w:ascii="Calibri" w:cs="Calibri" w:eastAsia="Calibri" w:hAnsi="Calibri"/>
                <w:sz w:val="18"/>
                <w:szCs w:val="18"/>
                <w:color w:val="auto"/>
              </w:rPr>
              <w:t>Other</w:t>
            </w:r>
            <w:r>
              <w:rPr>
                <w:rFonts w:ascii="Calibri" w:cs="Calibri" w:eastAsia="Calibri" w:hAnsi="Calibri"/>
                <w:sz w:val="24"/>
                <w:szCs w:val="24"/>
                <w:color w:val="auto"/>
                <w:vertAlign w:val="superscript"/>
              </w:rPr>
              <w:t>(1)</w:t>
            </w:r>
          </w:p>
        </w:tc>
        <w:tc>
          <w:tcPr>
            <w:tcW w:w="7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63</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Calibri" w:cs="Calibri" w:eastAsia="Calibri" w:hAnsi="Calibri"/>
                <w:sz w:val="18"/>
                <w:szCs w:val="18"/>
                <w:color w:val="auto"/>
              </w:rPr>
              <w:t>Total</w:t>
            </w:r>
          </w:p>
        </w:tc>
        <w:tc>
          <w:tcPr>
            <w:tcW w:w="720" w:type="dxa"/>
            <w:vAlign w:val="bottom"/>
          </w:tcPr>
          <w:p>
            <w:pPr>
              <w:jc w:val="right"/>
              <w:ind w:right="516"/>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585</w:t>
            </w:r>
          </w:p>
        </w:tc>
        <w:tc>
          <w:tcPr>
            <w:tcW w:w="56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664</w:t>
            </w:r>
          </w:p>
        </w:tc>
        <w:tc>
          <w:tcPr>
            <w:tcW w:w="80" w:type="dxa"/>
            <w:vAlign w:val="bottom"/>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5"/>
        </w:trPr>
        <w:tc>
          <w:tcPr>
            <w:tcW w:w="17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-282575</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-282575</wp:posOffset>
            </wp:positionV>
            <wp:extent cx="431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ind w:left="760" w:hanging="293"/>
        <w:spacing w:after="0" w:line="224" w:lineRule="auto"/>
        <w:tabs>
          <w:tab w:leader="none" w:pos="760" w:val="left"/>
        </w:tabs>
        <w:numPr>
          <w:ilvl w:val="0"/>
          <w:numId w:val="17"/>
        </w:numPr>
        <w:rPr>
          <w:rFonts w:ascii="Calibri" w:cs="Calibri" w:eastAsia="Calibri" w:hAnsi="Calibri"/>
          <w:sz w:val="24"/>
          <w:szCs w:val="24"/>
          <w:b w:val="1"/>
          <w:bCs w:val="1"/>
          <w:color w:val="auto"/>
          <w:vertAlign w:val="superscript"/>
        </w:rPr>
      </w:pPr>
      <w:r>
        <w:rPr>
          <w:rFonts w:ascii="Calibri" w:cs="Calibri" w:eastAsia="Calibri" w:hAnsi="Calibri"/>
          <w:sz w:val="18"/>
          <w:szCs w:val="18"/>
          <w:color w:val="auto"/>
        </w:rPr>
        <w:t>Other inventory is comprised of certain spare parts and supplies.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At September 30, 2023 and 2022, total inventory reserves were $14 million and $9 million, respectvely.</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F. Property, Plant and Equipment</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Property, plant and equipment consists of the following:</w:t>
      </w:r>
    </w:p>
    <w:p>
      <w:pPr>
        <w:spacing w:after="0" w:line="10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September 30</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5"/>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292"/>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560" w:type="dxa"/>
            <w:vAlign w:val="bottom"/>
            <w:gridSpan w:val="2"/>
          </w:tcPr>
          <w:p>
            <w:pPr>
              <w:jc w:val="right"/>
              <w:ind w:right="10"/>
              <w:spacing w:after="0" w:line="164" w:lineRule="exact"/>
              <w:rPr>
                <w:sz w:val="20"/>
                <w:szCs w:val="20"/>
                <w:color w:val="auto"/>
              </w:rPr>
            </w:pPr>
            <w:r>
              <w:rPr>
                <w:rFonts w:ascii="Calibri" w:cs="Calibri" w:eastAsia="Calibri" w:hAnsi="Calibri"/>
                <w:sz w:val="14"/>
                <w:szCs w:val="14"/>
                <w:b w:val="1"/>
                <w:bCs w:val="1"/>
                <w:color w:val="auto"/>
                <w:w w:val="87"/>
              </w:rPr>
              <w:t>millions)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Land and land improvements</w:t>
            </w:r>
          </w:p>
        </w:tc>
        <w:tc>
          <w:tcPr>
            <w:tcW w:w="260" w:type="dxa"/>
            <w:vAlign w:val="bottom"/>
            <w:tcBorders>
              <w:bottom w:val="single" w:sz="8" w:color="CFF0FC"/>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72</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75</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20" w:type="dxa"/>
            <w:vAlign w:val="bottom"/>
          </w:tcPr>
          <w:p>
            <w:pPr>
              <w:spacing w:after="0" w:line="215" w:lineRule="exact"/>
              <w:rPr>
                <w:sz w:val="20"/>
                <w:szCs w:val="20"/>
                <w:color w:val="auto"/>
              </w:rPr>
            </w:pPr>
            <w:r>
              <w:rPr>
                <w:rFonts w:ascii="Calibri" w:cs="Calibri" w:eastAsia="Calibri" w:hAnsi="Calibri"/>
                <w:sz w:val="18"/>
                <w:szCs w:val="18"/>
                <w:color w:val="auto"/>
              </w:rPr>
              <w:t>Buildings</w:t>
            </w:r>
          </w:p>
        </w:tc>
        <w:tc>
          <w:tcPr>
            <w:tcW w:w="26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576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553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Machinery and equipment</w:t>
            </w:r>
          </w:p>
        </w:tc>
        <w:tc>
          <w:tcPr>
            <w:tcW w:w="2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2,622</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2,473</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20" w:type="dxa"/>
            <w:vAlign w:val="bottom"/>
          </w:tcPr>
          <w:p>
            <w:pPr>
              <w:spacing w:after="0" w:line="215" w:lineRule="exact"/>
              <w:rPr>
                <w:sz w:val="20"/>
                <w:szCs w:val="20"/>
                <w:color w:val="auto"/>
              </w:rPr>
            </w:pPr>
            <w:r>
              <w:rPr>
                <w:rFonts w:ascii="Calibri" w:cs="Calibri" w:eastAsia="Calibri" w:hAnsi="Calibri"/>
                <w:sz w:val="18"/>
                <w:szCs w:val="18"/>
                <w:color w:val="auto"/>
              </w:rPr>
              <w:t>Other</w:t>
            </w:r>
          </w:p>
        </w:tc>
        <w:tc>
          <w:tcPr>
            <w:tcW w:w="26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228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4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Constructon in progress</w:t>
            </w:r>
          </w:p>
        </w:tc>
        <w:tc>
          <w:tcPr>
            <w:tcW w:w="2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329</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224</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420" w:type="dxa"/>
            <w:vAlign w:val="bottom"/>
            <w:tcBorders>
              <w:top w:val="single" w:sz="8" w:color="CFF0FC"/>
            </w:tcBorders>
          </w:tcPr>
          <w:p>
            <w:pPr>
              <w:ind w:left="180"/>
              <w:spacing w:after="0" w:line="208" w:lineRule="exact"/>
              <w:rPr>
                <w:sz w:val="20"/>
                <w:szCs w:val="20"/>
                <w:color w:val="auto"/>
              </w:rPr>
            </w:pPr>
            <w:r>
              <w:rPr>
                <w:rFonts w:ascii="Calibri" w:cs="Calibri" w:eastAsia="Calibri" w:hAnsi="Calibri"/>
                <w:sz w:val="18"/>
                <w:szCs w:val="18"/>
                <w:color w:val="auto"/>
              </w:rPr>
              <w:t>Total property, plant and equipment</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3,827</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3,554</w:t>
            </w:r>
          </w:p>
        </w:tc>
        <w:tc>
          <w:tcPr>
            <w:tcW w:w="80" w:type="dxa"/>
            <w:vAlign w:val="bottom"/>
            <w:tcBorders>
              <w:top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4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Less: Accumulated depreciaton</w:t>
            </w:r>
          </w:p>
        </w:tc>
        <w:tc>
          <w:tcPr>
            <w:tcW w:w="2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gridSpan w:val="2"/>
            <w:shd w:val="clear" w:color="auto" w:fill="CFF0FC"/>
          </w:tcPr>
          <w:p>
            <w:pPr>
              <w:jc w:val="right"/>
              <w:ind w:right="48"/>
              <w:spacing w:after="0" w:line="215" w:lineRule="exact"/>
              <w:rPr>
                <w:sz w:val="20"/>
                <w:szCs w:val="20"/>
                <w:color w:val="auto"/>
              </w:rPr>
            </w:pPr>
            <w:r>
              <w:rPr>
                <w:rFonts w:ascii="Calibri" w:cs="Calibri" w:eastAsia="Calibri" w:hAnsi="Calibri"/>
                <w:sz w:val="18"/>
                <w:szCs w:val="18"/>
                <w:color w:val="auto"/>
              </w:rPr>
              <w:t>(2,415 )</w:t>
            </w:r>
          </w:p>
        </w:tc>
        <w:tc>
          <w:tcPr>
            <w:tcW w:w="3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(2,284 )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20" w:type="dxa"/>
            <w:vAlign w:val="bottom"/>
            <w:tcBorders>
              <w:top w:val="single" w:sz="8" w:color="CFF0FC"/>
            </w:tcBorders>
          </w:tcPr>
          <w:p>
            <w:pPr>
              <w:ind w:left="180"/>
              <w:spacing w:after="0"/>
              <w:rPr>
                <w:sz w:val="20"/>
                <w:szCs w:val="20"/>
                <w:color w:val="auto"/>
              </w:rPr>
            </w:pPr>
            <w:r>
              <w:rPr>
                <w:rFonts w:ascii="Calibri" w:cs="Calibri" w:eastAsia="Calibri" w:hAnsi="Calibri"/>
                <w:sz w:val="18"/>
                <w:szCs w:val="18"/>
                <w:color w:val="auto"/>
              </w:rPr>
              <w:t>Net property, plant and equipment</w:t>
            </w:r>
          </w:p>
        </w:tc>
        <w:tc>
          <w:tcPr>
            <w:tcW w:w="260" w:type="dxa"/>
            <w:vAlign w:val="bottom"/>
            <w:tcBorders>
              <w:top w:val="single" w:sz="8" w:color="auto"/>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1,412</w:t>
            </w:r>
          </w:p>
        </w:tc>
        <w:tc>
          <w:tcPr>
            <w:tcW w:w="2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1,270</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-504825</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Depreciaton expense for fscal 2023, 2022 and 2021 was $138 million, $140 million and $152 million, respectvely.</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G. Goodwill and Intangible Assets</w:t>
      </w:r>
    </w:p>
    <w:p>
      <w:pPr>
        <w:spacing w:after="0" w:line="82" w:lineRule="exact"/>
        <w:rPr>
          <w:sz w:val="20"/>
          <w:szCs w:val="20"/>
          <w:color w:val="auto"/>
        </w:rPr>
      </w:pPr>
    </w:p>
    <w:p>
      <w:pPr>
        <w:ind w:right="160" w:firstLine="549"/>
        <w:spacing w:after="0" w:line="235" w:lineRule="auto"/>
        <w:rPr>
          <w:sz w:val="20"/>
          <w:szCs w:val="20"/>
          <w:color w:val="auto"/>
        </w:rPr>
      </w:pPr>
      <w:r>
        <w:rPr>
          <w:rFonts w:ascii="Calibri" w:cs="Calibri" w:eastAsia="Calibri" w:hAnsi="Calibri"/>
          <w:sz w:val="18"/>
          <w:szCs w:val="18"/>
          <w:color w:val="auto"/>
        </w:rPr>
        <w:t>The carrying amount of goodwill atributable to each reportable segment with goodwill balances and the changes in those balances during the fscal year ended September 30, 2023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7"/>
          </w:tcPr>
          <w:p>
            <w:pPr>
              <w:jc w:val="center"/>
              <w:ind w:right="188"/>
              <w:spacing w:after="0"/>
              <w:rPr>
                <w:sz w:val="20"/>
                <w:szCs w:val="20"/>
                <w:color w:val="auto"/>
              </w:rPr>
            </w:pPr>
            <w:r>
              <w:rPr>
                <w:rFonts w:ascii="Calibri" w:cs="Calibri" w:eastAsia="Calibri" w:hAnsi="Calibri"/>
                <w:sz w:val="14"/>
                <w:szCs w:val="14"/>
                <w:b w:val="1"/>
                <w:bCs w:val="1"/>
                <w:color w:val="auto"/>
              </w:rPr>
              <w:t>Reinforcement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Performance</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5"/>
          </w:tcPr>
          <w:p>
            <w:pPr>
              <w:jc w:val="center"/>
              <w:ind w:right="468"/>
              <w:spacing w:after="0"/>
              <w:rPr>
                <w:sz w:val="20"/>
                <w:szCs w:val="20"/>
                <w:color w:val="auto"/>
              </w:rPr>
            </w:pPr>
            <w:r>
              <w:rPr>
                <w:rFonts w:ascii="Calibri" w:cs="Calibri" w:eastAsia="Calibri" w:hAnsi="Calibri"/>
                <w:sz w:val="14"/>
                <w:szCs w:val="14"/>
                <w:b w:val="1"/>
                <w:bCs w:val="1"/>
                <w:color w:val="auto"/>
              </w:rPr>
              <w:t>Materials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99"/>
              <w:spacing w:after="0"/>
              <w:rPr>
                <w:sz w:val="20"/>
                <w:szCs w:val="20"/>
                <w:color w:val="auto"/>
              </w:rPr>
            </w:pPr>
            <w:r>
              <w:rPr>
                <w:rFonts w:ascii="Calibri" w:cs="Calibri" w:eastAsia="Calibri" w:hAnsi="Calibri"/>
                <w:sz w:val="14"/>
                <w:szCs w:val="14"/>
                <w:b w:val="1"/>
                <w:bCs w:val="1"/>
                <w:color w:val="auto"/>
              </w:rPr>
              <w:t>Chemicals</w:t>
            </w:r>
          </w:p>
        </w:tc>
        <w:tc>
          <w:tcPr>
            <w:tcW w:w="24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Calibri" w:cs="Calibri" w:eastAsia="Calibri" w:hAnsi="Calibri"/>
                <w:sz w:val="14"/>
                <w:szCs w:val="14"/>
                <w:b w:val="1"/>
                <w:bCs w:val="1"/>
                <w:color w:val="auto"/>
              </w:rPr>
              <w:t>Total</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5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line="164" w:lineRule="exact"/>
              <w:rPr>
                <w:sz w:val="20"/>
                <w:szCs w:val="20"/>
                <w:color w:val="auto"/>
              </w:rPr>
            </w:pPr>
            <w:r>
              <w:rPr>
                <w:rFonts w:ascii="Calibri" w:cs="Calibri" w:eastAsia="Calibri" w:hAnsi="Calibri"/>
                <w:sz w:val="14"/>
                <w:szCs w:val="14"/>
                <w:b w:val="1"/>
                <w:bCs w:val="1"/>
                <w:color w:val="auto"/>
              </w:rPr>
              <w:t>(In millions)</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5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41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Balance at September 30, 2022</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gridSpan w:val="2"/>
            <w:shd w:val="clear" w:color="auto" w:fill="CFF0FC"/>
          </w:tcPr>
          <w:p>
            <w:pPr>
              <w:jc w:val="center"/>
              <w:ind w:right="6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CFF0FC"/>
              <w:right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83</w:t>
            </w:r>
          </w:p>
        </w:tc>
        <w:tc>
          <w:tcPr>
            <w:tcW w:w="2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ind w:right="433"/>
              <w:spacing w:after="0" w:line="215" w:lineRule="exact"/>
              <w:rPr>
                <w:sz w:val="20"/>
                <w:szCs w:val="20"/>
                <w:color w:val="auto"/>
              </w:rPr>
            </w:pPr>
            <w:r>
              <w:rPr>
                <w:rFonts w:ascii="Calibri" w:cs="Calibri" w:eastAsia="Calibri" w:hAnsi="Calibri"/>
                <w:sz w:val="18"/>
                <w:szCs w:val="18"/>
                <w:color w:val="auto"/>
                <w:w w:val="87"/>
              </w:rPr>
              <w:t>$</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129</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5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Calibri" w:cs="Calibri" w:eastAsia="Calibri" w:hAnsi="Calibri"/>
                <w:sz w:val="18"/>
                <w:szCs w:val="18"/>
                <w:color w:val="auto"/>
              </w:rPr>
              <w:t>Foreign currency impact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5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580" w:type="dxa"/>
            <w:vAlign w:val="bottom"/>
          </w:tcPr>
          <w:p>
            <w:pPr>
              <w:spacing w:after="0"/>
              <w:rPr>
                <w:sz w:val="24"/>
                <w:szCs w:val="24"/>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Balance at September 30, 2023</w:t>
            </w:r>
          </w:p>
        </w:tc>
        <w:tc>
          <w:tcPr>
            <w:tcW w:w="1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51</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center"/>
              <w:ind w:right="6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right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83</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3"/>
              <w:spacing w:after="0" w:line="215" w:lineRule="exact"/>
              <w:rPr>
                <w:sz w:val="20"/>
                <w:szCs w:val="20"/>
                <w:color w:val="auto"/>
              </w:rPr>
            </w:pPr>
            <w:r>
              <w:rPr>
                <w:rFonts w:ascii="Calibri" w:cs="Calibri" w:eastAsia="Calibri" w:hAnsi="Calibri"/>
                <w:sz w:val="18"/>
                <w:szCs w:val="18"/>
                <w:color w:val="auto"/>
                <w:w w:val="87"/>
              </w:rPr>
              <w:t>$</w:t>
            </w:r>
          </w:p>
        </w:tc>
        <w:tc>
          <w:tcPr>
            <w:tcW w:w="200" w:type="dxa"/>
            <w:vAlign w:val="bottom"/>
            <w:tcBorders>
              <w:bottom w:val="single" w:sz="8" w:color="auto"/>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134</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7"/>
        </w:trPr>
        <w:tc>
          <w:tcPr>
            <w:tcW w:w="7140" w:type="dxa"/>
            <w:vAlign w:val="bottom"/>
            <w:gridSpan w:val="11"/>
          </w:tcPr>
          <w:p>
            <w:pPr>
              <w:spacing w:after="0"/>
              <w:rPr>
                <w:sz w:val="20"/>
                <w:szCs w:val="20"/>
                <w:color w:val="auto"/>
              </w:rPr>
            </w:pPr>
            <w:r>
              <w:rPr>
                <w:rFonts w:ascii="Calibri" w:cs="Calibri" w:eastAsia="Calibri" w:hAnsi="Calibri"/>
                <w:sz w:val="18"/>
                <w:szCs w:val="18"/>
                <w:color w:val="auto"/>
                <w:w w:val="98"/>
              </w:rPr>
              <w:t>The following table provides informaton regarding the Company’s intangible assets with fnite lives: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3"/>
        </w:trPr>
        <w:tc>
          <w:tcPr>
            <w:tcW w:w="5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80" w:type="dxa"/>
            <w:vAlign w:val="bottom"/>
            <w:gridSpan w:val="7"/>
          </w:tcPr>
          <w:p>
            <w:pPr>
              <w:jc w:val="right"/>
              <w:ind w:right="220"/>
              <w:spacing w:after="0"/>
              <w:rPr>
                <w:sz w:val="20"/>
                <w:szCs w:val="20"/>
                <w:color w:val="auto"/>
              </w:rPr>
            </w:pPr>
            <w:r>
              <w:rPr>
                <w:rFonts w:ascii="Calibri" w:cs="Calibri" w:eastAsia="Calibri" w:hAnsi="Calibri"/>
                <w:sz w:val="14"/>
                <w:szCs w:val="14"/>
                <w:b w:val="1"/>
                <w:bCs w:val="1"/>
                <w:color w:val="auto"/>
              </w:rPr>
              <w:t>September 30, 2023</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gridSpan w:val="4"/>
          </w:tcPr>
          <w:p>
            <w:pPr>
              <w:jc w:val="right"/>
              <w:ind w:right="40"/>
              <w:spacing w:after="0"/>
              <w:rPr>
                <w:sz w:val="20"/>
                <w:szCs w:val="20"/>
                <w:color w:val="auto"/>
              </w:rPr>
            </w:pPr>
            <w:r>
              <w:rPr>
                <w:rFonts w:ascii="Calibri" w:cs="Calibri" w:eastAsia="Calibri" w:hAnsi="Calibri"/>
                <w:sz w:val="14"/>
                <w:szCs w:val="14"/>
                <w:b w:val="1"/>
                <w:bCs w:val="1"/>
                <w:color w:val="auto"/>
              </w:rPr>
              <w:t>September 30, 2022</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33"/>
        </w:trPr>
        <w:tc>
          <w:tcPr>
            <w:tcW w:w="5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center"/>
              <w:ind w:right="78"/>
              <w:spacing w:after="0" w:line="164" w:lineRule="exact"/>
              <w:rPr>
                <w:sz w:val="20"/>
                <w:szCs w:val="20"/>
                <w:color w:val="auto"/>
              </w:rPr>
            </w:pPr>
            <w:r>
              <w:rPr>
                <w:rFonts w:ascii="Calibri" w:cs="Calibri" w:eastAsia="Calibri" w:hAnsi="Calibri"/>
                <w:sz w:val="14"/>
                <w:szCs w:val="14"/>
                <w:b w:val="1"/>
                <w:bCs w:val="1"/>
                <w:color w:val="auto"/>
              </w:rPr>
              <w:t>Gross</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center"/>
              <w:ind w:right="120"/>
              <w:spacing w:after="0" w:line="164" w:lineRule="exact"/>
              <w:rPr>
                <w:sz w:val="20"/>
                <w:szCs w:val="20"/>
                <w:color w:val="auto"/>
              </w:rPr>
            </w:pPr>
            <w:r>
              <w:rPr>
                <w:rFonts w:ascii="Calibri" w:cs="Calibri" w:eastAsia="Calibri" w:hAnsi="Calibri"/>
                <w:sz w:val="14"/>
                <w:szCs w:val="14"/>
                <w:b w:val="1"/>
                <w:bCs w:val="1"/>
                <w:color w:val="auto"/>
                <w:w w:val="94"/>
              </w:rPr>
              <w:t>Net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tcPr>
          <w:p>
            <w:pPr>
              <w:jc w:val="center"/>
              <w:ind w:right="259"/>
              <w:spacing w:after="0" w:line="164" w:lineRule="exact"/>
              <w:rPr>
                <w:sz w:val="20"/>
                <w:szCs w:val="20"/>
                <w:color w:val="auto"/>
              </w:rPr>
            </w:pPr>
            <w:r>
              <w:rPr>
                <w:rFonts w:ascii="Calibri" w:cs="Calibri" w:eastAsia="Calibri" w:hAnsi="Calibri"/>
                <w:sz w:val="14"/>
                <w:szCs w:val="14"/>
                <w:b w:val="1"/>
                <w:bCs w:val="1"/>
                <w:color w:val="auto"/>
                <w:w w:val="98"/>
              </w:rPr>
              <w:t>Gross</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center"/>
              <w:ind w:right="100"/>
              <w:spacing w:after="0" w:line="164" w:lineRule="exact"/>
              <w:rPr>
                <w:sz w:val="20"/>
                <w:szCs w:val="20"/>
                <w:color w:val="auto"/>
              </w:rPr>
            </w:pPr>
            <w:r>
              <w:rPr>
                <w:rFonts w:ascii="Calibri" w:cs="Calibri" w:eastAsia="Calibri" w:hAnsi="Calibri"/>
                <w:sz w:val="14"/>
                <w:szCs w:val="14"/>
                <w:b w:val="1"/>
                <w:bCs w:val="1"/>
                <w:color w:val="auto"/>
                <w:w w:val="94"/>
              </w:rPr>
              <w:t>Net</w:t>
            </w:r>
          </w:p>
        </w:tc>
        <w:tc>
          <w:tcPr>
            <w:tcW w:w="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78"/>
              <w:spacing w:after="0"/>
              <w:rPr>
                <w:sz w:val="20"/>
                <w:szCs w:val="20"/>
                <w:color w:val="auto"/>
              </w:rPr>
            </w:pPr>
            <w:r>
              <w:rPr>
                <w:rFonts w:ascii="Calibri" w:cs="Calibri" w:eastAsia="Calibri" w:hAnsi="Calibri"/>
                <w:sz w:val="14"/>
                <w:szCs w:val="14"/>
                <w:b w:val="1"/>
                <w:bCs w:val="1"/>
                <w:color w:val="auto"/>
              </w:rPr>
              <w:t>Carrying</w:t>
            </w:r>
          </w:p>
        </w:tc>
        <w:tc>
          <w:tcPr>
            <w:tcW w:w="240" w:type="dxa"/>
            <w:vAlign w:val="bottom"/>
          </w:tcPr>
          <w:p>
            <w:pPr>
              <w:spacing w:after="0"/>
              <w:rPr>
                <w:sz w:val="15"/>
                <w:szCs w:val="15"/>
                <w:color w:val="auto"/>
              </w:rPr>
            </w:pPr>
          </w:p>
        </w:tc>
        <w:tc>
          <w:tcPr>
            <w:tcW w:w="980" w:type="dxa"/>
            <w:vAlign w:val="bottom"/>
            <w:gridSpan w:val="4"/>
          </w:tcPr>
          <w:p>
            <w:pPr>
              <w:jc w:val="right"/>
              <w:ind w:right="140"/>
              <w:spacing w:after="0"/>
              <w:rPr>
                <w:sz w:val="20"/>
                <w:szCs w:val="20"/>
                <w:color w:val="auto"/>
              </w:rPr>
            </w:pPr>
            <w:r>
              <w:rPr>
                <w:rFonts w:ascii="Calibri" w:cs="Calibri" w:eastAsia="Calibri" w:hAnsi="Calibri"/>
                <w:sz w:val="14"/>
                <w:szCs w:val="14"/>
                <w:b w:val="1"/>
                <w:bCs w:val="1"/>
                <w:color w:val="auto"/>
              </w:rPr>
              <w:t>Accumulated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center"/>
              <w:ind w:right="168"/>
              <w:spacing w:after="0"/>
              <w:rPr>
                <w:sz w:val="20"/>
                <w:szCs w:val="20"/>
                <w:color w:val="auto"/>
              </w:rPr>
            </w:pPr>
            <w:r>
              <w:rPr>
                <w:rFonts w:ascii="Calibri" w:cs="Calibri" w:eastAsia="Calibri" w:hAnsi="Calibri"/>
                <w:sz w:val="14"/>
                <w:szCs w:val="14"/>
                <w:b w:val="1"/>
                <w:bCs w:val="1"/>
                <w:color w:val="auto"/>
              </w:rPr>
              <w:t>Intangible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59"/>
              <w:spacing w:after="0"/>
              <w:rPr>
                <w:sz w:val="20"/>
                <w:szCs w:val="20"/>
                <w:color w:val="auto"/>
              </w:rPr>
            </w:pPr>
            <w:r>
              <w:rPr>
                <w:rFonts w:ascii="Calibri" w:cs="Calibri" w:eastAsia="Calibri" w:hAnsi="Calibri"/>
                <w:sz w:val="14"/>
                <w:szCs w:val="14"/>
                <w:b w:val="1"/>
                <w:bCs w:val="1"/>
                <w:color w:val="auto"/>
                <w:w w:val="98"/>
              </w:rPr>
              <w:t>Carrying</w:t>
            </w:r>
          </w:p>
        </w:tc>
        <w:tc>
          <w:tcPr>
            <w:tcW w:w="1060" w:type="dxa"/>
            <w:vAlign w:val="bottom"/>
            <w:gridSpan w:val="3"/>
          </w:tcPr>
          <w:p>
            <w:pPr>
              <w:jc w:val="right"/>
              <w:ind w:right="240"/>
              <w:spacing w:after="0"/>
              <w:rPr>
                <w:sz w:val="20"/>
                <w:szCs w:val="20"/>
                <w:color w:val="auto"/>
              </w:rPr>
            </w:pPr>
            <w:r>
              <w:rPr>
                <w:rFonts w:ascii="Calibri" w:cs="Calibri" w:eastAsia="Calibri" w:hAnsi="Calibri"/>
                <w:sz w:val="14"/>
                <w:szCs w:val="14"/>
                <w:b w:val="1"/>
                <w:bCs w:val="1"/>
                <w:color w:val="auto"/>
              </w:rPr>
              <w:t>Accumulated</w:t>
            </w:r>
          </w:p>
        </w:tc>
        <w:tc>
          <w:tcPr>
            <w:tcW w:w="980" w:type="dxa"/>
            <w:vAlign w:val="bottom"/>
            <w:gridSpan w:val="5"/>
          </w:tcPr>
          <w:p>
            <w:pPr>
              <w:jc w:val="center"/>
              <w:ind w:right="100"/>
              <w:spacing w:after="0"/>
              <w:rPr>
                <w:sz w:val="20"/>
                <w:szCs w:val="20"/>
                <w:color w:val="auto"/>
              </w:rPr>
            </w:pPr>
            <w:r>
              <w:rPr>
                <w:rFonts w:ascii="Calibri" w:cs="Calibri" w:eastAsia="Calibri" w:hAnsi="Calibri"/>
                <w:sz w:val="14"/>
                <w:szCs w:val="14"/>
                <w:b w:val="1"/>
                <w:bCs w:val="1"/>
                <w:color w:val="auto"/>
              </w:rPr>
              <w:t>Intangible</w:t>
            </w:r>
          </w:p>
        </w:tc>
      </w:tr>
      <w:tr>
        <w:trPr>
          <w:trHeight w:val="175"/>
        </w:trPr>
        <w:tc>
          <w:tcPr>
            <w:tcW w:w="5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78"/>
              <w:spacing w:after="0"/>
              <w:rPr>
                <w:sz w:val="20"/>
                <w:szCs w:val="20"/>
                <w:color w:val="auto"/>
              </w:rPr>
            </w:pPr>
            <w:r>
              <w:rPr>
                <w:rFonts w:ascii="Calibri" w:cs="Calibri" w:eastAsia="Calibri" w:hAnsi="Calibri"/>
                <w:sz w:val="14"/>
                <w:szCs w:val="14"/>
                <w:b w:val="1"/>
                <w:bCs w:val="1"/>
                <w:color w:val="auto"/>
              </w:rPr>
              <w:t>Value</w:t>
            </w:r>
          </w:p>
        </w:tc>
        <w:tc>
          <w:tcPr>
            <w:tcW w:w="240" w:type="dxa"/>
            <w:vAlign w:val="bottom"/>
          </w:tcPr>
          <w:p>
            <w:pPr>
              <w:spacing w:after="0"/>
              <w:rPr>
                <w:sz w:val="15"/>
                <w:szCs w:val="15"/>
                <w:color w:val="auto"/>
              </w:rPr>
            </w:pPr>
          </w:p>
        </w:tc>
        <w:tc>
          <w:tcPr>
            <w:tcW w:w="980" w:type="dxa"/>
            <w:vAlign w:val="bottom"/>
            <w:gridSpan w:val="4"/>
          </w:tcPr>
          <w:p>
            <w:pPr>
              <w:jc w:val="right"/>
              <w:ind w:right="160"/>
              <w:spacing w:after="0"/>
              <w:rPr>
                <w:sz w:val="20"/>
                <w:szCs w:val="20"/>
                <w:color w:val="auto"/>
              </w:rPr>
            </w:pPr>
            <w:r>
              <w:rPr>
                <w:rFonts w:ascii="Calibri" w:cs="Calibri" w:eastAsia="Calibri" w:hAnsi="Calibri"/>
                <w:sz w:val="14"/>
                <w:szCs w:val="14"/>
                <w:b w:val="1"/>
                <w:bCs w:val="1"/>
                <w:color w:val="auto"/>
              </w:rPr>
              <w:t>Amortzaton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center"/>
              <w:ind w:right="168"/>
              <w:spacing w:after="0"/>
              <w:rPr>
                <w:sz w:val="20"/>
                <w:szCs w:val="20"/>
                <w:color w:val="auto"/>
              </w:rPr>
            </w:pPr>
            <w:r>
              <w:rPr>
                <w:rFonts w:ascii="Calibri" w:cs="Calibri" w:eastAsia="Calibri" w:hAnsi="Calibri"/>
                <w:sz w:val="14"/>
                <w:szCs w:val="14"/>
                <w:b w:val="1"/>
                <w:bCs w:val="1"/>
                <w:color w:val="auto"/>
              </w:rPr>
              <w:t>Assets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59"/>
              <w:spacing w:after="0"/>
              <w:rPr>
                <w:sz w:val="20"/>
                <w:szCs w:val="20"/>
                <w:color w:val="auto"/>
              </w:rPr>
            </w:pPr>
            <w:r>
              <w:rPr>
                <w:rFonts w:ascii="Calibri" w:cs="Calibri" w:eastAsia="Calibri" w:hAnsi="Calibri"/>
                <w:sz w:val="14"/>
                <w:szCs w:val="14"/>
                <w:b w:val="1"/>
                <w:bCs w:val="1"/>
                <w:color w:val="auto"/>
                <w:w w:val="96"/>
              </w:rPr>
              <w:t>Value</w:t>
            </w:r>
          </w:p>
        </w:tc>
        <w:tc>
          <w:tcPr>
            <w:tcW w:w="1060" w:type="dxa"/>
            <w:vAlign w:val="bottom"/>
            <w:gridSpan w:val="3"/>
          </w:tcPr>
          <w:p>
            <w:pPr>
              <w:jc w:val="right"/>
              <w:ind w:right="240"/>
              <w:spacing w:after="0"/>
              <w:rPr>
                <w:sz w:val="20"/>
                <w:szCs w:val="20"/>
                <w:color w:val="auto"/>
              </w:rPr>
            </w:pPr>
            <w:r>
              <w:rPr>
                <w:rFonts w:ascii="Calibri" w:cs="Calibri" w:eastAsia="Calibri" w:hAnsi="Calibri"/>
                <w:sz w:val="14"/>
                <w:szCs w:val="14"/>
                <w:b w:val="1"/>
                <w:bCs w:val="1"/>
                <w:color w:val="auto"/>
              </w:rPr>
              <w:t>Amortzaton</w:t>
            </w:r>
          </w:p>
        </w:tc>
        <w:tc>
          <w:tcPr>
            <w:tcW w:w="660" w:type="dxa"/>
            <w:vAlign w:val="bottom"/>
            <w:gridSpan w:val="3"/>
          </w:tcPr>
          <w:p>
            <w:pPr>
              <w:jc w:val="center"/>
              <w:ind w:left="135"/>
              <w:spacing w:after="0"/>
              <w:rPr>
                <w:sz w:val="20"/>
                <w:szCs w:val="20"/>
                <w:color w:val="auto"/>
              </w:rPr>
            </w:pPr>
            <w:r>
              <w:rPr>
                <w:rFonts w:ascii="Calibri" w:cs="Calibri" w:eastAsia="Calibri" w:hAnsi="Calibri"/>
                <w:sz w:val="14"/>
                <w:szCs w:val="14"/>
                <w:b w:val="1"/>
                <w:bCs w:val="1"/>
                <w:color w:val="auto"/>
              </w:rPr>
              <w:t>Assets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5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line="164" w:lineRule="exact"/>
              <w:rPr>
                <w:sz w:val="20"/>
                <w:szCs w:val="20"/>
                <w:color w:val="auto"/>
              </w:rPr>
            </w:pPr>
            <w:r>
              <w:rPr>
                <w:rFonts w:ascii="Calibri" w:cs="Calibri" w:eastAsia="Calibri" w:hAnsi="Calibri"/>
                <w:sz w:val="14"/>
                <w:szCs w:val="14"/>
                <w:b w:val="1"/>
                <w:bCs w:val="1"/>
                <w:color w:val="auto"/>
              </w:rPr>
              <w:t>(In</w:t>
            </w:r>
          </w:p>
        </w:tc>
        <w:tc>
          <w:tcPr>
            <w:tcW w:w="1080" w:type="dxa"/>
            <w:vAlign w:val="bottom"/>
            <w:gridSpan w:val="4"/>
          </w:tcPr>
          <w:p>
            <w:pPr>
              <w:jc w:val="center"/>
              <w:ind w:right="599"/>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760" w:type="dxa"/>
            <w:vAlign w:val="bottom"/>
            <w:tcBorders>
              <w:bottom w:val="single" w:sz="8" w:color="CFF0FC"/>
            </w:tcBorders>
            <w:gridSpan w:val="2"/>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Developed technologies</w:t>
            </w:r>
          </w:p>
        </w:tc>
        <w:tc>
          <w:tcPr>
            <w:tcW w:w="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w:t>
            </w:r>
          </w:p>
        </w:tc>
        <w:tc>
          <w:tcPr>
            <w:tcW w:w="600" w:type="dxa"/>
            <w:vAlign w:val="bottom"/>
            <w:tcBorders>
              <w:bottom w:val="single" w:sz="8" w:color="CFF0FC"/>
            </w:tcBorders>
            <w:gridSpan w:val="2"/>
            <w:shd w:val="clear" w:color="auto" w:fill="CFF0FC"/>
          </w:tcPr>
          <w:p>
            <w:pPr>
              <w:jc w:val="right"/>
              <w:ind w:right="182"/>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Borders>
              <w:bottom w:val="single" w:sz="8" w:color="CFF0FC"/>
            </w:tcBorders>
            <w:gridSpan w:val="3"/>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(10 )</w:t>
            </w:r>
          </w:p>
        </w:tc>
        <w:tc>
          <w:tcPr>
            <w:tcW w:w="2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24</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w:t>
            </w:r>
          </w:p>
        </w:tc>
        <w:tc>
          <w:tcPr>
            <w:tcW w:w="220" w:type="dxa"/>
            <w:vAlign w:val="bottom"/>
            <w:tcBorders>
              <w:bottom w:val="single" w:sz="8" w:color="CFF0FC"/>
              <w:right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9"/>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(8 )</w:t>
            </w:r>
          </w:p>
        </w:tc>
        <w:tc>
          <w:tcPr>
            <w:tcW w:w="320" w:type="dxa"/>
            <w:vAlign w:val="bottom"/>
            <w:tcBorders>
              <w:bottom w:val="single" w:sz="8" w:color="CFF0FC"/>
            </w:tcBorders>
            <w:shd w:val="clear" w:color="auto" w:fill="CFF0FC"/>
          </w:tcPr>
          <w:p>
            <w:pPr>
              <w:jc w:val="right"/>
              <w:ind w:right="115"/>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8"/>
              </w:rPr>
              <w:t>26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4760" w:type="dxa"/>
            <w:vAlign w:val="bottom"/>
            <w:gridSpan w:val="2"/>
          </w:tcPr>
          <w:p>
            <w:pPr>
              <w:ind w:left="200"/>
              <w:spacing w:after="0" w:line="215" w:lineRule="exact"/>
              <w:rPr>
                <w:sz w:val="20"/>
                <w:szCs w:val="20"/>
                <w:color w:val="auto"/>
              </w:rPr>
            </w:pPr>
            <w:r>
              <w:rPr>
                <w:rFonts w:ascii="Calibri" w:cs="Calibri" w:eastAsia="Calibri" w:hAnsi="Calibri"/>
                <w:sz w:val="18"/>
                <w:szCs w:val="18"/>
                <w:color w:val="auto"/>
              </w:rPr>
              <w:t>Trademarks</w:t>
            </w:r>
          </w:p>
        </w:tc>
        <w:tc>
          <w:tcPr>
            <w:tcW w:w="160" w:type="dxa"/>
            <w:vAlign w:val="bottom"/>
          </w:tcPr>
          <w:p>
            <w:pPr>
              <w:spacing w:after="0"/>
              <w:rPr>
                <w:sz w:val="18"/>
                <w:szCs w:val="18"/>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3"/>
          </w:tcPr>
          <w:p>
            <w:pPr>
              <w:jc w:val="right"/>
              <w:ind w:right="20"/>
              <w:spacing w:after="0" w:line="215" w:lineRule="exact"/>
              <w:rPr>
                <w:sz w:val="20"/>
                <w:szCs w:val="20"/>
                <w:color w:val="auto"/>
              </w:rPr>
            </w:pPr>
            <w:r>
              <w:rPr>
                <w:rFonts w:ascii="Calibri" w:cs="Calibri" w:eastAsia="Calibri" w:hAnsi="Calibri"/>
                <w:sz w:val="18"/>
                <w:szCs w:val="18"/>
                <w:color w:val="auto"/>
              </w:rPr>
              <w:t>(1 )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(1 )</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r>
      <w:tr>
        <w:trPr>
          <w:trHeight w:val="28"/>
        </w:trPr>
        <w:tc>
          <w:tcPr>
            <w:tcW w:w="4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760" w:type="dxa"/>
            <w:vAlign w:val="bottom"/>
            <w:tcBorders>
              <w:bottom w:val="single" w:sz="8" w:color="CFF0FC"/>
            </w:tcBorders>
            <w:gridSpan w:val="2"/>
            <w:shd w:val="clear" w:color="auto" w:fill="CFF0FC"/>
          </w:tcPr>
          <w:p>
            <w:pPr>
              <w:ind w:left="200"/>
              <w:spacing w:after="0"/>
              <w:rPr>
                <w:sz w:val="20"/>
                <w:szCs w:val="20"/>
                <w:color w:val="auto"/>
              </w:rPr>
            </w:pPr>
            <w:r>
              <w:rPr>
                <w:rFonts w:ascii="Calibri" w:cs="Calibri" w:eastAsia="Calibri" w:hAnsi="Calibri"/>
                <w:sz w:val="18"/>
                <w:szCs w:val="18"/>
                <w:color w:val="auto"/>
              </w:rPr>
              <w:t>Customer relatonships</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65</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3"/>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(30 )</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35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59</w:t>
            </w:r>
          </w:p>
        </w:tc>
        <w:tc>
          <w:tcPr>
            <w:tcW w:w="220" w:type="dxa"/>
            <w:vAlign w:val="bottom"/>
            <w:tcBorders>
              <w:bottom w:val="single" w:sz="8" w:color="CFF0FC"/>
              <w:right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(23 )</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8"/>
              </w:rPr>
              <w:t>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shd w:val="clear" w:color="auto" w:fill="CFF0FC"/>
          </w:tcPr>
          <w:p>
            <w:pPr>
              <w:spacing w:after="0" w:line="20" w:lineRule="exact"/>
              <w:rPr>
                <w:sz w:val="1"/>
                <w:szCs w:val="1"/>
                <w:color w:val="auto"/>
              </w:rPr>
            </w:pPr>
          </w:p>
        </w:tc>
        <w:tc>
          <w:tcPr>
            <w:tcW w:w="4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760" w:type="dxa"/>
            <w:vAlign w:val="bottom"/>
            <w:gridSpan w:val="2"/>
          </w:tcPr>
          <w:p>
            <w:pPr>
              <w:ind w:left="20"/>
              <w:spacing w:after="0"/>
              <w:rPr>
                <w:sz w:val="20"/>
                <w:szCs w:val="20"/>
                <w:color w:val="auto"/>
              </w:rPr>
            </w:pPr>
            <w:r>
              <w:rPr>
                <w:rFonts w:ascii="Calibri" w:cs="Calibri" w:eastAsia="Calibri" w:hAnsi="Calibri"/>
                <w:sz w:val="18"/>
                <w:szCs w:val="18"/>
                <w:color w:val="auto"/>
              </w:rPr>
              <w:t>Total intangible assets</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101</w:t>
            </w:r>
          </w:p>
        </w:tc>
        <w:tc>
          <w:tcPr>
            <w:tcW w:w="240" w:type="dxa"/>
            <w:vAlign w:val="bottom"/>
          </w:tcPr>
          <w:p>
            <w:pPr>
              <w:spacing w:after="0"/>
              <w:rPr>
                <w:sz w:val="20"/>
                <w:szCs w:val="20"/>
                <w:color w:val="auto"/>
              </w:rPr>
            </w:pPr>
          </w:p>
        </w:tc>
        <w:tc>
          <w:tcPr>
            <w:tcW w:w="360" w:type="dxa"/>
            <w:vAlign w:val="bottom"/>
          </w:tcPr>
          <w:p>
            <w:pPr>
              <w:jc w:val="right"/>
              <w:ind w:right="182"/>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gridSpan w:val="3"/>
          </w:tcPr>
          <w:p>
            <w:pPr>
              <w:jc w:val="right"/>
              <w:ind w:right="20"/>
              <w:spacing w:after="0" w:line="215" w:lineRule="exact"/>
              <w:rPr>
                <w:sz w:val="20"/>
                <w:szCs w:val="20"/>
                <w:color w:val="auto"/>
              </w:rPr>
            </w:pPr>
            <w:r>
              <w:rPr>
                <w:rFonts w:ascii="Calibri" w:cs="Calibri" w:eastAsia="Calibri" w:hAnsi="Calibri"/>
                <w:sz w:val="18"/>
                <w:szCs w:val="18"/>
                <w:color w:val="auto"/>
              </w:rPr>
              <w:t>(41 )</w:t>
            </w:r>
          </w:p>
        </w:tc>
        <w:tc>
          <w:tcPr>
            <w:tcW w:w="2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60</w:t>
            </w:r>
          </w:p>
        </w:tc>
        <w:tc>
          <w:tcPr>
            <w:tcW w:w="120" w:type="dxa"/>
            <w:vAlign w:val="bottom"/>
          </w:tcPr>
          <w:p>
            <w:pPr>
              <w:spacing w:after="0"/>
              <w:rPr>
                <w:sz w:val="20"/>
                <w:szCs w:val="20"/>
                <w:color w:val="auto"/>
              </w:rPr>
            </w:pPr>
          </w:p>
        </w:tc>
        <w:tc>
          <w:tcPr>
            <w:tcW w:w="2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95</w:t>
            </w:r>
          </w:p>
        </w:tc>
        <w:tc>
          <w:tcPr>
            <w:tcW w:w="220" w:type="dxa"/>
            <w:vAlign w:val="bottom"/>
          </w:tcPr>
          <w:p>
            <w:pPr>
              <w:spacing w:after="0"/>
              <w:rPr>
                <w:sz w:val="20"/>
                <w:szCs w:val="20"/>
                <w:color w:val="auto"/>
              </w:rPr>
            </w:pPr>
          </w:p>
        </w:tc>
        <w:tc>
          <w:tcPr>
            <w:tcW w:w="240" w:type="dxa"/>
            <w:vAlign w:val="bottom"/>
          </w:tcPr>
          <w:p>
            <w:pPr>
              <w:jc w:val="right"/>
              <w:ind w:right="59"/>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(32 )</w:t>
            </w:r>
          </w:p>
        </w:tc>
        <w:tc>
          <w:tcPr>
            <w:tcW w:w="320" w:type="dxa"/>
            <w:vAlign w:val="bottom"/>
          </w:tcPr>
          <w:p>
            <w:pPr>
              <w:jc w:val="right"/>
              <w:ind w:right="115"/>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jc w:val="right"/>
              <w:spacing w:after="0" w:line="215" w:lineRule="exact"/>
              <w:rPr>
                <w:sz w:val="20"/>
                <w:szCs w:val="20"/>
                <w:color w:val="auto"/>
              </w:rPr>
            </w:pPr>
            <w:r>
              <w:rPr>
                <w:rFonts w:ascii="Calibri" w:cs="Calibri" w:eastAsia="Calibri" w:hAnsi="Calibri"/>
                <w:sz w:val="18"/>
                <w:szCs w:val="18"/>
                <w:color w:val="auto"/>
                <w:w w:val="98"/>
              </w:rPr>
              <w:t>63</w:t>
            </w:r>
          </w:p>
        </w:tc>
        <w:tc>
          <w:tcPr>
            <w:tcW w:w="10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-1670685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-1653540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-1670685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-1653540</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-1670685</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-1653540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-187960</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-187960</wp:posOffset>
            </wp:positionV>
            <wp:extent cx="768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-187960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-187960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-187960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5"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Intangible assets are amortzed over their estmated useful lives, which range between ten and twenty-fve years, with a weighted average amortzaton period of seventeen years. Amortzaton expense for fscal 2023, 2022 and 2021 was $6 million, $6 million and $8 million, respectvely, and is included in Cost of sales, Selling and administratve expenses and Research and technical expenses in the Consolidated Statements of Operatons. Total amortzaton expense is estmated to be approximately $6 million each year for the next fve fscal years.</w:t>
      </w: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2" w:name="page53"/>
    <w:bookmarkEnd w:id="52"/>
    <w:p>
      <w:pPr>
        <w:spacing w:after="0"/>
        <w:rPr>
          <w:sz w:val="20"/>
          <w:szCs w:val="20"/>
          <w:color w:val="auto"/>
        </w:rPr>
      </w:pPr>
      <w:r>
        <w:rPr>
          <w:rFonts w:ascii="Calibri" w:cs="Calibri" w:eastAsia="Calibri" w:hAnsi="Calibri"/>
          <w:sz w:val="18"/>
          <w:szCs w:val="18"/>
          <w:b w:val="1"/>
          <w:bCs w:val="1"/>
          <w:color w:val="auto"/>
        </w:rPr>
        <w:t>Note H. Accounts Payable, Accrued Liabilites and Other Liabilites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Accounts payable and accrued liabilites included in current liabilites consist of the following:</w:t>
      </w:r>
    </w:p>
    <w:p>
      <w:pPr>
        <w:spacing w:after="0" w:line="103" w:lineRule="exact"/>
        <w:rPr>
          <w:sz w:val="20"/>
          <w:szCs w:val="20"/>
          <w:color w:val="auto"/>
        </w:rPr>
      </w:pPr>
    </w:p>
    <w:p>
      <w:pPr>
        <w:jc w:val="center"/>
        <w:ind w:left="5360"/>
        <w:spacing w:after="0"/>
        <w:rPr>
          <w:sz w:val="20"/>
          <w:szCs w:val="20"/>
          <w:color w:val="auto"/>
        </w:rPr>
      </w:pPr>
      <w:r>
        <w:rPr>
          <w:rFonts w:ascii="Calibri" w:cs="Calibri" w:eastAsia="Calibri" w:hAnsi="Calibri"/>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20955</wp:posOffset>
            </wp:positionV>
            <wp:extent cx="14916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5" w:lineRule="exact"/>
        <w:rPr>
          <w:sz w:val="20"/>
          <w:szCs w:val="20"/>
          <w:color w:val="auto"/>
        </w:rPr>
      </w:pPr>
    </w:p>
    <w:p>
      <w:pPr>
        <w:jc w:val="both"/>
        <w:ind w:left="7540"/>
        <w:spacing w:after="0"/>
        <w:tabs>
          <w:tab w:leader="none" w:pos="8780" w:val="left"/>
        </w:tabs>
        <w:rPr>
          <w:sz w:val="20"/>
          <w:szCs w:val="20"/>
          <w:color w:val="auto"/>
        </w:rPr>
      </w:pPr>
      <w:r>
        <w:rPr>
          <w:rFonts w:ascii="Calibri" w:cs="Calibri" w:eastAsia="Calibri" w:hAnsi="Calibri"/>
          <w:sz w:val="14"/>
          <w:szCs w:val="14"/>
          <w:b w:val="1"/>
          <w:bCs w:val="1"/>
          <w:color w:val="auto"/>
        </w:rPr>
        <w:t>2023</w:t>
      </w:r>
      <w:r>
        <w:rPr>
          <w:sz w:val="20"/>
          <w:szCs w:val="20"/>
          <w:color w:val="auto"/>
        </w:rPr>
        <w:tab/>
      </w:r>
      <w:r>
        <w:rPr>
          <w:rFonts w:ascii="Calibri" w:cs="Calibri" w:eastAsia="Calibri" w:hAnsi="Calibri"/>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20955</wp:posOffset>
            </wp:positionV>
            <wp:extent cx="14916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5" w:lineRule="exact"/>
        <w:rPr>
          <w:sz w:val="20"/>
          <w:szCs w:val="20"/>
          <w:color w:val="auto"/>
        </w:rPr>
      </w:pPr>
    </w:p>
    <w:p>
      <w:pPr>
        <w:ind w:left="7960"/>
        <w:spacing w:after="0"/>
        <w:rPr>
          <w:sz w:val="20"/>
          <w:szCs w:val="20"/>
          <w:color w:val="auto"/>
        </w:rPr>
      </w:pPr>
      <w:r>
        <w:rPr>
          <w:rFonts w:ascii="Calibri" w:cs="Calibri" w:eastAsia="Calibri" w:hAnsi="Calibri"/>
          <w:sz w:val="14"/>
          <w:szCs w:val="14"/>
          <w:b w:val="1"/>
          <w:bCs w:val="1"/>
          <w:color w:val="auto"/>
        </w:rPr>
        <w:t>(In millions)</w:t>
      </w:r>
    </w:p>
    <w:p>
      <w:pPr>
        <w:sectPr>
          <w:pgSz w:w="11900" w:h="16838" w:orient="portrait"/>
          <w:cols w:equalWidth="0" w:num="1">
            <w:col w:w="11240"/>
          </w:cols>
          <w:pgMar w:left="320" w:top="409" w:right="339" w:bottom="1440" w:gutter="0" w:footer="0" w:header="0"/>
        </w:sectPr>
      </w:pPr>
    </w:p>
    <w:p>
      <w:pPr>
        <w:spacing w:after="0" w:line="20" w:lineRule="exact"/>
        <w:rPr>
          <w:sz w:val="20"/>
          <w:szCs w:val="20"/>
          <w:color w:val="auto"/>
        </w:rPr>
      </w:pPr>
    </w:p>
    <w:p>
      <w:pPr>
        <w:ind w:left="1700"/>
        <w:spacing w:after="0"/>
        <w:rPr>
          <w:sz w:val="20"/>
          <w:szCs w:val="20"/>
          <w:color w:val="auto"/>
        </w:rPr>
      </w:pPr>
      <w:r>
        <w:rPr>
          <w:rFonts w:ascii="Calibri" w:cs="Calibri" w:eastAsia="Calibri" w:hAnsi="Calibri"/>
          <w:sz w:val="18"/>
          <w:szCs w:val="18"/>
          <w:color w:val="auto"/>
        </w:rPr>
        <w:t>Accounts payable</w:t>
      </w:r>
    </w:p>
    <w:p>
      <w:pPr>
        <w:spacing w:after="0" w:line="28" w:lineRule="exact"/>
        <w:rPr>
          <w:sz w:val="20"/>
          <w:szCs w:val="20"/>
          <w:color w:val="auto"/>
        </w:rPr>
      </w:pPr>
    </w:p>
    <w:p>
      <w:pPr>
        <w:ind w:left="1700"/>
        <w:spacing w:after="0"/>
        <w:rPr>
          <w:sz w:val="20"/>
          <w:szCs w:val="20"/>
          <w:color w:val="auto"/>
        </w:rPr>
      </w:pPr>
      <w:r>
        <w:rPr>
          <w:rFonts w:ascii="Calibri" w:cs="Calibri" w:eastAsia="Calibri" w:hAnsi="Calibri"/>
          <w:sz w:val="17"/>
          <w:szCs w:val="17"/>
          <w:color w:val="auto"/>
        </w:rPr>
        <w:t>Accrued employee compensaton</w:t>
      </w:r>
    </w:p>
    <w:p>
      <w:pPr>
        <w:spacing w:after="0" w:line="44" w:lineRule="exact"/>
        <w:rPr>
          <w:sz w:val="20"/>
          <w:szCs w:val="20"/>
          <w:color w:val="auto"/>
        </w:rPr>
      </w:pPr>
    </w:p>
    <w:p>
      <w:pPr>
        <w:ind w:left="1700"/>
        <w:spacing w:after="0"/>
        <w:rPr>
          <w:sz w:val="20"/>
          <w:szCs w:val="20"/>
          <w:color w:val="auto"/>
        </w:rPr>
      </w:pPr>
      <w:r>
        <w:rPr>
          <w:rFonts w:ascii="Calibri" w:cs="Calibri" w:eastAsia="Calibri" w:hAnsi="Calibri"/>
          <w:sz w:val="18"/>
          <w:szCs w:val="18"/>
          <w:color w:val="auto"/>
        </w:rPr>
        <w:t>Other accrued liabilites</w:t>
      </w:r>
    </w:p>
    <w:p>
      <w:pPr>
        <w:spacing w:after="0" w:line="64" w:lineRule="exact"/>
        <w:rPr>
          <w:sz w:val="20"/>
          <w:szCs w:val="20"/>
          <w:color w:val="auto"/>
        </w:rPr>
      </w:pPr>
    </w:p>
    <w:p>
      <w:pPr>
        <w:ind w:left="1880"/>
        <w:spacing w:after="0"/>
        <w:rPr>
          <w:sz w:val="20"/>
          <w:szCs w:val="20"/>
          <w:color w:val="auto"/>
        </w:rPr>
      </w:pPr>
      <w:r>
        <w:rPr>
          <w:rFonts w:ascii="Calibri" w:cs="Calibri" w:eastAsia="Calibri" w:hAnsi="Calibri"/>
          <w:sz w:val="18"/>
          <w:szCs w:val="18"/>
          <w:color w:val="auto"/>
        </w:rPr>
        <w:t>Total</w:t>
      </w:r>
    </w:p>
    <w:p>
      <w:pPr>
        <w:spacing w:after="0" w:line="177"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Other long-term liabilites consist of the following: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440" w:type="dxa"/>
            <w:vAlign w:val="bottom"/>
          </w:tcPr>
          <w:p>
            <w:pPr>
              <w:jc w:val="right"/>
              <w:ind w:right="250"/>
              <w:spacing w:after="0"/>
              <w:rPr>
                <w:sz w:val="20"/>
                <w:szCs w:val="20"/>
                <w:color w:val="auto"/>
              </w:rPr>
            </w:pPr>
            <w:r>
              <w:rPr>
                <w:rFonts w:ascii="Calibri" w:cs="Calibri" w:eastAsia="Calibri" w:hAnsi="Calibri"/>
                <w:sz w:val="18"/>
                <w:szCs w:val="18"/>
                <w:color w:val="auto"/>
                <w:w w:val="87"/>
              </w:rPr>
              <w:t>$</w:t>
            </w:r>
          </w:p>
        </w:tc>
        <w:tc>
          <w:tcPr>
            <w:tcW w:w="640" w:type="dxa"/>
            <w:vAlign w:val="bottom"/>
          </w:tcPr>
          <w:p>
            <w:pPr>
              <w:jc w:val="right"/>
              <w:spacing w:after="0"/>
              <w:rPr>
                <w:sz w:val="20"/>
                <w:szCs w:val="20"/>
                <w:color w:val="auto"/>
              </w:rPr>
            </w:pPr>
            <w:r>
              <w:rPr>
                <w:rFonts w:ascii="Calibri" w:cs="Calibri" w:eastAsia="Calibri" w:hAnsi="Calibri"/>
                <w:sz w:val="18"/>
                <w:szCs w:val="18"/>
                <w:color w:val="auto"/>
              </w:rPr>
              <w:t>438</w:t>
            </w:r>
          </w:p>
        </w:tc>
        <w:tc>
          <w:tcPr>
            <w:tcW w:w="640" w:type="dxa"/>
            <w:vAlign w:val="bottom"/>
            <w:gridSpan w:val="2"/>
          </w:tcPr>
          <w:p>
            <w:pPr>
              <w:jc w:val="right"/>
              <w:ind w:right="250"/>
              <w:spacing w:after="0"/>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rPr>
                <w:sz w:val="20"/>
                <w:szCs w:val="20"/>
                <w:color w:val="auto"/>
              </w:rPr>
            </w:pPr>
            <w:r>
              <w:rPr>
                <w:rFonts w:ascii="Calibri" w:cs="Calibri" w:eastAsia="Calibri" w:hAnsi="Calibri"/>
                <w:sz w:val="18"/>
                <w:szCs w:val="18"/>
                <w:color w:val="auto"/>
              </w:rPr>
              <w:t>533</w:t>
            </w:r>
          </w:p>
        </w:tc>
      </w:tr>
      <w:tr>
        <w:trPr>
          <w:trHeight w:val="243"/>
        </w:trPr>
        <w:tc>
          <w:tcPr>
            <w:tcW w:w="4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Calibri" w:cs="Calibri" w:eastAsia="Calibri" w:hAnsi="Calibri"/>
                <w:sz w:val="18"/>
                <w:szCs w:val="18"/>
                <w:color w:val="auto"/>
              </w:rPr>
              <w:t>55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Calibri" w:cs="Calibri" w:eastAsia="Calibri" w:hAnsi="Calibri"/>
                <w:sz w:val="18"/>
                <w:szCs w:val="18"/>
                <w:color w:val="auto"/>
              </w:rPr>
              <w:t>66</w:t>
            </w:r>
          </w:p>
        </w:tc>
      </w:tr>
      <w:tr>
        <w:trPr>
          <w:trHeight w:val="243"/>
        </w:trPr>
        <w:tc>
          <w:tcPr>
            <w:tcW w:w="4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Calibri" w:cs="Calibri" w:eastAsia="Calibri" w:hAnsi="Calibri"/>
                <w:sz w:val="18"/>
                <w:szCs w:val="18"/>
                <w:color w:val="auto"/>
              </w:rPr>
              <w:t>107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Calibri" w:cs="Calibri" w:eastAsia="Calibri" w:hAnsi="Calibri"/>
                <w:sz w:val="18"/>
                <w:szCs w:val="18"/>
                <w:color w:val="auto"/>
              </w:rPr>
              <w:t>108</w:t>
            </w:r>
          </w:p>
        </w:tc>
      </w:tr>
      <w:tr>
        <w:trPr>
          <w:trHeight w:val="37"/>
        </w:trPr>
        <w:tc>
          <w:tcPr>
            <w:tcW w:w="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08"/>
        </w:trPr>
        <w:tc>
          <w:tcPr>
            <w:tcW w:w="440" w:type="dxa"/>
            <w:vAlign w:val="bottom"/>
          </w:tcPr>
          <w:p>
            <w:pPr>
              <w:jc w:val="right"/>
              <w:ind w:right="250"/>
              <w:spacing w:after="0" w:line="208" w:lineRule="exact"/>
              <w:rPr>
                <w:sz w:val="20"/>
                <w:szCs w:val="20"/>
                <w:color w:val="auto"/>
              </w:rPr>
            </w:pPr>
            <w:r>
              <w:rPr>
                <w:rFonts w:ascii="Calibri" w:cs="Calibri" w:eastAsia="Calibri" w:hAnsi="Calibri"/>
                <w:sz w:val="18"/>
                <w:szCs w:val="18"/>
                <w:color w:val="auto"/>
                <w:w w:val="87"/>
              </w:rPr>
              <w:t>$</w:t>
            </w:r>
          </w:p>
        </w:tc>
        <w:tc>
          <w:tcPr>
            <w:tcW w:w="640" w:type="dxa"/>
            <w:vAlign w:val="bottom"/>
          </w:tcPr>
          <w:p>
            <w:pPr>
              <w:jc w:val="right"/>
              <w:spacing w:after="0" w:line="208" w:lineRule="exact"/>
              <w:rPr>
                <w:sz w:val="20"/>
                <w:szCs w:val="20"/>
                <w:color w:val="auto"/>
              </w:rPr>
            </w:pPr>
            <w:r>
              <w:rPr>
                <w:rFonts w:ascii="Calibri" w:cs="Calibri" w:eastAsia="Calibri" w:hAnsi="Calibri"/>
                <w:sz w:val="18"/>
                <w:szCs w:val="18"/>
                <w:color w:val="auto"/>
              </w:rPr>
              <w:t>600</w:t>
            </w:r>
          </w:p>
        </w:tc>
        <w:tc>
          <w:tcPr>
            <w:tcW w:w="200" w:type="dxa"/>
            <w:vAlign w:val="bottom"/>
          </w:tcPr>
          <w:p>
            <w:pPr>
              <w:spacing w:after="0"/>
              <w:rPr>
                <w:sz w:val="18"/>
                <w:szCs w:val="18"/>
                <w:color w:val="auto"/>
              </w:rPr>
            </w:pPr>
          </w:p>
        </w:tc>
        <w:tc>
          <w:tcPr>
            <w:tcW w:w="440" w:type="dxa"/>
            <w:vAlign w:val="bottom"/>
          </w:tcPr>
          <w:p>
            <w:pPr>
              <w:jc w:val="right"/>
              <w:ind w:right="250"/>
              <w:spacing w:after="0" w:line="208" w:lineRule="exact"/>
              <w:rPr>
                <w:sz w:val="20"/>
                <w:szCs w:val="20"/>
                <w:color w:val="auto"/>
              </w:rPr>
            </w:pPr>
            <w:r>
              <w:rPr>
                <w:rFonts w:ascii="Calibri" w:cs="Calibri" w:eastAsia="Calibri" w:hAnsi="Calibri"/>
                <w:sz w:val="18"/>
                <w:szCs w:val="18"/>
                <w:color w:val="auto"/>
                <w:w w:val="87"/>
              </w:rPr>
              <w:t>$</w:t>
            </w:r>
          </w:p>
        </w:tc>
        <w:tc>
          <w:tcPr>
            <w:tcW w:w="620" w:type="dxa"/>
            <w:vAlign w:val="bottom"/>
          </w:tcPr>
          <w:p>
            <w:pPr>
              <w:jc w:val="right"/>
              <w:spacing w:after="0" w:line="208" w:lineRule="exact"/>
              <w:rPr>
                <w:sz w:val="20"/>
                <w:szCs w:val="20"/>
                <w:color w:val="auto"/>
              </w:rPr>
            </w:pPr>
            <w:r>
              <w:rPr>
                <w:rFonts w:ascii="Calibri" w:cs="Calibri" w:eastAsia="Calibri" w:hAnsi="Calibri"/>
                <w:sz w:val="18"/>
                <w:szCs w:val="18"/>
                <w:color w:val="auto"/>
              </w:rPr>
              <w:t>707</w:t>
            </w:r>
          </w:p>
        </w:tc>
      </w:tr>
      <w:tr>
        <w:trPr>
          <w:trHeight w:val="28"/>
        </w:trPr>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-650875</wp:posOffset>
            </wp:positionV>
            <wp:extent cx="4989195"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-342265</wp:posOffset>
            </wp:positionV>
            <wp:extent cx="4989195" cy="1631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1760"/>
        <w:spacing w:after="0"/>
        <w:rPr>
          <w:sz w:val="20"/>
          <w:szCs w:val="20"/>
          <w:color w:val="auto"/>
        </w:rPr>
      </w:pPr>
      <w:r>
        <w:rPr>
          <w:rFonts w:ascii="Calibri" w:cs="Calibri" w:eastAsia="Calibri" w:hAnsi="Calibri"/>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14916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5" w:lineRule="exact"/>
        <w:rPr>
          <w:sz w:val="20"/>
          <w:szCs w:val="20"/>
          <w:color w:val="auto"/>
        </w:rPr>
      </w:pPr>
    </w:p>
    <w:p>
      <w:pPr>
        <w:ind w:left="400"/>
        <w:spacing w:after="0"/>
        <w:tabs>
          <w:tab w:leader="none" w:pos="1640" w:val="left"/>
        </w:tabs>
        <w:rPr>
          <w:sz w:val="20"/>
          <w:szCs w:val="20"/>
          <w:color w:val="auto"/>
        </w:rPr>
      </w:pPr>
      <w:r>
        <w:rPr>
          <w:rFonts w:ascii="Calibri" w:cs="Calibri" w:eastAsia="Calibri" w:hAnsi="Calibri"/>
          <w:sz w:val="14"/>
          <w:szCs w:val="14"/>
          <w:b w:val="1"/>
          <w:bCs w:val="1"/>
          <w:color w:val="auto"/>
        </w:rPr>
        <w:t>2023</w:t>
      </w:r>
      <w:r>
        <w:rPr>
          <w:sz w:val="20"/>
          <w:szCs w:val="20"/>
          <w:color w:val="auto"/>
        </w:rPr>
        <w:tab/>
      </w:r>
      <w:r>
        <w:rPr>
          <w:rFonts w:ascii="Calibri" w:cs="Calibri" w:eastAsia="Calibri" w:hAnsi="Calibri"/>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14916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5" w:lineRule="exact"/>
        <w:rPr>
          <w:sz w:val="20"/>
          <w:szCs w:val="20"/>
          <w:color w:val="auto"/>
        </w:rPr>
      </w:pPr>
    </w:p>
    <w:p>
      <w:pPr>
        <w:ind w:left="820"/>
        <w:spacing w:after="0"/>
        <w:rPr>
          <w:sz w:val="20"/>
          <w:szCs w:val="20"/>
          <w:color w:val="auto"/>
        </w:rPr>
      </w:pPr>
      <w:r>
        <w:rPr>
          <w:rFonts w:ascii="Calibri" w:cs="Calibri" w:eastAsia="Calibri" w:hAnsi="Calibri"/>
          <w:sz w:val="14"/>
          <w:szCs w:val="14"/>
          <w:b w:val="1"/>
          <w:bCs w:val="1"/>
          <w:color w:val="auto"/>
        </w:rPr>
        <w:t>(In millions)</w:t>
      </w:r>
    </w:p>
    <w:p>
      <w:pPr>
        <w:spacing w:after="0" w:line="33" w:lineRule="exact"/>
        <w:rPr>
          <w:sz w:val="20"/>
          <w:szCs w:val="20"/>
          <w:color w:val="auto"/>
        </w:rPr>
      </w:pPr>
    </w:p>
    <w:p>
      <w:pPr>
        <w:sectPr>
          <w:pgSz w:w="11900" w:h="16838" w:orient="portrait"/>
          <w:cols w:equalWidth="0" w:num="2">
            <w:col w:w="6420" w:space="720"/>
            <w:col w:w="4100"/>
          </w:cols>
          <w:pgMar w:left="320" w:top="409" w:right="339" w:bottom="1440" w:gutter="0" w:footer="0" w:header="0"/>
          <w:type w:val="continuous"/>
        </w:sectPr>
      </w:pPr>
    </w:p>
    <w:tbl>
      <w:tblPr>
        <w:tblLayout w:type="fixed"/>
        <w:tblInd w:w="1700" w:type="dxa"/>
        <w:tblCellMar>
          <w:top w:w="0" w:type="dxa"/>
          <w:left w:w="0" w:type="dxa"/>
          <w:bottom w:w="0" w:type="dxa"/>
          <w:right w:w="0" w:type="dxa"/>
        </w:tblCellMar>
      </w:tblPr>
      <w:tr>
        <w:trPr>
          <w:trHeight w:val="243"/>
        </w:trPr>
        <w:tc>
          <w:tcPr>
            <w:tcW w:w="5440" w:type="dxa"/>
            <w:vAlign w:val="bottom"/>
            <w:shd w:val="clear" w:color="auto" w:fill="CFF0FC"/>
          </w:tcPr>
          <w:p>
            <w:pPr>
              <w:spacing w:after="0"/>
              <w:rPr>
                <w:sz w:val="20"/>
                <w:szCs w:val="20"/>
                <w:color w:val="auto"/>
              </w:rPr>
            </w:pPr>
            <w:r>
              <w:rPr>
                <w:rFonts w:ascii="Calibri" w:cs="Calibri" w:eastAsia="Calibri" w:hAnsi="Calibri"/>
                <w:sz w:val="18"/>
                <w:szCs w:val="18"/>
                <w:color w:val="auto"/>
              </w:rPr>
              <w:t>Employee beneft plan liabilites</w:t>
            </w:r>
          </w:p>
        </w:tc>
        <w:tc>
          <w:tcPr>
            <w:tcW w:w="440" w:type="dxa"/>
            <w:vAlign w:val="bottom"/>
            <w:shd w:val="clear" w:color="auto" w:fill="CFF0FC"/>
          </w:tcPr>
          <w:p>
            <w:pPr>
              <w:jc w:val="right"/>
              <w:ind w:right="250"/>
              <w:spacing w:after="0"/>
              <w:rPr>
                <w:sz w:val="20"/>
                <w:szCs w:val="20"/>
                <w:color w:val="auto"/>
              </w:rPr>
            </w:pPr>
            <w:r>
              <w:rPr>
                <w:rFonts w:ascii="Calibri" w:cs="Calibri" w:eastAsia="Calibri" w:hAnsi="Calibri"/>
                <w:sz w:val="18"/>
                <w:szCs w:val="18"/>
                <w:color w:val="auto"/>
                <w:w w:val="87"/>
              </w:rPr>
              <w:t>$</w:t>
            </w:r>
          </w:p>
        </w:tc>
        <w:tc>
          <w:tcPr>
            <w:tcW w:w="6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48</w:t>
            </w:r>
          </w:p>
        </w:tc>
        <w:tc>
          <w:tcPr>
            <w:tcW w:w="640" w:type="dxa"/>
            <w:vAlign w:val="bottom"/>
            <w:gridSpan w:val="2"/>
            <w:shd w:val="clear" w:color="auto" w:fill="CFF0FC"/>
          </w:tcPr>
          <w:p>
            <w:pPr>
              <w:jc w:val="right"/>
              <w:ind w:right="250"/>
              <w:spacing w:after="0"/>
              <w:rPr>
                <w:sz w:val="20"/>
                <w:szCs w:val="20"/>
                <w:color w:val="auto"/>
              </w:rPr>
            </w:pPr>
            <w:r>
              <w:rPr>
                <w:rFonts w:ascii="Calibri" w:cs="Calibri" w:eastAsia="Calibri" w:hAnsi="Calibri"/>
                <w:sz w:val="18"/>
                <w:szCs w:val="18"/>
                <w:color w:val="auto"/>
              </w:rPr>
              <w:t>$</w:t>
            </w:r>
          </w:p>
        </w:tc>
        <w:tc>
          <w:tcPr>
            <w:tcW w:w="6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51</w:t>
            </w:r>
          </w:p>
        </w:tc>
        <w:tc>
          <w:tcPr>
            <w:tcW w:w="80" w:type="dxa"/>
            <w:vAlign w:val="bottom"/>
            <w:shd w:val="clear" w:color="auto" w:fill="CFF0FC"/>
          </w:tcPr>
          <w:p>
            <w:pPr>
              <w:spacing w:after="0"/>
              <w:rPr>
                <w:sz w:val="21"/>
                <w:szCs w:val="21"/>
                <w:color w:val="auto"/>
              </w:rPr>
            </w:pPr>
          </w:p>
        </w:tc>
      </w:tr>
      <w:tr>
        <w:trPr>
          <w:trHeight w:val="215"/>
        </w:trPr>
        <w:tc>
          <w:tcPr>
            <w:tcW w:w="5440" w:type="dxa"/>
            <w:vAlign w:val="bottom"/>
          </w:tcPr>
          <w:p>
            <w:pPr>
              <w:spacing w:after="0" w:line="215" w:lineRule="exact"/>
              <w:rPr>
                <w:sz w:val="20"/>
                <w:szCs w:val="20"/>
                <w:color w:val="auto"/>
              </w:rPr>
            </w:pPr>
            <w:r>
              <w:rPr>
                <w:rFonts w:ascii="Calibri" w:cs="Calibri" w:eastAsia="Calibri" w:hAnsi="Calibri"/>
                <w:sz w:val="18"/>
                <w:szCs w:val="18"/>
                <w:color w:val="auto"/>
              </w:rPr>
              <w:t>Operatng lease liabilites</w:t>
            </w:r>
          </w:p>
        </w:tc>
        <w:tc>
          <w:tcPr>
            <w:tcW w:w="44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84</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83</w:t>
            </w:r>
          </w:p>
        </w:tc>
        <w:tc>
          <w:tcPr>
            <w:tcW w:w="80" w:type="dxa"/>
            <w:vAlign w:val="bottom"/>
          </w:tcPr>
          <w:p>
            <w:pPr>
              <w:spacing w:after="0"/>
              <w:rPr>
                <w:sz w:val="18"/>
                <w:szCs w:val="18"/>
                <w:color w:val="auto"/>
              </w:rPr>
            </w:pPr>
          </w:p>
        </w:tc>
      </w:tr>
      <w:tr>
        <w:trPr>
          <w:trHeight w:val="28"/>
        </w:trPr>
        <w:tc>
          <w:tcPr>
            <w:tcW w:w="5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54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Other accrued liabilites</w:t>
            </w:r>
          </w:p>
        </w:tc>
        <w:tc>
          <w:tcPr>
            <w:tcW w:w="4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99</w:t>
            </w: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440" w:type="dxa"/>
            <w:vAlign w:val="bottom"/>
            <w:tcBorders>
              <w:top w:val="single" w:sz="8" w:color="CFF0FC"/>
            </w:tcBorders>
          </w:tcPr>
          <w:p>
            <w:pPr>
              <w:ind w:left="180"/>
              <w:spacing w:after="0"/>
              <w:rPr>
                <w:sz w:val="20"/>
                <w:szCs w:val="20"/>
                <w:color w:val="auto"/>
              </w:rPr>
            </w:pPr>
            <w:r>
              <w:rPr>
                <w:rFonts w:ascii="Calibri" w:cs="Calibri" w:eastAsia="Calibri" w:hAnsi="Calibri"/>
                <w:sz w:val="18"/>
                <w:szCs w:val="18"/>
                <w:color w:val="auto"/>
              </w:rPr>
              <w:t>Total</w:t>
            </w:r>
          </w:p>
        </w:tc>
        <w:tc>
          <w:tcPr>
            <w:tcW w:w="440" w:type="dxa"/>
            <w:vAlign w:val="bottom"/>
            <w:tcBorders>
              <w:top w:val="single" w:sz="8" w:color="auto"/>
              <w:bottom w:val="single" w:sz="8" w:color="auto"/>
            </w:tcBorders>
          </w:tcPr>
          <w:p>
            <w:pPr>
              <w:jc w:val="right"/>
              <w:ind w:right="250"/>
              <w:spacing w:after="0" w:line="215" w:lineRule="exact"/>
              <w:rPr>
                <w:sz w:val="20"/>
                <w:szCs w:val="20"/>
                <w:color w:val="auto"/>
              </w:rPr>
            </w:pPr>
            <w:r>
              <w:rPr>
                <w:rFonts w:ascii="Calibri" w:cs="Calibri" w:eastAsia="Calibri" w:hAnsi="Calibri"/>
                <w:sz w:val="18"/>
                <w:szCs w:val="18"/>
                <w:color w:val="auto"/>
                <w:w w:val="87"/>
              </w:rPr>
              <w:t>$</w:t>
            </w:r>
          </w:p>
        </w:tc>
        <w:tc>
          <w:tcPr>
            <w:tcW w:w="6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231</w:t>
            </w:r>
          </w:p>
        </w:tc>
        <w:tc>
          <w:tcPr>
            <w:tcW w:w="20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234</w:t>
            </w:r>
          </w:p>
        </w:tc>
        <w:tc>
          <w:tcPr>
            <w:tcW w:w="80" w:type="dxa"/>
            <w:vAlign w:val="bottom"/>
            <w:tcBorders>
              <w:top w:val="single" w:sz="8" w:color="CFF0FC"/>
            </w:tcBorders>
          </w:tcPr>
          <w:p>
            <w:pPr>
              <w:spacing w:after="0"/>
              <w:rPr>
                <w:sz w:val="20"/>
                <w:szCs w:val="20"/>
                <w:color w:val="auto"/>
              </w:rPr>
            </w:pPr>
          </w:p>
        </w:tc>
      </w:tr>
      <w:tr>
        <w:trPr>
          <w:trHeight w:val="20"/>
        </w:trPr>
        <w:tc>
          <w:tcPr>
            <w:tcW w:w="5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-187960</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I. Debt and Other Obligatons</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Short-term Borrowings</w:t>
      </w:r>
    </w:p>
    <w:p>
      <w:pPr>
        <w:spacing w:after="0" w:line="9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b w:val="1"/>
          <w:bCs w:val="1"/>
          <w:i w:val="1"/>
          <w:iCs w:val="1"/>
          <w:color w:val="auto"/>
        </w:rPr>
        <w:t>Commercial Paper</w:t>
      </w:r>
      <w:r>
        <w:rPr>
          <w:rFonts w:ascii="Calibri" w:cs="Calibri" w:eastAsia="Calibri" w:hAnsi="Calibri"/>
          <w:sz w:val="18"/>
          <w:szCs w:val="18"/>
          <w:color w:val="auto"/>
        </w:rPr>
        <w:t>— The Company has a commercial paper program and the maximum aggregate balance of commercial paper notes outstanding and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 amounts borrowed under the revolving credit facility may not exceed the borrowing capacity of $1 billion under the revolving credit facility. The proceeds from the issuance of the commercial paper have been used for general corporate purposes, which may include working capital, refnancing existng indebtedness, capital expenditures, share repurchases, and acquisitons. The revolving credit facility is available to repay the outstanding commercial paper, if necessary.</w:t>
      </w:r>
    </w:p>
    <w:p>
      <w:pPr>
        <w:spacing w:after="0" w:line="85"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There was an outstanding balance of commercial paper of $172 million as of September 30, 2023 with a weighted average interest rate of 5.44% and an outstanding balance of $322 million as of September 30, 2022 with a weighted average interest rate of 3.35%.</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Long-term Obligatons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Company’s long-term obligatons, the fscal year in which they mature and their respectve interest rates are summarized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ind w:left="520"/>
              <w:spacing w:after="0"/>
              <w:rPr>
                <w:sz w:val="20"/>
                <w:szCs w:val="20"/>
                <w:color w:val="auto"/>
              </w:rPr>
            </w:pPr>
            <w:r>
              <w:rPr>
                <w:rFonts w:ascii="Calibri" w:cs="Calibri" w:eastAsia="Calibri" w:hAnsi="Calibri"/>
                <w:sz w:val="14"/>
                <w:szCs w:val="14"/>
                <w:b w:val="1"/>
                <w:bCs w:val="1"/>
                <w:color w:val="auto"/>
              </w:rPr>
              <w:t>September 30</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3"/>
              <w:spacing w:after="0" w:line="164" w:lineRule="exact"/>
              <w:rPr>
                <w:sz w:val="20"/>
                <w:szCs w:val="20"/>
                <w:color w:val="auto"/>
              </w:rPr>
            </w:pPr>
            <w:r>
              <w:rPr>
                <w:rFonts w:ascii="Calibri" w:cs="Calibri" w:eastAsia="Calibri" w:hAnsi="Calibri"/>
                <w:sz w:val="14"/>
                <w:szCs w:val="14"/>
                <w:b w:val="1"/>
                <w:bCs w:val="1"/>
                <w:color w:val="auto"/>
              </w:rPr>
              <w:t>2023</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291"/>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13"/>
              <w:spacing w:after="0" w:line="164" w:lineRule="exact"/>
              <w:rPr>
                <w:sz w:val="20"/>
                <w:szCs w:val="20"/>
                <w:color w:val="auto"/>
              </w:rPr>
            </w:pPr>
            <w:r>
              <w:rPr>
                <w:rFonts w:ascii="Calibri" w:cs="Calibri" w:eastAsia="Calibri" w:hAnsi="Calibri"/>
                <w:sz w:val="14"/>
                <w:szCs w:val="14"/>
                <w:b w:val="1"/>
                <w:bCs w:val="1"/>
                <w:color w:val="auto"/>
              </w:rPr>
              <w:t>(In</w:t>
            </w:r>
          </w:p>
        </w:tc>
        <w:tc>
          <w:tcPr>
            <w:tcW w:w="540" w:type="dxa"/>
            <w:vAlign w:val="bottom"/>
            <w:gridSpan w:val="2"/>
          </w:tcPr>
          <w:p>
            <w:pPr>
              <w:jc w:val="center"/>
              <w:ind w:right="10"/>
              <w:spacing w:after="0" w:line="164" w:lineRule="exact"/>
              <w:rPr>
                <w:sz w:val="20"/>
                <w:szCs w:val="20"/>
                <w:color w:val="auto"/>
              </w:rPr>
            </w:pPr>
            <w:r>
              <w:rPr>
                <w:rFonts w:ascii="Calibri" w:cs="Calibri" w:eastAsia="Calibri" w:hAnsi="Calibri"/>
                <w:sz w:val="14"/>
                <w:szCs w:val="14"/>
                <w:b w:val="1"/>
                <w:bCs w:val="1"/>
                <w:color w:val="auto"/>
                <w:w w:val="87"/>
              </w:rPr>
              <w:t>millions)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Variable Rate Debt:</w:t>
            </w:r>
          </w:p>
        </w:tc>
        <w:tc>
          <w:tcPr>
            <w:tcW w:w="2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440" w:type="dxa"/>
            <w:vAlign w:val="bottom"/>
          </w:tcPr>
          <w:p>
            <w:pPr>
              <w:ind w:left="180"/>
              <w:spacing w:after="0" w:line="215" w:lineRule="exact"/>
              <w:rPr>
                <w:sz w:val="20"/>
                <w:szCs w:val="20"/>
                <w:color w:val="auto"/>
              </w:rPr>
            </w:pPr>
            <w:r>
              <w:rPr>
                <w:rFonts w:ascii="Calibri" w:cs="Calibri" w:eastAsia="Calibri" w:hAnsi="Calibri"/>
                <w:sz w:val="18"/>
                <w:szCs w:val="18"/>
                <w:color w:val="auto"/>
              </w:rPr>
              <w:t>Revolving Credit Facility, expires fscal 2027</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jc w:val="center"/>
              <w:ind w:right="15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700" w:type="dxa"/>
            <w:vAlign w:val="bottom"/>
          </w:tcPr>
          <w:p>
            <w:pPr>
              <w:spacing w:after="0"/>
              <w:rPr>
                <w:sz w:val="21"/>
                <w:szCs w:val="21"/>
                <w:color w:val="auto"/>
              </w:rPr>
            </w:pPr>
          </w:p>
        </w:tc>
        <w:tc>
          <w:tcPr>
            <w:tcW w:w="5440" w:type="dxa"/>
            <w:vAlign w:val="bottom"/>
            <w:tcBorders>
              <w:bottom w:val="single" w:sz="8" w:color="CFF0FC"/>
            </w:tcBorders>
            <w:shd w:val="clear" w:color="auto" w:fill="CFF0FC"/>
          </w:tcPr>
          <w:p>
            <w:pPr>
              <w:ind w:left="180"/>
              <w:spacing w:after="0"/>
              <w:rPr>
                <w:sz w:val="20"/>
                <w:szCs w:val="20"/>
                <w:color w:val="auto"/>
              </w:rPr>
            </w:pPr>
            <w:r>
              <w:rPr>
                <w:rFonts w:ascii="Calibri" w:cs="Calibri" w:eastAsia="Calibri" w:hAnsi="Calibri"/>
                <w:sz w:val="18"/>
                <w:szCs w:val="18"/>
                <w:color w:val="auto"/>
              </w:rPr>
              <w:t>Revolving Credit Facility - Euro, expires fscal 2027</w:t>
            </w: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120</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114</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700" w:type="dxa"/>
            <w:vAlign w:val="bottom"/>
          </w:tcPr>
          <w:p>
            <w:pPr>
              <w:spacing w:after="0"/>
              <w:rPr>
                <w:sz w:val="18"/>
                <w:szCs w:val="18"/>
                <w:color w:val="auto"/>
              </w:rPr>
            </w:pPr>
          </w:p>
        </w:tc>
        <w:tc>
          <w:tcPr>
            <w:tcW w:w="5440" w:type="dxa"/>
            <w:vAlign w:val="bottom"/>
            <w:tcBorders>
              <w:top w:val="single" w:sz="8" w:color="CFF0FC"/>
            </w:tcBorders>
          </w:tcPr>
          <w:p>
            <w:pPr>
              <w:ind w:left="360"/>
              <w:spacing w:after="0" w:line="213" w:lineRule="exact"/>
              <w:rPr>
                <w:sz w:val="20"/>
                <w:szCs w:val="20"/>
                <w:color w:val="auto"/>
              </w:rPr>
            </w:pPr>
            <w:r>
              <w:rPr>
                <w:rFonts w:ascii="Calibri" w:cs="Calibri" w:eastAsia="Calibri" w:hAnsi="Calibri"/>
                <w:sz w:val="18"/>
                <w:szCs w:val="18"/>
                <w:color w:val="auto"/>
              </w:rPr>
              <w:t>Total variable rate debt</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120</w:t>
            </w:r>
          </w:p>
        </w:tc>
        <w:tc>
          <w:tcPr>
            <w:tcW w:w="1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114</w:t>
            </w:r>
          </w:p>
        </w:tc>
        <w:tc>
          <w:tcPr>
            <w:tcW w:w="80" w:type="dxa"/>
            <w:vAlign w:val="bottom"/>
            <w:tcBorders>
              <w:top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4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Fixed Rate Debt:</w:t>
            </w:r>
          </w:p>
        </w:tc>
        <w:tc>
          <w:tcPr>
            <w:tcW w:w="2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440" w:type="dxa"/>
            <w:vAlign w:val="bottom"/>
          </w:tcPr>
          <w:p>
            <w:pPr>
              <w:ind w:left="180"/>
              <w:spacing w:after="0" w:line="215" w:lineRule="exact"/>
              <w:rPr>
                <w:sz w:val="20"/>
                <w:szCs w:val="20"/>
                <w:color w:val="auto"/>
              </w:rPr>
            </w:pPr>
            <w:r>
              <w:rPr>
                <w:rFonts w:ascii="Calibri" w:cs="Calibri" w:eastAsia="Calibri" w:hAnsi="Calibri"/>
                <w:sz w:val="18"/>
                <w:szCs w:val="18"/>
                <w:color w:val="auto"/>
              </w:rPr>
              <w:t>3.4% Notes due fscal 2026</w:t>
            </w:r>
          </w:p>
        </w:tc>
        <w:tc>
          <w:tcPr>
            <w:tcW w:w="24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250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250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4.0% Notes due fscal 2029</w:t>
            </w:r>
          </w:p>
        </w:tc>
        <w:tc>
          <w:tcPr>
            <w:tcW w:w="2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300</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300</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440" w:type="dxa"/>
            <w:vAlign w:val="bottom"/>
          </w:tcPr>
          <w:p>
            <w:pPr>
              <w:ind w:left="180"/>
              <w:spacing w:after="0" w:line="215" w:lineRule="exact"/>
              <w:rPr>
                <w:sz w:val="20"/>
                <w:szCs w:val="20"/>
                <w:color w:val="auto"/>
              </w:rPr>
            </w:pPr>
            <w:r>
              <w:rPr>
                <w:rFonts w:ascii="Calibri" w:cs="Calibri" w:eastAsia="Calibri" w:hAnsi="Calibri"/>
                <w:sz w:val="18"/>
                <w:szCs w:val="18"/>
                <w:color w:val="auto"/>
              </w:rPr>
              <w:t>5.0% Notes due fscal 2032</w:t>
            </w:r>
          </w:p>
        </w:tc>
        <w:tc>
          <w:tcPr>
            <w:tcW w:w="24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400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400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Medium-Term Notes due fscal 2028, 6.57% — 7.28%</w:t>
            </w:r>
          </w:p>
        </w:tc>
        <w:tc>
          <w:tcPr>
            <w:tcW w:w="2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5440" w:type="dxa"/>
            <w:vAlign w:val="bottom"/>
          </w:tcPr>
          <w:p>
            <w:pPr>
              <w:ind w:left="180"/>
              <w:spacing w:after="0"/>
              <w:rPr>
                <w:sz w:val="20"/>
                <w:szCs w:val="20"/>
                <w:color w:val="auto"/>
              </w:rPr>
            </w:pPr>
            <w:r>
              <w:rPr>
                <w:rFonts w:ascii="Calibri" w:cs="Calibri" w:eastAsia="Calibri" w:hAnsi="Calibri"/>
                <w:sz w:val="18"/>
                <w:szCs w:val="18"/>
                <w:color w:val="auto"/>
              </w:rPr>
              <w:t>Chinese Renminbi Debt, due fscal 2024, 4.3%</w:t>
            </w:r>
          </w:p>
        </w:tc>
        <w:tc>
          <w:tcPr>
            <w:tcW w:w="24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5440" w:type="dxa"/>
            <w:vAlign w:val="bottom"/>
            <w:tcBorders>
              <w:bottom w:val="single" w:sz="8" w:color="CFF0FC"/>
            </w:tcBorders>
            <w:shd w:val="clear" w:color="auto" w:fill="CFF0FC"/>
          </w:tcPr>
          <w:p>
            <w:pPr>
              <w:ind w:left="540"/>
              <w:spacing w:after="0" w:line="208" w:lineRule="exact"/>
              <w:rPr>
                <w:sz w:val="20"/>
                <w:szCs w:val="20"/>
                <w:color w:val="auto"/>
              </w:rPr>
            </w:pPr>
            <w:r>
              <w:rPr>
                <w:rFonts w:ascii="Calibri" w:cs="Calibri" w:eastAsia="Calibri" w:hAnsi="Calibri"/>
                <w:sz w:val="18"/>
                <w:szCs w:val="18"/>
                <w:color w:val="auto"/>
              </w:rPr>
              <w:t>Total fxed rate debt</w:t>
            </w:r>
          </w:p>
        </w:tc>
        <w:tc>
          <w:tcPr>
            <w:tcW w:w="2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962</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962</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440" w:type="dxa"/>
            <w:vAlign w:val="bottom"/>
          </w:tcPr>
          <w:p>
            <w:pPr>
              <w:spacing w:after="0" w:line="215" w:lineRule="exact"/>
              <w:rPr>
                <w:sz w:val="20"/>
                <w:szCs w:val="20"/>
                <w:color w:val="auto"/>
              </w:rPr>
            </w:pPr>
            <w:r>
              <w:rPr>
                <w:rFonts w:ascii="Calibri" w:cs="Calibri" w:eastAsia="Calibri" w:hAnsi="Calibri"/>
                <w:sz w:val="18"/>
                <w:szCs w:val="18"/>
                <w:color w:val="auto"/>
              </w:rPr>
              <w:t>Finance lease obligatons (Note R)</w:t>
            </w:r>
          </w:p>
        </w:tc>
        <w:tc>
          <w:tcPr>
            <w:tcW w:w="24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700" w:type="dxa"/>
            <w:vAlign w:val="bottom"/>
          </w:tcPr>
          <w:p>
            <w:pPr>
              <w:spacing w:after="0"/>
              <w:rPr>
                <w:sz w:val="21"/>
                <w:szCs w:val="21"/>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Unamortzed debt issuance costs and debt discount</w:t>
            </w:r>
          </w:p>
        </w:tc>
        <w:tc>
          <w:tcPr>
            <w:tcW w:w="2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gridSpan w:val="2"/>
            <w:shd w:val="clear" w:color="auto" w:fill="CFF0FC"/>
          </w:tcPr>
          <w:p>
            <w:pPr>
              <w:jc w:val="right"/>
              <w:ind w:right="48"/>
              <w:spacing w:after="0" w:line="215" w:lineRule="exact"/>
              <w:rPr>
                <w:sz w:val="20"/>
                <w:szCs w:val="20"/>
                <w:color w:val="auto"/>
              </w:rPr>
            </w:pPr>
            <w:r>
              <w:rPr>
                <w:rFonts w:ascii="Calibri" w:cs="Calibri" w:eastAsia="Calibri" w:hAnsi="Calibri"/>
                <w:sz w:val="18"/>
                <w:szCs w:val="18"/>
                <w:color w:val="auto"/>
              </w:rPr>
              <w:t>(8 )</w:t>
            </w:r>
          </w:p>
        </w:tc>
        <w:tc>
          <w:tcPr>
            <w:tcW w:w="3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(9 )</w:t>
            </w: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5440" w:type="dxa"/>
            <w:vAlign w:val="bottom"/>
            <w:tcBorders>
              <w:top w:val="single" w:sz="8" w:color="CFF0FC"/>
            </w:tcBorders>
          </w:tcPr>
          <w:p>
            <w:pPr>
              <w:ind w:left="540"/>
              <w:spacing w:after="0" w:line="208" w:lineRule="exact"/>
              <w:rPr>
                <w:sz w:val="20"/>
                <w:szCs w:val="20"/>
                <w:color w:val="auto"/>
              </w:rPr>
            </w:pPr>
            <w:r>
              <w:rPr>
                <w:rFonts w:ascii="Calibri" w:cs="Calibri" w:eastAsia="Calibri" w:hAnsi="Calibri"/>
                <w:sz w:val="18"/>
                <w:szCs w:val="18"/>
                <w:color w:val="auto"/>
              </w:rPr>
              <w:t>Total debt</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1,102</w:t>
            </w:r>
          </w:p>
        </w:tc>
        <w:tc>
          <w:tcPr>
            <w:tcW w:w="1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1,096</w:t>
            </w:r>
          </w:p>
        </w:tc>
        <w:tc>
          <w:tcPr>
            <w:tcW w:w="80" w:type="dxa"/>
            <w:vAlign w:val="bottom"/>
            <w:tcBorders>
              <w:top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700" w:type="dxa"/>
            <w:vAlign w:val="bottom"/>
          </w:tcPr>
          <w:p>
            <w:pPr>
              <w:spacing w:after="0"/>
              <w:rPr>
                <w:sz w:val="21"/>
                <w:szCs w:val="21"/>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Less current porton of long-term debt</w:t>
            </w:r>
          </w:p>
        </w:tc>
        <w:tc>
          <w:tcPr>
            <w:tcW w:w="2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gridSpan w:val="2"/>
            <w:shd w:val="clear" w:color="auto" w:fill="CFF0FC"/>
          </w:tcPr>
          <w:p>
            <w:pPr>
              <w:jc w:val="right"/>
              <w:ind w:right="48"/>
              <w:spacing w:after="0" w:line="215" w:lineRule="exact"/>
              <w:rPr>
                <w:sz w:val="20"/>
                <w:szCs w:val="20"/>
                <w:color w:val="auto"/>
              </w:rPr>
            </w:pPr>
            <w:r>
              <w:rPr>
                <w:rFonts w:ascii="Calibri" w:cs="Calibri" w:eastAsia="Calibri" w:hAnsi="Calibri"/>
                <w:sz w:val="18"/>
                <w:szCs w:val="18"/>
                <w:color w:val="auto"/>
              </w:rPr>
              <w:t>(8 )</w:t>
            </w:r>
          </w:p>
        </w:tc>
        <w:tc>
          <w:tcPr>
            <w:tcW w:w="3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(7 )</w:t>
            </w: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5440" w:type="dxa"/>
            <w:vAlign w:val="bottom"/>
            <w:tcBorders>
              <w:top w:val="single" w:sz="8" w:color="CFF0FC"/>
            </w:tcBorders>
          </w:tcPr>
          <w:p>
            <w:pPr>
              <w:ind w:left="540"/>
              <w:spacing w:after="0"/>
              <w:rPr>
                <w:sz w:val="20"/>
                <w:szCs w:val="20"/>
                <w:color w:val="auto"/>
              </w:rPr>
            </w:pPr>
            <w:r>
              <w:rPr>
                <w:rFonts w:ascii="Calibri" w:cs="Calibri" w:eastAsia="Calibri" w:hAnsi="Calibri"/>
                <w:sz w:val="18"/>
                <w:szCs w:val="18"/>
                <w:color w:val="auto"/>
              </w:rPr>
              <w:t>Total long-term debt</w:t>
            </w:r>
          </w:p>
        </w:tc>
        <w:tc>
          <w:tcPr>
            <w:tcW w:w="24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1,094</w:t>
            </w:r>
          </w:p>
        </w:tc>
        <w:tc>
          <w:tcPr>
            <w:tcW w:w="1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center"/>
              <w:ind w:right="150"/>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1,089</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440" w:type="dxa"/>
            <w:vAlign w:val="bottom"/>
            <w:vMerge w:val="restart"/>
          </w:tcPr>
          <w:p>
            <w:pPr>
              <w:ind w:left="3840"/>
              <w:spacing w:after="0"/>
              <w:rPr>
                <w:sz w:val="20"/>
                <w:szCs w:val="20"/>
                <w:color w:val="auto"/>
              </w:rPr>
            </w:pPr>
            <w:r>
              <w:rPr>
                <w:rFonts w:ascii="Calibri" w:cs="Calibri" w:eastAsia="Calibri" w:hAnsi="Calibri"/>
                <w:sz w:val="18"/>
                <w:szCs w:val="18"/>
                <w:color w:val="auto"/>
              </w:rPr>
              <w:t>53</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170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70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-2613660</wp:posOffset>
            </wp:positionV>
            <wp:extent cx="51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-2613660</wp:posOffset>
            </wp:positionV>
            <wp:extent cx="431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-1045210</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-1045210</wp:posOffset>
            </wp:positionV>
            <wp:extent cx="431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-728345</wp:posOffset>
            </wp:positionV>
            <wp:extent cx="514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-728345</wp:posOffset>
            </wp:positionV>
            <wp:extent cx="431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type w:val="continuous"/>
        </w:sectPr>
      </w:pPr>
    </w:p>
    <w:bookmarkStart w:id="53" w:name="page54"/>
    <w:bookmarkEnd w:id="53"/>
    <w:p>
      <w:pPr>
        <w:ind w:right="60" w:firstLine="509"/>
        <w:spacing w:after="0" w:line="254" w:lineRule="auto"/>
        <w:rPr>
          <w:sz w:val="20"/>
          <w:szCs w:val="20"/>
          <w:color w:val="auto"/>
        </w:rPr>
      </w:pPr>
      <w:r>
        <w:rPr>
          <w:rFonts w:ascii="Calibri" w:cs="Calibri" w:eastAsia="Calibri" w:hAnsi="Calibri"/>
          <w:sz w:val="17"/>
          <w:szCs w:val="17"/>
          <w:b w:val="1"/>
          <w:bCs w:val="1"/>
          <w:i w:val="1"/>
          <w:iCs w:val="1"/>
          <w:color w:val="auto"/>
        </w:rPr>
        <w:t>Revolving Credit Facility, expiring fscal 2027</w:t>
      </w:r>
      <w:r>
        <w:rPr>
          <w:rFonts w:ascii="Calibri" w:cs="Calibri" w:eastAsia="Calibri" w:hAnsi="Calibri"/>
          <w:sz w:val="17"/>
          <w:szCs w:val="17"/>
          <w:color w:val="auto"/>
        </w:rPr>
        <w:t>—In August 2021, the Company entered into a revolving credit agreement (the “U.S. Credit Agreement”)</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with a loan commitment not to exceed $1 billion. The U.S. Credit Agreement supports the Company’s issuance of commercial paper, and borrowings may be used for working capital, leters of credit and other general corporate purposes. Outstanding commercial paper balances reduce the amount available for borrowing under the U.S. Credit Agreement, which was $828 million as of September 30, 2023. The U.S. Credit Agreement, which matures in August 2027, contains afrmatve and negatve covenants, the fnancial debt covenant described below, and annual sustainability performance targets related to the Company’s reducton in its nitrogen oxide and sulfur dioxide emissions intensity, the achievement of which may adjust pricing under the U.S. Credit Agreement. The borrowing rate is currently based on an adjusted daily risk-free borrowing rate, plus a Cabot-specifc spread based on the Company’s credit ratng and achievement on the annual sustainability performance targets. As a result of meetng the annual sustainability performance targets, the commitment fee and borrowing rate will be reduced by 0.01% and 0.05%, respectvely, efectve from August 2023 through August 2024.</w:t>
      </w:r>
    </w:p>
    <w:p>
      <w:pPr>
        <w:spacing w:after="0" w:line="75"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b w:val="1"/>
          <w:bCs w:val="1"/>
          <w:i w:val="1"/>
          <w:iCs w:val="1"/>
          <w:color w:val="auto"/>
        </w:rPr>
        <w:t>Revolving Credit Facility-Euro, expiring fscal 2027</w:t>
      </w:r>
      <w:r>
        <w:rPr>
          <w:rFonts w:ascii="Calibri" w:cs="Calibri" w:eastAsia="Calibri" w:hAnsi="Calibri"/>
          <w:sz w:val="17"/>
          <w:szCs w:val="17"/>
          <w:color w:val="auto"/>
        </w:rPr>
        <w:t>—In May 2023, several subsidiaries entered into a revolving credit agreement (the “Euro Credit</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Agreement”, and together with the U.S. Credit Agreement, the "Credit Agreements") with a loan commitment not to exceed 300 million Euros. The amount available for borrowing under this revolving credit agreement was $197 million as of September 30, 2023, and the weighted average interest rate on the outstanding balance during the year was 4.82%. The borrowing rate is based on an adjusted daily risk-free borrowing rate, plus a Cabot-specifc spread based on the Company’s credit ratng. The revolving credit agreement, which matures in August 2027, may be used for repatriaton of earnings of Cabot’s foreign subsidiaries to the U.S., the repayment of indebtedness of the Company’s foreign subsidiaries owing to the Company or any of its subsidiaries, and for working capital and general corporate purposes. The obligatons of the subsidiaries under the revolving credit agreement are guaranteed by the Company. The Company paid debt issuance costs of $1 million upon entering the agreement, which are being amortzed over the life of the revolver.</w:t>
      </w:r>
    </w:p>
    <w:p>
      <w:pPr>
        <w:spacing w:after="0" w:line="73"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b w:val="1"/>
          <w:bCs w:val="1"/>
          <w:i w:val="1"/>
          <w:iCs w:val="1"/>
          <w:color w:val="auto"/>
        </w:rPr>
        <w:t>Debt Covenants</w:t>
      </w:r>
      <w:r>
        <w:rPr>
          <w:rFonts w:ascii="Calibri" w:cs="Calibri" w:eastAsia="Calibri" w:hAnsi="Calibri"/>
          <w:sz w:val="18"/>
          <w:szCs w:val="18"/>
          <w:color w:val="auto"/>
        </w:rPr>
        <w:t>—As of September 30, 2023, Cabot was in compliance with the fnancial debt covenants under the Credit Agreements, which, with</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limited exceptons, require us to comply on a quarterly basis with a leverage test requiring the rato of consolidated net debt to consolidated EBITDA not to exceed 3.50 to 1.00. Consolidated net debt is defned as consolidated debt ofset by the lessor of (i) unrestricted cash and cash equivalents and (ii) $150 million.</w:t>
      </w:r>
    </w:p>
    <w:p>
      <w:pPr>
        <w:spacing w:after="0" w:line="84" w:lineRule="exact"/>
        <w:rPr>
          <w:sz w:val="20"/>
          <w:szCs w:val="20"/>
          <w:color w:val="auto"/>
        </w:rPr>
      </w:pPr>
    </w:p>
    <w:p>
      <w:pPr>
        <w:ind w:right="820" w:firstLine="509"/>
        <w:spacing w:after="0" w:line="235" w:lineRule="auto"/>
        <w:rPr>
          <w:sz w:val="20"/>
          <w:szCs w:val="20"/>
          <w:color w:val="auto"/>
        </w:rPr>
      </w:pPr>
      <w:r>
        <w:rPr>
          <w:rFonts w:ascii="Calibri" w:cs="Calibri" w:eastAsia="Calibri" w:hAnsi="Calibri"/>
          <w:sz w:val="18"/>
          <w:szCs w:val="18"/>
          <w:b w:val="1"/>
          <w:bCs w:val="1"/>
          <w:i w:val="1"/>
          <w:iCs w:val="1"/>
          <w:color w:val="auto"/>
        </w:rPr>
        <w:t>Chinese Renminbi Debt</w:t>
      </w:r>
      <w:r>
        <w:rPr>
          <w:rFonts w:ascii="Calibri" w:cs="Calibri" w:eastAsia="Calibri" w:hAnsi="Calibri"/>
          <w:sz w:val="18"/>
          <w:szCs w:val="18"/>
          <w:color w:val="auto"/>
        </w:rPr>
        <w:t>—The Company’s consolidated Chinese subsidiaries had $4 million of unsecured long-term debt outstanding with a</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noncontrolling shareholder of a consolidated subsidiary as of both September 30, 2023 and 2022.</w:t>
      </w:r>
    </w:p>
    <w:p>
      <w:pPr>
        <w:spacing w:after="0" w:line="83"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b w:val="1"/>
          <w:bCs w:val="1"/>
          <w:color w:val="auto"/>
        </w:rPr>
        <w:t>3.4% Notes due fscal 2026</w:t>
      </w:r>
      <w:r>
        <w:rPr>
          <w:rFonts w:ascii="Calibri" w:cs="Calibri" w:eastAsia="Calibri" w:hAnsi="Calibri"/>
          <w:sz w:val="18"/>
          <w:szCs w:val="18"/>
          <w:color w:val="auto"/>
        </w:rPr>
        <w:t>—In September 2016, Cabot issued $250 million in registered notes with a coupon of 3.4% that mature on September 15,</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2026. These notes are unsecured and pay interest on March 15 and September 15. The net proceeds of this ofering were $248 million afer deductng discounts and issuance costs. The discount of less than $1 million was recorded at issuance and is being amortzed over the life of the notes.</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b w:val="1"/>
          <w:bCs w:val="1"/>
          <w:color w:val="auto"/>
        </w:rPr>
        <w:t>4.0% Notes due fscal 2029</w:t>
      </w:r>
      <w:r>
        <w:rPr>
          <w:rFonts w:ascii="Calibri" w:cs="Calibri" w:eastAsia="Calibri" w:hAnsi="Calibri"/>
          <w:sz w:val="18"/>
          <w:szCs w:val="18"/>
          <w:color w:val="auto"/>
        </w:rPr>
        <w:t>—In June 2019, Cabot issued $300 million in registered, unsecured, notes with a coupon of 4.0% that mature on July 1,</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2029. Interest is payable under the notes semi-annually on January 1 and July 1. The net proceeds of this ofering were $296 million afer deductng discounts and issuance costs of $1 million and $3 million, respectvely, which were paid at issuance and are being amortzed over the life of the notes.</w:t>
      </w:r>
    </w:p>
    <w:p>
      <w:pPr>
        <w:spacing w:after="0" w:line="84"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b w:val="1"/>
          <w:bCs w:val="1"/>
          <w:color w:val="auto"/>
        </w:rPr>
        <w:t>5.0% Notes due fscal 2032</w:t>
      </w:r>
      <w:r>
        <w:rPr>
          <w:rFonts w:ascii="Calibri" w:cs="Calibri" w:eastAsia="Calibri" w:hAnsi="Calibri"/>
          <w:sz w:val="18"/>
          <w:szCs w:val="18"/>
          <w:color w:val="auto"/>
        </w:rPr>
        <w:t>—In June 2022, Cabot issued $400 million in unsecured notes with a coupon of 5% that mature on June 30, 2032. Interest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is payable semi-annually on June 30 and December 30. The net proceeds of this ofering were $394 million afer deductng discounts and issuance costs, each of which were $3 million, which were paid at issuance and are being amortzed over the life of the notes.</w:t>
      </w:r>
    </w:p>
    <w:p>
      <w:pPr>
        <w:spacing w:after="0" w:line="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b w:val="1"/>
          <w:bCs w:val="1"/>
          <w:i w:val="1"/>
          <w:iCs w:val="1"/>
          <w:color w:val="auto"/>
        </w:rPr>
        <w:t>Medium-Term Notes</w:t>
      </w:r>
      <w:r>
        <w:rPr>
          <w:rFonts w:ascii="Calibri" w:cs="Calibri" w:eastAsia="Calibri" w:hAnsi="Calibri"/>
          <w:sz w:val="18"/>
          <w:szCs w:val="18"/>
          <w:color w:val="auto"/>
        </w:rPr>
        <w:t>—At both September 30, 2023 and 2022, there were $8 million of unsecured medium-term notes outstanding issued to</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numerous lenders with various fxed interest rates and maturity dates. The weighted average maturity of the total outstanding medium-term notes is 4 years with a weighted average interest rate of 7.24%.</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b w:val="1"/>
          <w:bCs w:val="1"/>
          <w:i w:val="1"/>
          <w:iCs w:val="1"/>
          <w:color w:val="auto"/>
        </w:rPr>
        <w:t>Finance Lease obligatons</w:t>
      </w:r>
      <w:r>
        <w:rPr>
          <w:rFonts w:ascii="Calibri" w:cs="Calibri" w:eastAsia="Calibri" w:hAnsi="Calibri"/>
          <w:sz w:val="18"/>
          <w:szCs w:val="18"/>
          <w:color w:val="auto"/>
        </w:rPr>
        <w:t>—See Note R for a discussion of the Company’s leases.</w:t>
      </w:r>
    </w:p>
    <w:p>
      <w:pPr>
        <w:spacing w:after="0" w:line="21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54" w:name="page55"/>
    <w:bookmarkEnd w:id="54"/>
    <w:p>
      <w:pPr>
        <w:ind w:left="260"/>
        <w:spacing w:after="0"/>
        <w:rPr>
          <w:sz w:val="20"/>
          <w:szCs w:val="20"/>
          <w:color w:val="auto"/>
        </w:rPr>
      </w:pPr>
      <w:r>
        <w:rPr>
          <w:rFonts w:ascii="Calibri" w:cs="Calibri" w:eastAsia="Calibri" w:hAnsi="Calibri"/>
          <w:sz w:val="18"/>
          <w:szCs w:val="18"/>
          <w:b w:val="1"/>
          <w:bCs w:val="1"/>
          <w:i w:val="1"/>
          <w:iCs w:val="1"/>
          <w:color w:val="auto"/>
        </w:rPr>
        <w:t>Future Years Payment Schedule</w:t>
      </w:r>
    </w:p>
    <w:p>
      <w:pPr>
        <w:spacing w:after="0" w:line="82"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The aggregate principal amounts of long-term debt, excluding fnance lease liabilites presented separately in Note R, due in each of the fve years from fscal 2024 through 2028 and thereafer are as follows:</w:t>
      </w:r>
    </w:p>
    <w:p>
      <w:pPr>
        <w:spacing w:after="0" w:line="10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Principal Payments</w:t>
            </w:r>
          </w:p>
        </w:tc>
      </w:tr>
      <w:tr>
        <w:trPr>
          <w:trHeight w:val="176"/>
        </w:trPr>
        <w:tc>
          <w:tcPr>
            <w:tcW w:w="7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on Long-Term</w:t>
            </w:r>
          </w:p>
        </w:tc>
      </w:tr>
      <w:tr>
        <w:trPr>
          <w:trHeight w:val="175"/>
        </w:trPr>
        <w:tc>
          <w:tcPr>
            <w:tcW w:w="7240" w:type="dxa"/>
            <w:vAlign w:val="bottom"/>
          </w:tcPr>
          <w:p>
            <w:pPr>
              <w:ind w:left="2800"/>
              <w:spacing w:after="0"/>
              <w:rPr>
                <w:sz w:val="20"/>
                <w:szCs w:val="20"/>
                <w:color w:val="auto"/>
              </w:rPr>
            </w:pPr>
            <w:r>
              <w:rPr>
                <w:rFonts w:ascii="Calibri" w:cs="Calibri" w:eastAsia="Calibri" w:hAnsi="Calibri"/>
                <w:sz w:val="14"/>
                <w:szCs w:val="14"/>
                <w:b w:val="1"/>
                <w:bCs w:val="1"/>
                <w:color w:val="auto"/>
              </w:rPr>
              <w:t>Years Ending September 30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Debt</w:t>
            </w:r>
          </w:p>
        </w:tc>
      </w:tr>
      <w:tr>
        <w:trPr>
          <w:trHeight w:val="33"/>
        </w:trPr>
        <w:tc>
          <w:tcPr>
            <w:tcW w:w="7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7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57"/>
              <w:spacing w:after="0" w:line="164" w:lineRule="exact"/>
              <w:rPr>
                <w:sz w:val="20"/>
                <w:szCs w:val="20"/>
                <w:color w:val="auto"/>
              </w:rPr>
            </w:pPr>
            <w:r>
              <w:rPr>
                <w:rFonts w:ascii="Calibri" w:cs="Calibri" w:eastAsia="Calibri" w:hAnsi="Calibri"/>
                <w:sz w:val="14"/>
                <w:szCs w:val="14"/>
                <w:b w:val="1"/>
                <w:bCs w:val="1"/>
                <w:color w:val="auto"/>
              </w:rPr>
              <w:t>(In millions)</w:t>
            </w:r>
          </w:p>
        </w:tc>
        <w:tc>
          <w:tcPr>
            <w:tcW w:w="80" w:type="dxa"/>
            <w:vAlign w:val="bottom"/>
          </w:tcPr>
          <w:p>
            <w:pPr>
              <w:spacing w:after="0"/>
              <w:rPr>
                <w:sz w:val="14"/>
                <w:szCs w:val="14"/>
                <w:color w:val="auto"/>
              </w:rPr>
            </w:pPr>
          </w:p>
        </w:tc>
      </w:tr>
      <w:tr>
        <w:trPr>
          <w:trHeight w:val="33"/>
        </w:trPr>
        <w:tc>
          <w:tcPr>
            <w:tcW w:w="7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72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2024</w:t>
            </w:r>
          </w:p>
        </w:tc>
        <w:tc>
          <w:tcPr>
            <w:tcW w:w="3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7240" w:type="dxa"/>
            <w:vAlign w:val="bottom"/>
          </w:tcPr>
          <w:p>
            <w:pPr>
              <w:spacing w:after="0" w:line="215" w:lineRule="exact"/>
              <w:rPr>
                <w:sz w:val="20"/>
                <w:szCs w:val="20"/>
                <w:color w:val="auto"/>
              </w:rPr>
            </w:pPr>
            <w:r>
              <w:rPr>
                <w:rFonts w:ascii="Calibri" w:cs="Calibri" w:eastAsia="Calibri" w:hAnsi="Calibri"/>
                <w:sz w:val="18"/>
                <w:szCs w:val="18"/>
                <w:color w:val="auto"/>
              </w:rPr>
              <w:t>2025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7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72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2026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7240" w:type="dxa"/>
            <w:vAlign w:val="bottom"/>
          </w:tcPr>
          <w:p>
            <w:pPr>
              <w:spacing w:after="0" w:line="215" w:lineRule="exact"/>
              <w:rPr>
                <w:sz w:val="20"/>
                <w:szCs w:val="20"/>
                <w:color w:val="auto"/>
              </w:rPr>
            </w:pPr>
            <w:r>
              <w:rPr>
                <w:rFonts w:ascii="Calibri" w:cs="Calibri" w:eastAsia="Calibri" w:hAnsi="Calibri"/>
                <w:sz w:val="18"/>
                <w:szCs w:val="18"/>
                <w:color w:val="auto"/>
              </w:rPr>
              <w:t>2027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120</w:t>
            </w:r>
          </w:p>
        </w:tc>
        <w:tc>
          <w:tcPr>
            <w:tcW w:w="80" w:type="dxa"/>
            <w:vAlign w:val="bottom"/>
          </w:tcPr>
          <w:p>
            <w:pPr>
              <w:spacing w:after="0"/>
              <w:rPr>
                <w:sz w:val="18"/>
                <w:szCs w:val="18"/>
                <w:color w:val="auto"/>
              </w:rPr>
            </w:pPr>
          </w:p>
        </w:tc>
      </w:tr>
      <w:tr>
        <w:trPr>
          <w:trHeight w:val="28"/>
        </w:trPr>
        <w:tc>
          <w:tcPr>
            <w:tcW w:w="7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72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2028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0"/>
        </w:trPr>
        <w:tc>
          <w:tcPr>
            <w:tcW w:w="7240" w:type="dxa"/>
            <w:vAlign w:val="bottom"/>
          </w:tcPr>
          <w:p>
            <w:pPr>
              <w:spacing w:after="0"/>
              <w:rPr>
                <w:sz w:val="20"/>
                <w:szCs w:val="20"/>
                <w:color w:val="auto"/>
              </w:rPr>
            </w:pPr>
            <w:r>
              <w:rPr>
                <w:rFonts w:ascii="Calibri" w:cs="Calibri" w:eastAsia="Calibri" w:hAnsi="Calibri"/>
                <w:sz w:val="18"/>
                <w:szCs w:val="18"/>
                <w:color w:val="auto"/>
              </w:rPr>
              <w:t>Thereafer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700</w:t>
            </w:r>
          </w:p>
        </w:tc>
        <w:tc>
          <w:tcPr>
            <w:tcW w:w="80" w:type="dxa"/>
            <w:vAlign w:val="bottom"/>
          </w:tcPr>
          <w:p>
            <w:pPr>
              <w:spacing w:after="0"/>
              <w:rPr>
                <w:sz w:val="19"/>
                <w:szCs w:val="19"/>
                <w:color w:val="auto"/>
              </w:rPr>
            </w:pPr>
          </w:p>
        </w:tc>
      </w:tr>
      <w:tr>
        <w:trPr>
          <w:trHeight w:val="23"/>
        </w:trPr>
        <w:tc>
          <w:tcPr>
            <w:tcW w:w="7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77"/>
        </w:trPr>
        <w:tc>
          <w:tcPr>
            <w:tcW w:w="7240" w:type="dxa"/>
            <w:vAlign w:val="bottom"/>
            <w:tcBorders>
              <w:bottom w:val="single" w:sz="8" w:color="CFF0FC"/>
            </w:tcBorders>
            <w:shd w:val="clear" w:color="auto" w:fill="CFF0FC"/>
          </w:tcPr>
          <w:p>
            <w:pPr>
              <w:ind w:left="180"/>
              <w:spacing w:after="0"/>
              <w:rPr>
                <w:sz w:val="20"/>
                <w:szCs w:val="20"/>
                <w:color w:val="auto"/>
              </w:rPr>
            </w:pPr>
            <w:r>
              <w:rPr>
                <w:rFonts w:ascii="Calibri" w:cs="Calibri" w:eastAsia="Calibri" w:hAnsi="Calibri"/>
                <w:sz w:val="18"/>
                <w:szCs w:val="18"/>
                <w:color w:val="auto"/>
              </w:rPr>
              <w:t>Total</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1,082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0"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b w:val="1"/>
          <w:bCs w:val="1"/>
          <w:i w:val="1"/>
          <w:iCs w:val="1"/>
          <w:color w:val="auto"/>
        </w:rPr>
        <w:t>Standby leters of credit</w:t>
      </w:r>
      <w:r>
        <w:rPr>
          <w:rFonts w:ascii="Calibri" w:cs="Calibri" w:eastAsia="Calibri" w:hAnsi="Calibri"/>
          <w:sz w:val="18"/>
          <w:szCs w:val="18"/>
          <w:color w:val="auto"/>
        </w:rPr>
        <w:t>—At September 30, 2023, the Company had provided standby leters of credit that were outstanding and not drawn totaling</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$7 million, which expire through fscal 2024.</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J. Financial Instruments and Fair Value Measurements</w:t>
      </w:r>
    </w:p>
    <w:p>
      <w:pPr>
        <w:spacing w:after="0" w:line="82" w:lineRule="exact"/>
        <w:rPr>
          <w:sz w:val="20"/>
          <w:szCs w:val="20"/>
          <w:color w:val="auto"/>
        </w:rPr>
      </w:pPr>
    </w:p>
    <w:p>
      <w:pPr>
        <w:jc w:val="both"/>
        <w:ind w:right="200" w:firstLine="509"/>
        <w:spacing w:after="0" w:line="235" w:lineRule="auto"/>
        <w:rPr>
          <w:sz w:val="20"/>
          <w:szCs w:val="20"/>
          <w:color w:val="auto"/>
        </w:rPr>
      </w:pPr>
      <w:r>
        <w:rPr>
          <w:rFonts w:ascii="Calibri" w:cs="Calibri" w:eastAsia="Calibri" w:hAnsi="Calibri"/>
          <w:sz w:val="18"/>
          <w:szCs w:val="18"/>
          <w:color w:val="auto"/>
        </w:rPr>
        <w:t>The FASB authoritatve guidance on fair value measurements defnes fair value, provides a framework for measuring fair value, and requires certain disclosures about fair value measurements. The required disclosures focus on the inputs used to measure fair value. The guidance establishes the following hierarchy for categorizing these inputs:</w:t>
      </w:r>
    </w:p>
    <w:p>
      <w:pPr>
        <w:spacing w:after="0" w:line="92" w:lineRule="exact"/>
        <w:rPr>
          <w:sz w:val="20"/>
          <w:szCs w:val="20"/>
          <w:color w:val="auto"/>
        </w:rPr>
      </w:pPr>
    </w:p>
    <w:p>
      <w:pPr>
        <w:ind w:left="20"/>
        <w:spacing w:after="0"/>
        <w:tabs>
          <w:tab w:leader="none" w:pos="900" w:val="left"/>
          <w:tab w:leader="none" w:pos="1280" w:val="left"/>
        </w:tabs>
        <w:rPr>
          <w:sz w:val="20"/>
          <w:szCs w:val="20"/>
          <w:color w:val="auto"/>
        </w:rPr>
      </w:pPr>
      <w:r>
        <w:rPr>
          <w:rFonts w:ascii="Calibri" w:cs="Calibri" w:eastAsia="Calibri" w:hAnsi="Calibri"/>
          <w:sz w:val="18"/>
          <w:szCs w:val="18"/>
          <w:color w:val="auto"/>
        </w:rPr>
        <w:t>Level 1</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Quoted market prices in actve markets for identcal assets or liabilites</w:t>
      </w:r>
    </w:p>
    <w:p>
      <w:pPr>
        <w:spacing w:after="0" w:line="163" w:lineRule="exact"/>
        <w:rPr>
          <w:sz w:val="20"/>
          <w:szCs w:val="20"/>
          <w:color w:val="auto"/>
        </w:rPr>
      </w:pPr>
    </w:p>
    <w:p>
      <w:pPr>
        <w:ind w:left="920" w:right="340" w:hanging="1281"/>
        <w:spacing w:after="0" w:line="235" w:lineRule="auto"/>
        <w:tabs>
          <w:tab w:leader="none" w:pos="900" w:val="left"/>
        </w:tabs>
        <w:rPr>
          <w:sz w:val="20"/>
          <w:szCs w:val="20"/>
          <w:color w:val="auto"/>
        </w:rPr>
      </w:pPr>
      <w:r>
        <w:rPr>
          <w:rFonts w:ascii="Calibri" w:cs="Calibri" w:eastAsia="Calibri" w:hAnsi="Calibri"/>
          <w:sz w:val="18"/>
          <w:szCs w:val="18"/>
          <w:color w:val="auto"/>
        </w:rPr>
        <w:t>Level 2</w:t>
      </w:r>
      <w:r>
        <w:rPr>
          <w:sz w:val="20"/>
          <w:szCs w:val="20"/>
          <w:color w:val="auto"/>
        </w:rPr>
        <w:tab/>
      </w:r>
      <w:r>
        <w:rPr>
          <w:rFonts w:ascii="Calibri" w:cs="Calibri" w:eastAsia="Calibri" w:hAnsi="Calibri"/>
          <w:sz w:val="18"/>
          <w:szCs w:val="18"/>
          <w:color w:val="auto"/>
        </w:rPr>
        <w:t>— Signifcant other observable inputs (e.g., quoted prices for similar items in actve markets, quoted prices for identcal or similar items in markets that are not actve, inputs other than quoted prices that are observable such as interest rate and yield curves, and market-corroborated inputs)</w:t>
      </w:r>
    </w:p>
    <w:p>
      <w:pPr>
        <w:spacing w:after="0" w:line="160" w:lineRule="exact"/>
        <w:rPr>
          <w:sz w:val="20"/>
          <w:szCs w:val="20"/>
          <w:color w:val="auto"/>
        </w:rPr>
      </w:pPr>
    </w:p>
    <w:p>
      <w:pPr>
        <w:ind w:left="20"/>
        <w:spacing w:after="0"/>
        <w:tabs>
          <w:tab w:leader="none" w:pos="900" w:val="left"/>
          <w:tab w:leader="none" w:pos="1280" w:val="left"/>
        </w:tabs>
        <w:rPr>
          <w:sz w:val="20"/>
          <w:szCs w:val="20"/>
          <w:color w:val="auto"/>
        </w:rPr>
      </w:pPr>
      <w:r>
        <w:rPr>
          <w:rFonts w:ascii="Calibri" w:cs="Calibri" w:eastAsia="Calibri" w:hAnsi="Calibri"/>
          <w:sz w:val="18"/>
          <w:szCs w:val="18"/>
          <w:color w:val="auto"/>
        </w:rPr>
        <w:t>Level 3</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Signifcant unobservable inputs</w:t>
      </w:r>
    </w:p>
    <w:p>
      <w:pPr>
        <w:spacing w:after="0" w:line="177"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There were no transfers of fnancial assets or liabilites measured at fair value between Level 1 and Level 2, and there were no Level 3 investments during fscal 2023 or 2022.</w:t>
      </w:r>
    </w:p>
    <w:p>
      <w:pPr>
        <w:spacing w:after="0" w:line="8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At both September 30, 2023 and 2022, the fair values of cash and cash equivalents, accounts and notes receivable, accounts payable and accrued liabilites, and short term borrowings and variable rate debt approximated their carrying values due to the short-term nature of these instruments. Cash and cash equivalents are classifed as Level 1 within the fair value hierarchy.</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At both September 30, 2023 and 2022, Cabot had derivatves relatng to foreign currency risks carried at fair value. The Company uses standard models with market-based inputs, which take into account the present value of estmated future cash fows and the ability of Cabot or the fnancial counterparty to perform. For interest rate and cross-currency swaps, the signifcant inputs to these models are interest rate curves for discountng future cash fows and are adjusted for credit risk. For forward foreign currency contracts, the signifcant inputs are interest rate curves for discountng future cash fows, and exchange rate curves of the foreign currency for translatng future cash fows. These derivatves are classifed as Level 2 instruments within the fair value hierarchy as the fair value determinaton was based on observable inputs.</w:t>
      </w:r>
    </w:p>
    <w:p>
      <w:pPr>
        <w:spacing w:after="0" w:line="8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At both September 30, 2023 and 2022, the fair value of Guaranteed investment contracts, included in Other assets on the Consolidated Balance Sheets was $8 million. Guaranteed investment contracts were classifed as Level 2 instruments within the fair value hierarchy as the fair value determinaton was based on other observable inputs.</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carrying value and fair value of the long-term fxed rate debt were $1.08 billion and $1.04 billion, respectvely, as of September 30, 2023 and $1.08 billion and $1.06 billion, respectvely, as of September 30, 2022. The fair values of Cabot’s fxed rate long-term debt are estmated based on comparable quoted market prices at the respectve period ends. The carrying amounts of Cabot’s foatng rate long-term debt approximates the fair value. All such measurements are based on observable inputs and are classifed as Level 2 within the fair value hierarchy. The valuaton technique used is the discounted cash fow model.</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5" w:name="page56"/>
    <w:bookmarkEnd w:id="55"/>
    <w:p>
      <w:pPr>
        <w:spacing w:after="0"/>
        <w:rPr>
          <w:sz w:val="20"/>
          <w:szCs w:val="20"/>
          <w:color w:val="auto"/>
        </w:rPr>
      </w:pPr>
      <w:r>
        <w:rPr>
          <w:rFonts w:ascii="Calibri" w:cs="Calibri" w:eastAsia="Calibri" w:hAnsi="Calibri"/>
          <w:sz w:val="18"/>
          <w:szCs w:val="18"/>
          <w:b w:val="1"/>
          <w:bCs w:val="1"/>
          <w:color w:val="auto"/>
        </w:rPr>
        <w:t>Note K. Derivatves</w:t>
      </w:r>
    </w:p>
    <w:p>
      <w:pPr>
        <w:spacing w:after="0" w:line="82" w:lineRule="exact"/>
        <w:rPr>
          <w:sz w:val="20"/>
          <w:szCs w:val="20"/>
          <w:color w:val="auto"/>
        </w:rPr>
      </w:pPr>
    </w:p>
    <w:p>
      <w:pPr>
        <w:ind w:right="100" w:firstLine="397"/>
        <w:spacing w:after="0" w:line="235" w:lineRule="auto"/>
        <w:rPr>
          <w:sz w:val="20"/>
          <w:szCs w:val="20"/>
          <w:color w:val="auto"/>
        </w:rPr>
      </w:pPr>
      <w:r>
        <w:rPr>
          <w:rFonts w:ascii="Calibri" w:cs="Calibri" w:eastAsia="Calibri" w:hAnsi="Calibri"/>
          <w:sz w:val="18"/>
          <w:szCs w:val="18"/>
          <w:color w:val="auto"/>
        </w:rPr>
        <w:t>The Company has foreign currency exposure arising from its net investments in foreign operatons. The Company uses cross-currency swaps to partally mitgate the impact of the Euro currency rate changes on the Company’s Euro denominated net investments. The Company’s cross-currency swaps are designated as net investment hedges.</w:t>
      </w:r>
    </w:p>
    <w:p>
      <w:pPr>
        <w:spacing w:after="0" w:line="84"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Company also has foreign currency exposure arising from the denominaton of monetary assets and liabilites in foreign currencies other than the functonal currency of a given subsidiary as well as the risk that currency fuctuatons could afect the dollar value of future cash fows generated in foreign currencies. The Company uses short-term forward contracts to minimize the exposure to foreign currency risk.</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Company had no signifcant concentraton of credit risk at September 30, 2023 and 2022.</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provides details of the derivatves held as of September 30, 2023 and 2022 to manage foreign currency risk.</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80" w:type="dxa"/>
            <w:vAlign w:val="bottom"/>
            <w:gridSpan w:val="3"/>
          </w:tcPr>
          <w:p>
            <w:pPr>
              <w:ind w:left="1380"/>
              <w:spacing w:after="0"/>
              <w:rPr>
                <w:sz w:val="20"/>
                <w:szCs w:val="20"/>
                <w:color w:val="auto"/>
              </w:rPr>
            </w:pPr>
            <w:r>
              <w:rPr>
                <w:rFonts w:ascii="Calibri" w:cs="Calibri" w:eastAsia="Calibri" w:hAnsi="Calibri"/>
                <w:sz w:val="14"/>
                <w:szCs w:val="14"/>
                <w:b w:val="1"/>
                <w:bCs w:val="1"/>
                <w:color w:val="auto"/>
              </w:rPr>
              <w:t>Notonal Amount</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Hedge</w:t>
            </w:r>
          </w:p>
        </w:tc>
        <w:tc>
          <w:tcPr>
            <w:tcW w:w="0" w:type="dxa"/>
            <w:vAlign w:val="bottom"/>
          </w:tcPr>
          <w:p>
            <w:pPr>
              <w:spacing w:after="0"/>
              <w:rPr>
                <w:sz w:val="1"/>
                <w:szCs w:val="1"/>
                <w:color w:val="auto"/>
              </w:rPr>
            </w:pPr>
          </w:p>
        </w:tc>
      </w:tr>
      <w:tr>
        <w:trPr>
          <w:trHeight w:val="163"/>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60" w:type="dxa"/>
            <w:vAlign w:val="bottom"/>
          </w:tcPr>
          <w:p>
            <w:pPr>
              <w:jc w:val="center"/>
              <w:spacing w:after="0"/>
              <w:rPr>
                <w:sz w:val="20"/>
                <w:szCs w:val="20"/>
                <w:color w:val="auto"/>
              </w:rPr>
            </w:pPr>
            <w:r>
              <w:rPr>
                <w:rFonts w:ascii="Calibri" w:cs="Calibri" w:eastAsia="Calibri" w:hAnsi="Calibri"/>
                <w:sz w:val="14"/>
                <w:szCs w:val="14"/>
                <w:b w:val="1"/>
                <w:bCs w:val="1"/>
                <w:color w:val="auto"/>
              </w:rPr>
              <w:t>Descripton</w:t>
            </w:r>
          </w:p>
        </w:tc>
        <w:tc>
          <w:tcPr>
            <w:tcW w:w="160" w:type="dxa"/>
            <w:vAlign w:val="bottom"/>
          </w:tcPr>
          <w:p>
            <w:pPr>
              <w:spacing w:after="0"/>
              <w:rPr>
                <w:sz w:val="15"/>
                <w:szCs w:val="15"/>
                <w:color w:val="auto"/>
              </w:rPr>
            </w:pPr>
          </w:p>
        </w:tc>
        <w:tc>
          <w:tcPr>
            <w:tcW w:w="1380" w:type="dxa"/>
            <w:vAlign w:val="bottom"/>
            <w:gridSpan w:val="2"/>
          </w:tcPr>
          <w:p>
            <w:pPr>
              <w:jc w:val="center"/>
              <w:ind w:right="160"/>
              <w:spacing w:after="0"/>
              <w:rPr>
                <w:sz w:val="20"/>
                <w:szCs w:val="20"/>
                <w:color w:val="auto"/>
              </w:rPr>
            </w:pPr>
            <w:r>
              <w:rPr>
                <w:rFonts w:ascii="Calibri" w:cs="Calibri" w:eastAsia="Calibri" w:hAnsi="Calibri"/>
                <w:sz w:val="14"/>
                <w:szCs w:val="14"/>
                <w:b w:val="1"/>
                <w:bCs w:val="1"/>
                <w:color w:val="auto"/>
              </w:rPr>
              <w:t>Borrowing</w:t>
            </w:r>
          </w:p>
        </w:tc>
        <w:tc>
          <w:tcPr>
            <w:tcW w:w="1820" w:type="dxa"/>
            <w:vAlign w:val="bottom"/>
          </w:tcPr>
          <w:p>
            <w:pPr>
              <w:jc w:val="center"/>
              <w:spacing w:after="0"/>
              <w:rPr>
                <w:sz w:val="20"/>
                <w:szCs w:val="20"/>
                <w:color w:val="auto"/>
              </w:rPr>
            </w:pPr>
            <w:r>
              <w:rPr>
                <w:rFonts w:ascii="Calibri" w:cs="Calibri" w:eastAsia="Calibri" w:hAnsi="Calibri"/>
                <w:sz w:val="14"/>
                <w:szCs w:val="14"/>
                <w:b w:val="1"/>
                <w:bCs w:val="1"/>
                <w:color w:val="auto"/>
              </w:rPr>
              <w:t>September 30, 2023</w:t>
            </w:r>
          </w:p>
        </w:tc>
        <w:tc>
          <w:tcPr>
            <w:tcW w:w="1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Calibri" w:cs="Calibri" w:eastAsia="Calibri" w:hAnsi="Calibri"/>
                <w:sz w:val="14"/>
                <w:szCs w:val="14"/>
                <w:b w:val="1"/>
                <w:bCs w:val="1"/>
                <w:color w:val="auto"/>
              </w:rPr>
              <w:t>September 30, 2022</w:t>
            </w:r>
          </w:p>
        </w:tc>
        <w:tc>
          <w:tcPr>
            <w:tcW w:w="1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Calibri" w:cs="Calibri" w:eastAsia="Calibri" w:hAnsi="Calibri"/>
                <w:sz w:val="14"/>
                <w:szCs w:val="14"/>
                <w:b w:val="1"/>
                <w:bCs w:val="1"/>
                <w:color w:val="auto"/>
              </w:rPr>
              <w:t>Designaton</w:t>
            </w:r>
          </w:p>
        </w:tc>
        <w:tc>
          <w:tcPr>
            <w:tcW w:w="0" w:type="dxa"/>
            <w:vAlign w:val="bottom"/>
          </w:tcPr>
          <w:p>
            <w:pPr>
              <w:spacing w:after="0"/>
              <w:rPr>
                <w:sz w:val="1"/>
                <w:szCs w:val="1"/>
                <w:color w:val="auto"/>
              </w:rPr>
            </w:pPr>
          </w:p>
        </w:tc>
      </w:tr>
      <w:tr>
        <w:trPr>
          <w:trHeight w:val="33"/>
        </w:trPr>
        <w:tc>
          <w:tcPr>
            <w:tcW w:w="4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line="201" w:lineRule="exact"/>
              <w:rPr>
                <w:sz w:val="20"/>
                <w:szCs w:val="20"/>
                <w:color w:val="auto"/>
              </w:rPr>
            </w:pPr>
            <w:r>
              <w:rPr>
                <w:rFonts w:ascii="Calibri" w:cs="Calibri" w:eastAsia="Calibri" w:hAnsi="Calibri"/>
                <w:sz w:val="18"/>
                <w:szCs w:val="18"/>
                <w:color w:val="auto"/>
                <w:w w:val="98"/>
              </w:rPr>
              <w:t>USD 250 million</w:t>
            </w:r>
          </w:p>
        </w:tc>
        <w:tc>
          <w:tcPr>
            <w:tcW w:w="160" w:type="dxa"/>
            <w:vAlign w:val="bottom"/>
            <w:shd w:val="clear" w:color="auto" w:fill="CFF0FC"/>
          </w:tcPr>
          <w:p>
            <w:pPr>
              <w:spacing w:after="0"/>
              <w:rPr>
                <w:sz w:val="17"/>
                <w:szCs w:val="17"/>
                <w:color w:val="auto"/>
              </w:rPr>
            </w:pPr>
          </w:p>
        </w:tc>
        <w:tc>
          <w:tcPr>
            <w:tcW w:w="1800" w:type="dxa"/>
            <w:vAlign w:val="bottom"/>
            <w:shd w:val="clear" w:color="auto" w:fill="CFF0FC"/>
          </w:tcPr>
          <w:p>
            <w:pPr>
              <w:jc w:val="center"/>
              <w:spacing w:after="0" w:line="201" w:lineRule="exact"/>
              <w:rPr>
                <w:sz w:val="20"/>
                <w:szCs w:val="20"/>
                <w:color w:val="auto"/>
              </w:rPr>
            </w:pPr>
            <w:r>
              <w:rPr>
                <w:rFonts w:ascii="Calibri" w:cs="Calibri" w:eastAsia="Calibri" w:hAnsi="Calibri"/>
                <w:sz w:val="18"/>
                <w:szCs w:val="18"/>
                <w:color w:val="auto"/>
                <w:w w:val="98"/>
              </w:rPr>
              <w:t>USD 250 million</w:t>
            </w: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6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7"/>
              </w:rPr>
              <w:t>Cross Currency Swaps</w:t>
            </w: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center"/>
              <w:ind w:right="160"/>
              <w:spacing w:after="0" w:line="215" w:lineRule="exact"/>
              <w:rPr>
                <w:sz w:val="20"/>
                <w:szCs w:val="20"/>
                <w:color w:val="auto"/>
              </w:rPr>
            </w:pPr>
            <w:r>
              <w:rPr>
                <w:rFonts w:ascii="Calibri" w:cs="Calibri" w:eastAsia="Calibri" w:hAnsi="Calibri"/>
                <w:sz w:val="18"/>
                <w:szCs w:val="18"/>
                <w:color w:val="auto"/>
                <w:w w:val="98"/>
              </w:rPr>
              <w:t>3.4% Notes</w:t>
            </w:r>
          </w:p>
        </w:tc>
        <w:tc>
          <w:tcPr>
            <w:tcW w:w="182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8"/>
              </w:rPr>
              <w:t>swapped to EUR</w:t>
            </w: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8"/>
              </w:rPr>
              <w:t>swapped to EUR</w:t>
            </w: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7"/>
              </w:rPr>
              <w:t>Net investment</w:t>
            </w:r>
          </w:p>
        </w:tc>
        <w:tc>
          <w:tcPr>
            <w:tcW w:w="0" w:type="dxa"/>
            <w:vAlign w:val="bottom"/>
          </w:tcPr>
          <w:p>
            <w:pPr>
              <w:spacing w:after="0"/>
              <w:rPr>
                <w:sz w:val="1"/>
                <w:szCs w:val="1"/>
                <w:color w:val="auto"/>
              </w:rPr>
            </w:pPr>
          </w:p>
        </w:tc>
      </w:tr>
      <w:tr>
        <w:trPr>
          <w:trHeight w:val="233"/>
        </w:trPr>
        <w:tc>
          <w:tcPr>
            <w:tcW w:w="4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CFF0FC"/>
            </w:tcBorders>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5"/>
              </w:rPr>
              <w:t>223 million</w:t>
            </w:r>
          </w:p>
        </w:tc>
        <w:tc>
          <w:tcPr>
            <w:tcW w:w="160" w:type="dxa"/>
            <w:vAlign w:val="bottom"/>
            <w:tcBorders>
              <w:bottom w:val="single" w:sz="8" w:color="CFF0FC"/>
            </w:tcBorders>
            <w:shd w:val="clear" w:color="auto" w:fill="CFF0FC"/>
          </w:tcPr>
          <w:p>
            <w:pPr>
              <w:spacing w:after="0"/>
              <w:rPr>
                <w:sz w:val="20"/>
                <w:szCs w:val="20"/>
                <w:color w:val="auto"/>
              </w:rPr>
            </w:pPr>
          </w:p>
        </w:tc>
        <w:tc>
          <w:tcPr>
            <w:tcW w:w="1800" w:type="dxa"/>
            <w:vAlign w:val="bottom"/>
            <w:tcBorders>
              <w:bottom w:val="single" w:sz="8" w:color="CFF0FC"/>
            </w:tcBorders>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5"/>
              </w:rPr>
              <w:t>223 million</w:t>
            </w:r>
          </w:p>
        </w:tc>
        <w:tc>
          <w:tcPr>
            <w:tcW w:w="16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160" w:type="dxa"/>
            <w:vAlign w:val="bottom"/>
          </w:tcPr>
          <w:p>
            <w:pPr>
              <w:jc w:val="center"/>
              <w:spacing w:after="0" w:line="280" w:lineRule="exact"/>
              <w:rPr>
                <w:sz w:val="20"/>
                <w:szCs w:val="20"/>
                <w:color w:val="auto"/>
              </w:rPr>
            </w:pPr>
            <w:r>
              <w:rPr>
                <w:rFonts w:ascii="Calibri" w:cs="Calibri" w:eastAsia="Calibri" w:hAnsi="Calibri"/>
                <w:sz w:val="18"/>
                <w:szCs w:val="18"/>
                <w:color w:val="auto"/>
                <w:w w:val="94"/>
              </w:rPr>
              <w:t>Forward Foreign Currency Contracts</w:t>
            </w:r>
            <w:r>
              <w:rPr>
                <w:rFonts w:ascii="Calibri" w:cs="Calibri" w:eastAsia="Calibri" w:hAnsi="Calibri"/>
                <w:sz w:val="24"/>
                <w:szCs w:val="24"/>
                <w:color w:val="auto"/>
                <w:w w:val="94"/>
                <w:vertAlign w:val="superscript"/>
              </w:rPr>
              <w:t>(1)</w:t>
            </w:r>
          </w:p>
        </w:tc>
        <w:tc>
          <w:tcPr>
            <w:tcW w:w="160" w:type="dxa"/>
            <w:vAlign w:val="bottom"/>
          </w:tcPr>
          <w:p>
            <w:pPr>
              <w:spacing w:after="0"/>
              <w:rPr>
                <w:sz w:val="24"/>
                <w:szCs w:val="24"/>
                <w:color w:val="auto"/>
              </w:rPr>
            </w:pPr>
          </w:p>
        </w:tc>
        <w:tc>
          <w:tcPr>
            <w:tcW w:w="1380" w:type="dxa"/>
            <w:vAlign w:val="bottom"/>
            <w:gridSpan w:val="2"/>
          </w:tcPr>
          <w:p>
            <w:pPr>
              <w:jc w:val="center"/>
              <w:ind w:right="160"/>
              <w:spacing w:after="0" w:line="215" w:lineRule="exact"/>
              <w:rPr>
                <w:sz w:val="20"/>
                <w:szCs w:val="20"/>
                <w:color w:val="auto"/>
              </w:rPr>
            </w:pPr>
            <w:r>
              <w:rPr>
                <w:rFonts w:ascii="Calibri" w:cs="Calibri" w:eastAsia="Calibri" w:hAnsi="Calibri"/>
                <w:sz w:val="18"/>
                <w:szCs w:val="18"/>
                <w:color w:val="auto"/>
                <w:w w:val="89"/>
              </w:rPr>
              <w:t>N/A</w:t>
            </w:r>
          </w:p>
        </w:tc>
        <w:tc>
          <w:tcPr>
            <w:tcW w:w="182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USD 82 million</w:t>
            </w:r>
          </w:p>
        </w:tc>
        <w:tc>
          <w:tcPr>
            <w:tcW w:w="160" w:type="dxa"/>
            <w:vAlign w:val="bottom"/>
          </w:tcPr>
          <w:p>
            <w:pPr>
              <w:spacing w:after="0"/>
              <w:rPr>
                <w:sz w:val="24"/>
                <w:szCs w:val="24"/>
                <w:color w:val="auto"/>
              </w:rPr>
            </w:pPr>
          </w:p>
        </w:tc>
        <w:tc>
          <w:tcPr>
            <w:tcW w:w="180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USD 42 million</w:t>
            </w:r>
          </w:p>
        </w:tc>
        <w:tc>
          <w:tcPr>
            <w:tcW w:w="160" w:type="dxa"/>
            <w:vAlign w:val="bottom"/>
          </w:tcPr>
          <w:p>
            <w:pPr>
              <w:spacing w:after="0"/>
              <w:rPr>
                <w:sz w:val="24"/>
                <w:szCs w:val="24"/>
                <w:color w:val="auto"/>
              </w:rPr>
            </w:pPr>
          </w:p>
        </w:tc>
        <w:tc>
          <w:tcPr>
            <w:tcW w:w="1600" w:type="dxa"/>
            <w:vAlign w:val="bottom"/>
          </w:tcPr>
          <w:p>
            <w:pPr>
              <w:jc w:val="center"/>
              <w:spacing w:after="0" w:line="215" w:lineRule="exact"/>
              <w:rPr>
                <w:sz w:val="20"/>
                <w:szCs w:val="20"/>
                <w:color w:val="auto"/>
              </w:rPr>
            </w:pPr>
            <w:r>
              <w:rPr>
                <w:rFonts w:ascii="Calibri" w:cs="Calibri" w:eastAsia="Calibri" w:hAnsi="Calibri"/>
                <w:sz w:val="18"/>
                <w:szCs w:val="18"/>
                <w:color w:val="auto"/>
              </w:rPr>
              <w:t>No designaton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1912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96" w:lineRule="exact"/>
        <w:rPr>
          <w:sz w:val="20"/>
          <w:szCs w:val="20"/>
          <w:color w:val="auto"/>
        </w:rPr>
      </w:pPr>
    </w:p>
    <w:p>
      <w:pPr>
        <w:ind w:left="520" w:right="320" w:hanging="512"/>
        <w:spacing w:after="0" w:line="211" w:lineRule="auto"/>
        <w:tabs>
          <w:tab w:leader="none" w:pos="520" w:val="left"/>
        </w:tabs>
        <w:numPr>
          <w:ilvl w:val="0"/>
          <w:numId w:val="18"/>
        </w:numPr>
        <w:rPr>
          <w:rFonts w:ascii="Calibri" w:cs="Calibri" w:eastAsia="Calibri" w:hAnsi="Calibri"/>
          <w:sz w:val="23"/>
          <w:szCs w:val="23"/>
          <w:color w:val="auto"/>
          <w:vertAlign w:val="superscript"/>
        </w:rPr>
      </w:pPr>
      <w:r>
        <w:rPr>
          <w:rFonts w:ascii="Calibri" w:cs="Calibri" w:eastAsia="Calibri" w:hAnsi="Calibri"/>
          <w:sz w:val="17"/>
          <w:szCs w:val="17"/>
          <w:color w:val="auto"/>
        </w:rPr>
        <w:t>At September 30, 2023, the Company’s forward foreign exchange contracts were denominated in Indonesian rupiah, Czech koruna, and Colombian peso. At September 30, 2022, the Company’s forward foreign exchange contracts were denominated in Indonesian rupiah and Czech koruna.</w:t>
      </w:r>
    </w:p>
    <w:p>
      <w:pPr>
        <w:spacing w:after="0" w:line="7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Accountng for Derivatve Instruments and Hedging Actvites</w:t>
      </w:r>
    </w:p>
    <w:p>
      <w:pPr>
        <w:spacing w:after="0" w:line="77" w:lineRule="exact"/>
        <w:rPr>
          <w:sz w:val="20"/>
          <w:szCs w:val="20"/>
          <w:color w:val="auto"/>
        </w:rPr>
      </w:pPr>
    </w:p>
    <w:p>
      <w:pPr>
        <w:ind w:left="480"/>
        <w:spacing w:after="0"/>
        <w:rPr>
          <w:sz w:val="20"/>
          <w:szCs w:val="20"/>
          <w:color w:val="auto"/>
        </w:rPr>
      </w:pPr>
      <w:r>
        <w:rPr>
          <w:rFonts w:ascii="Calibri" w:cs="Calibri" w:eastAsia="Calibri" w:hAnsi="Calibri"/>
          <w:sz w:val="18"/>
          <w:szCs w:val="18"/>
          <w:i w:val="1"/>
          <w:iCs w:val="1"/>
          <w:color w:val="auto"/>
        </w:rPr>
        <w:t>Net Investment Hedge</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For net investment hedges, changes in the fair value of the efectve porton of the derivatves’ gains or losses are reported as CTA in AOCI while changes in the inefectve porton are reported in earnings. Efectveness is assessed based on the hypothetcal derivatve method. The gains or losses on derivatve instruments reported in AOCI are reclassifed to earnings in the period in which earnings are afected by the underlying item, such as a disposal or substantal liquidatons of the enttes being hedged.</w:t>
      </w:r>
    </w:p>
    <w:p>
      <w:pPr>
        <w:spacing w:after="0" w:line="100" w:lineRule="exact"/>
        <w:rPr>
          <w:sz w:val="20"/>
          <w:szCs w:val="20"/>
          <w:color w:val="auto"/>
        </w:rPr>
      </w:pPr>
    </w:p>
    <w:p>
      <w:pPr>
        <w:ind w:right="140" w:firstLine="509"/>
        <w:spacing w:after="0" w:line="228" w:lineRule="auto"/>
        <w:rPr>
          <w:sz w:val="20"/>
          <w:szCs w:val="20"/>
          <w:color w:val="auto"/>
        </w:rPr>
      </w:pPr>
      <w:r>
        <w:rPr>
          <w:rFonts w:ascii="Calibri" w:cs="Calibri" w:eastAsia="Calibri" w:hAnsi="Calibri"/>
          <w:sz w:val="18"/>
          <w:szCs w:val="18"/>
          <w:color w:val="auto"/>
        </w:rPr>
        <w:t>Cash setlements related to the net investment hedge occur semi-annually on March 15</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and September 15</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for fxed rate interest payments and a cash exchange of the notonal currency amount will occur at the end of the term in 2026. During fscal 2023, 2022 and 2021 the Company received net cash interest of $4 million, $4 million and $3 million, respectvely. As of September 30, 2023 and 2022, the fair value of these swaps was an asset of $12 million and $29 million, respectvely, was included in Prepaid expenses and other current assets and Other assets, and the cumulatve unrealized gain of $15 million and $32 million, respectvely, was included in AOCI on the Consolidated Balance Sheets.</w:t>
      </w:r>
    </w:p>
    <w:p>
      <w:pPr>
        <w:spacing w:after="0" w:line="81"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the impact of the cross-currency swaps to AOCI and the Consolidated Statements of Operatons: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gridSpan w:val="7"/>
          </w:tcPr>
          <w:p>
            <w:pPr>
              <w:jc w:val="center"/>
              <w:ind w:left="328"/>
              <w:spacing w:after="0"/>
              <w:rPr>
                <w:sz w:val="20"/>
                <w:szCs w:val="20"/>
                <w:color w:val="auto"/>
              </w:rPr>
            </w:pPr>
            <w:r>
              <w:rPr>
                <w:rFonts w:ascii="Calibri" w:cs="Calibri" w:eastAsia="Calibri" w:hAnsi="Calibri"/>
                <w:sz w:val="14"/>
                <w:szCs w:val="14"/>
                <w:b w:val="1"/>
                <w:bCs w:val="1"/>
                <w:color w:val="auto"/>
              </w:rPr>
              <w:t>Years Ended September 30</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42"/>
              <w:spacing w:after="0"/>
              <w:rPr>
                <w:sz w:val="20"/>
                <w:szCs w:val="20"/>
                <w:color w:val="auto"/>
              </w:rPr>
            </w:pPr>
            <w:r>
              <w:rPr>
                <w:rFonts w:ascii="Calibri" w:cs="Calibri" w:eastAsia="Calibri" w:hAnsi="Calibri"/>
                <w:sz w:val="14"/>
                <w:szCs w:val="14"/>
                <w:b w:val="1"/>
                <w:bCs w:val="1"/>
                <w:color w:val="auto"/>
              </w:rPr>
              <w:t>2023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39"/>
              <w:spacing w:after="0"/>
              <w:rPr>
                <w:sz w:val="20"/>
                <w:szCs w:val="20"/>
                <w:color w:val="auto"/>
              </w:rPr>
            </w:pPr>
            <w:r>
              <w:rPr>
                <w:rFonts w:ascii="Calibri" w:cs="Calibri" w:eastAsia="Calibri" w:hAnsi="Calibri"/>
                <w:sz w:val="14"/>
                <w:szCs w:val="14"/>
                <w:b w:val="1"/>
                <w:bCs w:val="1"/>
                <w:color w:val="auto"/>
              </w:rPr>
              <w:t>2022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39"/>
              <w:spacing w:after="0"/>
              <w:rPr>
                <w:sz w:val="20"/>
                <w:szCs w:val="20"/>
                <w:color w:val="auto"/>
              </w:rPr>
            </w:pPr>
            <w:r>
              <w:rPr>
                <w:rFonts w:ascii="Calibri" w:cs="Calibri" w:eastAsia="Calibri" w:hAnsi="Calibri"/>
                <w:sz w:val="14"/>
                <w:szCs w:val="14"/>
                <w:b w:val="1"/>
                <w:bCs w:val="1"/>
                <w:color w:val="auto"/>
              </w:rPr>
              <w:t>2021</w:t>
            </w:r>
          </w:p>
        </w:tc>
        <w:tc>
          <w:tcPr>
            <w:tcW w:w="86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2023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center"/>
              <w:ind w:right="79"/>
              <w:spacing w:after="0"/>
              <w:rPr>
                <w:sz w:val="20"/>
                <w:szCs w:val="20"/>
                <w:color w:val="auto"/>
              </w:rPr>
            </w:pPr>
            <w:r>
              <w:rPr>
                <w:rFonts w:ascii="Calibri" w:cs="Calibri" w:eastAsia="Calibri" w:hAnsi="Calibri"/>
                <w:sz w:val="14"/>
                <w:szCs w:val="14"/>
                <w:b w:val="1"/>
                <w:bCs w:val="1"/>
                <w:color w:val="auto"/>
              </w:rPr>
              <w:t>2022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139"/>
              <w:spacing w:after="0"/>
              <w:rPr>
                <w:sz w:val="20"/>
                <w:szCs w:val="20"/>
                <w:color w:val="auto"/>
              </w:rPr>
            </w:pPr>
            <w:r>
              <w:rPr>
                <w:rFonts w:ascii="Calibri" w:cs="Calibri" w:eastAsia="Calibri" w:hAnsi="Calibri"/>
                <w:sz w:val="14"/>
                <w:szCs w:val="14"/>
                <w:b w:val="1"/>
                <w:bCs w:val="1"/>
                <w:color w:val="auto"/>
              </w:rPr>
              <w:t>2021</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8"/>
                <w:szCs w:val="18"/>
                <w:color w:val="auto"/>
              </w:rPr>
            </w:pPr>
          </w:p>
        </w:tc>
        <w:tc>
          <w:tcPr>
            <w:tcW w:w="820" w:type="dxa"/>
            <w:vAlign w:val="bottom"/>
            <w:gridSpan w:val="2"/>
          </w:tcPr>
          <w:p>
            <w:pPr>
              <w:jc w:val="center"/>
              <w:ind w:left="359"/>
              <w:spacing w:after="0"/>
              <w:rPr>
                <w:sz w:val="20"/>
                <w:szCs w:val="20"/>
                <w:color w:val="auto"/>
              </w:rPr>
            </w:pPr>
            <w:r>
              <w:rPr>
                <w:rFonts w:ascii="Calibri" w:cs="Calibri" w:eastAsia="Calibri" w:hAnsi="Calibri"/>
                <w:sz w:val="14"/>
                <w:szCs w:val="14"/>
                <w:b w:val="1"/>
                <w:bCs w:val="1"/>
                <w:color w:val="auto"/>
              </w:rPr>
              <w:t>2022</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Calibri" w:cs="Calibri" w:eastAsia="Calibri" w:hAnsi="Calibri"/>
                <w:sz w:val="14"/>
                <w:szCs w:val="14"/>
                <w:b w:val="1"/>
                <w:bCs w:val="1"/>
                <w:color w:val="auto"/>
              </w:rPr>
              <w:t>2021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80" w:type="dxa"/>
            <w:vAlign w:val="bottom"/>
            <w:gridSpan w:val="9"/>
            <w:vMerge w:val="restart"/>
          </w:tcPr>
          <w:p>
            <w:pPr>
              <w:jc w:val="center"/>
              <w:ind w:right="260"/>
              <w:spacing w:after="0"/>
              <w:rPr>
                <w:sz w:val="20"/>
                <w:szCs w:val="20"/>
                <w:color w:val="auto"/>
              </w:rPr>
            </w:pPr>
            <w:r>
              <w:rPr>
                <w:rFonts w:ascii="Calibri" w:cs="Calibri" w:eastAsia="Calibri" w:hAnsi="Calibri"/>
                <w:sz w:val="14"/>
                <w:szCs w:val="14"/>
                <w:b w:val="1"/>
                <w:bCs w:val="1"/>
                <w:color w:val="auto"/>
              </w:rPr>
              <w:t>(Gain)/Loss Reclassifed from AOCI into</w:t>
            </w:r>
          </w:p>
        </w:tc>
        <w:tc>
          <w:tcPr>
            <w:tcW w:w="2540" w:type="dxa"/>
            <w:vAlign w:val="bottom"/>
            <w:gridSpan w:val="7"/>
          </w:tcPr>
          <w:p>
            <w:pPr>
              <w:jc w:val="center"/>
              <w:ind w:left="84"/>
              <w:spacing w:after="0" w:line="164" w:lineRule="exact"/>
              <w:rPr>
                <w:sz w:val="20"/>
                <w:szCs w:val="20"/>
                <w:color w:val="auto"/>
              </w:rPr>
            </w:pPr>
            <w:r>
              <w:rPr>
                <w:rFonts w:ascii="Calibri" w:cs="Calibri" w:eastAsia="Calibri" w:hAnsi="Calibri"/>
                <w:sz w:val="14"/>
                <w:szCs w:val="14"/>
                <w:b w:val="1"/>
                <w:bCs w:val="1"/>
                <w:color w:val="auto"/>
              </w:rPr>
              <w:t>(Gain)/Loss Recognized in Interest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980" w:type="dxa"/>
            <w:vAlign w:val="bottom"/>
            <w:gridSpan w:val="9"/>
            <w:vMerge w:val="continue"/>
          </w:tcPr>
          <w:p>
            <w:pPr>
              <w:spacing w:after="0"/>
              <w:rPr>
                <w:sz w:val="6"/>
                <w:szCs w:val="6"/>
                <w:color w:val="auto"/>
              </w:rPr>
            </w:pPr>
          </w:p>
        </w:tc>
        <w:tc>
          <w:tcPr>
            <w:tcW w:w="500" w:type="dxa"/>
            <w:vAlign w:val="bottom"/>
          </w:tcPr>
          <w:p>
            <w:pPr>
              <w:spacing w:after="0"/>
              <w:rPr>
                <w:sz w:val="6"/>
                <w:szCs w:val="6"/>
                <w:color w:val="auto"/>
              </w:rPr>
            </w:pPr>
          </w:p>
        </w:tc>
        <w:tc>
          <w:tcPr>
            <w:tcW w:w="2040" w:type="dxa"/>
            <w:vAlign w:val="bottom"/>
            <w:gridSpan w:val="6"/>
            <w:vMerge w:val="restart"/>
          </w:tcPr>
          <w:p>
            <w:pPr>
              <w:jc w:val="center"/>
              <w:ind w:right="340"/>
              <w:spacing w:after="0"/>
              <w:rPr>
                <w:sz w:val="20"/>
                <w:szCs w:val="20"/>
                <w:color w:val="auto"/>
              </w:rPr>
            </w:pPr>
            <w:r>
              <w:rPr>
                <w:rFonts w:ascii="Calibri" w:cs="Calibri" w:eastAsia="Calibri" w:hAnsi="Calibri"/>
                <w:sz w:val="14"/>
                <w:szCs w:val="14"/>
                <w:b w:val="1"/>
                <w:bCs w:val="1"/>
                <w:color w:val="auto"/>
              </w:rPr>
              <w:t>Expense in the Consolidated</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3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Descripton</w:t>
            </w:r>
          </w:p>
        </w:tc>
        <w:tc>
          <w:tcPr>
            <w:tcW w:w="160" w:type="dxa"/>
            <w:vAlign w:val="bottom"/>
          </w:tcPr>
          <w:p>
            <w:pPr>
              <w:spacing w:after="0"/>
              <w:rPr>
                <w:sz w:val="8"/>
                <w:szCs w:val="8"/>
                <w:color w:val="auto"/>
              </w:rPr>
            </w:pPr>
          </w:p>
        </w:tc>
        <w:tc>
          <w:tcPr>
            <w:tcW w:w="2660" w:type="dxa"/>
            <w:vAlign w:val="bottom"/>
            <w:gridSpan w:val="7"/>
            <w:vMerge w:val="restart"/>
          </w:tcPr>
          <w:p>
            <w:pPr>
              <w:ind w:left="320"/>
              <w:spacing w:after="0"/>
              <w:rPr>
                <w:sz w:val="20"/>
                <w:szCs w:val="20"/>
                <w:color w:val="auto"/>
              </w:rPr>
            </w:pPr>
            <w:r>
              <w:rPr>
                <w:rFonts w:ascii="Calibri" w:cs="Calibri" w:eastAsia="Calibri" w:hAnsi="Calibri"/>
                <w:sz w:val="14"/>
                <w:szCs w:val="14"/>
                <w:b w:val="1"/>
                <w:bCs w:val="1"/>
                <w:color w:val="auto"/>
              </w:rPr>
              <w:t>Gain/(Loss) Recognized in AOCI</w:t>
            </w:r>
          </w:p>
        </w:tc>
        <w:tc>
          <w:tcPr>
            <w:tcW w:w="300" w:type="dxa"/>
            <w:vAlign w:val="bottom"/>
          </w:tcPr>
          <w:p>
            <w:pPr>
              <w:spacing w:after="0"/>
              <w:rPr>
                <w:sz w:val="8"/>
                <w:szCs w:val="8"/>
                <w:color w:val="auto"/>
              </w:rPr>
            </w:pPr>
          </w:p>
        </w:tc>
        <w:tc>
          <w:tcPr>
            <w:tcW w:w="2980" w:type="dxa"/>
            <w:vAlign w:val="bottom"/>
            <w:gridSpan w:val="9"/>
            <w:vMerge w:val="restart"/>
          </w:tcPr>
          <w:p>
            <w:pPr>
              <w:jc w:val="center"/>
              <w:ind w:right="280"/>
              <w:spacing w:after="0"/>
              <w:rPr>
                <w:sz w:val="20"/>
                <w:szCs w:val="20"/>
                <w:color w:val="auto"/>
              </w:rPr>
            </w:pPr>
            <w:r>
              <w:rPr>
                <w:rFonts w:ascii="Calibri" w:cs="Calibri" w:eastAsia="Calibri" w:hAnsi="Calibri"/>
                <w:sz w:val="14"/>
                <w:szCs w:val="14"/>
                <w:b w:val="1"/>
                <w:bCs w:val="1"/>
                <w:color w:val="auto"/>
              </w:rPr>
              <w:t>Interest Expense in the Consolidated</w:t>
            </w:r>
          </w:p>
        </w:tc>
        <w:tc>
          <w:tcPr>
            <w:tcW w:w="500" w:type="dxa"/>
            <w:vAlign w:val="bottom"/>
          </w:tcPr>
          <w:p>
            <w:pPr>
              <w:spacing w:after="0"/>
              <w:rPr>
                <w:sz w:val="8"/>
                <w:szCs w:val="8"/>
                <w:color w:val="auto"/>
              </w:rPr>
            </w:pPr>
          </w:p>
        </w:tc>
        <w:tc>
          <w:tcPr>
            <w:tcW w:w="204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3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660" w:type="dxa"/>
            <w:vAlign w:val="bottom"/>
            <w:gridSpan w:val="7"/>
            <w:vMerge w:val="continue"/>
          </w:tcPr>
          <w:p>
            <w:pPr>
              <w:spacing w:after="0"/>
              <w:rPr>
                <w:sz w:val="7"/>
                <w:szCs w:val="7"/>
                <w:color w:val="auto"/>
              </w:rPr>
            </w:pPr>
          </w:p>
        </w:tc>
        <w:tc>
          <w:tcPr>
            <w:tcW w:w="300" w:type="dxa"/>
            <w:vAlign w:val="bottom"/>
          </w:tcPr>
          <w:p>
            <w:pPr>
              <w:spacing w:after="0"/>
              <w:rPr>
                <w:sz w:val="7"/>
                <w:szCs w:val="7"/>
                <w:color w:val="auto"/>
              </w:rPr>
            </w:pPr>
          </w:p>
        </w:tc>
        <w:tc>
          <w:tcPr>
            <w:tcW w:w="2980" w:type="dxa"/>
            <w:vAlign w:val="bottom"/>
            <w:gridSpan w:val="9"/>
            <w:vMerge w:val="continue"/>
          </w:tcPr>
          <w:p>
            <w:pPr>
              <w:spacing w:after="0"/>
              <w:rPr>
                <w:sz w:val="7"/>
                <w:szCs w:val="7"/>
                <w:color w:val="auto"/>
              </w:rPr>
            </w:pPr>
          </w:p>
        </w:tc>
        <w:tc>
          <w:tcPr>
            <w:tcW w:w="2540" w:type="dxa"/>
            <w:vAlign w:val="bottom"/>
            <w:gridSpan w:val="7"/>
            <w:vMerge w:val="restart"/>
          </w:tcPr>
          <w:p>
            <w:pPr>
              <w:jc w:val="center"/>
              <w:ind w:left="84"/>
              <w:spacing w:after="0"/>
              <w:rPr>
                <w:sz w:val="20"/>
                <w:szCs w:val="20"/>
                <w:color w:val="auto"/>
              </w:rPr>
            </w:pPr>
            <w:r>
              <w:rPr>
                <w:rFonts w:ascii="Calibri" w:cs="Calibri" w:eastAsia="Calibri" w:hAnsi="Calibri"/>
                <w:sz w:val="14"/>
                <w:szCs w:val="14"/>
                <w:b w:val="1"/>
                <w:bCs w:val="1"/>
                <w:color w:val="auto"/>
              </w:rPr>
              <w:t>Statements of Operatons (Amount</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0" w:type="dxa"/>
            <w:vAlign w:val="bottom"/>
            <w:gridSpan w:val="6"/>
            <w:vMerge w:val="restart"/>
          </w:tcPr>
          <w:p>
            <w:pPr>
              <w:jc w:val="center"/>
              <w:spacing w:after="0"/>
              <w:rPr>
                <w:sz w:val="20"/>
                <w:szCs w:val="20"/>
                <w:color w:val="auto"/>
              </w:rPr>
            </w:pPr>
            <w:r>
              <w:rPr>
                <w:rFonts w:ascii="Calibri" w:cs="Calibri" w:eastAsia="Calibri" w:hAnsi="Calibri"/>
                <w:sz w:val="14"/>
                <w:szCs w:val="14"/>
                <w:b w:val="1"/>
                <w:bCs w:val="1"/>
                <w:color w:val="auto"/>
              </w:rPr>
              <w:t>Statements of Operatons</w:t>
            </w: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540" w:type="dxa"/>
            <w:vAlign w:val="bottom"/>
            <w:gridSpan w:val="7"/>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0" w:type="dxa"/>
            <w:vAlign w:val="bottom"/>
            <w:gridSpan w:val="6"/>
            <w:vMerge w:val="continue"/>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540" w:type="dxa"/>
            <w:vAlign w:val="bottom"/>
            <w:gridSpan w:val="7"/>
            <w:vMerge w:val="restart"/>
          </w:tcPr>
          <w:p>
            <w:pPr>
              <w:jc w:val="center"/>
              <w:ind w:left="84"/>
              <w:spacing w:after="0"/>
              <w:rPr>
                <w:sz w:val="20"/>
                <w:szCs w:val="20"/>
                <w:color w:val="auto"/>
              </w:rPr>
            </w:pPr>
            <w:r>
              <w:rPr>
                <w:rFonts w:ascii="Calibri" w:cs="Calibri" w:eastAsia="Calibri" w:hAnsi="Calibri"/>
                <w:sz w:val="14"/>
                <w:szCs w:val="14"/>
                <w:b w:val="1"/>
                <w:bCs w:val="1"/>
                <w:color w:val="auto"/>
              </w:rPr>
              <w:t>Excluded from Efectveness Testng)</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540" w:type="dxa"/>
            <w:vAlign w:val="bottom"/>
            <w:gridSpan w:val="7"/>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5"/>
          </w:tcPr>
          <w:p>
            <w:pPr>
              <w:jc w:val="center"/>
              <w:ind w:right="340"/>
              <w:spacing w:after="0"/>
              <w:rPr>
                <w:sz w:val="20"/>
                <w:szCs w:val="20"/>
                <w:color w:val="auto"/>
              </w:rPr>
            </w:pPr>
            <w:r>
              <w:rPr>
                <w:rFonts w:ascii="Calibri" w:cs="Calibri" w:eastAsia="Calibri" w:hAnsi="Calibri"/>
                <w:sz w:val="14"/>
                <w:szCs w:val="14"/>
                <w:b w:val="1"/>
                <w:bCs w:val="1"/>
                <w:color w:val="auto"/>
              </w:rPr>
              <w:t>(In millions)</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3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Cross-currency swaps</w:t>
            </w:r>
          </w:p>
        </w:tc>
        <w:tc>
          <w:tcPr>
            <w:tcW w:w="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gridSpan w:val="2"/>
            <w:shd w:val="clear" w:color="auto" w:fill="CFF0FC"/>
          </w:tcPr>
          <w:p>
            <w:pPr>
              <w:ind w:left="340"/>
              <w:spacing w:after="0" w:line="215" w:lineRule="exact"/>
              <w:rPr>
                <w:sz w:val="20"/>
                <w:szCs w:val="20"/>
                <w:color w:val="auto"/>
              </w:rPr>
            </w:pPr>
            <w:r>
              <w:rPr>
                <w:rFonts w:ascii="Calibri" w:cs="Calibri" w:eastAsia="Calibri" w:hAnsi="Calibri"/>
                <w:sz w:val="18"/>
                <w:szCs w:val="18"/>
                <w:color w:val="auto"/>
              </w:rPr>
              <w:t>(13 )</w:t>
            </w:r>
          </w:p>
        </w:tc>
        <w:tc>
          <w:tcPr>
            <w:tcW w:w="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5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w:t>
            </w:r>
          </w:p>
        </w:tc>
        <w:tc>
          <w:tcPr>
            <w:tcW w:w="460" w:type="dxa"/>
            <w:vAlign w:val="bottom"/>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5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860" w:type="dxa"/>
            <w:vAlign w:val="bottom"/>
            <w:gridSpan w:val="2"/>
            <w:shd w:val="clear" w:color="auto" w:fill="CFF0FC"/>
          </w:tcPr>
          <w:p>
            <w:pPr>
              <w:jc w:val="right"/>
              <w:ind w:right="388"/>
              <w:spacing w:after="0" w:line="215" w:lineRule="exact"/>
              <w:rPr>
                <w:sz w:val="20"/>
                <w:szCs w:val="20"/>
                <w:color w:val="auto"/>
              </w:rPr>
            </w:pPr>
            <w:r>
              <w:rPr>
                <w:rFonts w:ascii="Calibri" w:cs="Calibri" w:eastAsia="Calibri" w:hAnsi="Calibri"/>
                <w:sz w:val="18"/>
                <w:szCs w:val="18"/>
                <w:color w:val="auto"/>
              </w:rPr>
              <w:t>$</w:t>
            </w:r>
          </w:p>
        </w:tc>
        <w:tc>
          <w:tcPr>
            <w:tcW w:w="620" w:type="dxa"/>
            <w:vAlign w:val="bottom"/>
            <w:gridSpan w:val="3"/>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(6 )   $</w:t>
            </w:r>
          </w:p>
        </w:tc>
        <w:tc>
          <w:tcPr>
            <w:tcW w:w="980" w:type="dxa"/>
            <w:vAlign w:val="bottom"/>
            <w:gridSpan w:val="3"/>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(6 )   $</w:t>
            </w:r>
          </w:p>
        </w:tc>
        <w:tc>
          <w:tcPr>
            <w:tcW w:w="82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(5 )</w:t>
            </w:r>
          </w:p>
        </w:tc>
        <w:tc>
          <w:tcPr>
            <w:tcW w:w="500" w:type="dxa"/>
            <w:vAlign w:val="bottom"/>
            <w:shd w:val="clear" w:color="auto" w:fill="CFF0FC"/>
          </w:tcPr>
          <w:p>
            <w:pPr>
              <w:jc w:val="right"/>
              <w:ind w:right="304"/>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820" w:type="dxa"/>
            <w:vAlign w:val="bottom"/>
            <w:gridSpan w:val="2"/>
            <w:shd w:val="clear" w:color="auto" w:fill="CFF0FC"/>
          </w:tcPr>
          <w:p>
            <w:pPr>
              <w:jc w:val="right"/>
              <w:ind w:right="44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840" w:type="dxa"/>
            <w:vAlign w:val="bottom"/>
            <w:gridSpan w:val="2"/>
            <w:shd w:val="clear" w:color="auto" w:fill="CFF0FC"/>
          </w:tcPr>
          <w:p>
            <w:pPr>
              <w:jc w:val="right"/>
              <w:ind w:right="46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34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80"/>
        <w:spacing w:after="0"/>
        <w:rPr>
          <w:sz w:val="20"/>
          <w:szCs w:val="20"/>
          <w:color w:val="auto"/>
        </w:rPr>
      </w:pPr>
      <w:r>
        <w:rPr>
          <w:rFonts w:ascii="Calibri" w:cs="Calibri" w:eastAsia="Calibri" w:hAnsi="Calibri"/>
          <w:sz w:val="18"/>
          <w:szCs w:val="18"/>
          <w:i w:val="1"/>
          <w:iCs w:val="1"/>
          <w:color w:val="auto"/>
        </w:rPr>
        <w:t>Forward Foreign Currency Contracts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At both September 30, 2023 and 2022, the Company had foreign currency forward contracts that were not designated as hedges for accountng purposes. Although these derivatves do not qualify for hedge accountng, Cabot believes that such instruments are closely correlated with the underlying exposure, thus managing the associated risk. The gains or losses from changes in the fair value of derivatve instruments that are not accounted for as hedges are recognized in current period earnings.</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At both September 30, 2023 and 2022, the fair value of derivatve instruments not designated as hedges was less than $1 million and was presented in Accounts payable and accrued liabilites on the Consolidated Balance Sheets.</w:t>
      </w:r>
    </w:p>
    <w:p>
      <w:pPr>
        <w:spacing w:after="0" w:line="21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6" w:name="page57"/>
    <w:bookmarkEnd w:id="56"/>
    <w:p>
      <w:pPr>
        <w:spacing w:after="0"/>
        <w:rPr>
          <w:sz w:val="20"/>
          <w:szCs w:val="20"/>
          <w:color w:val="auto"/>
        </w:rPr>
      </w:pPr>
      <w:r>
        <w:rPr>
          <w:rFonts w:ascii="Calibri" w:cs="Calibri" w:eastAsia="Calibri" w:hAnsi="Calibri"/>
          <w:sz w:val="18"/>
          <w:szCs w:val="18"/>
          <w:b w:val="1"/>
          <w:bCs w:val="1"/>
          <w:color w:val="auto"/>
        </w:rPr>
        <w:t>Note L. Insurance Recoveries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Pepinster, Belgium</w:t>
      </w:r>
    </w:p>
    <w:p>
      <w:pPr>
        <w:spacing w:after="0" w:line="69" w:lineRule="exact"/>
        <w:rPr>
          <w:sz w:val="20"/>
          <w:szCs w:val="20"/>
          <w:color w:val="auto"/>
        </w:rPr>
      </w:pPr>
    </w:p>
    <w:p>
      <w:pPr>
        <w:jc w:val="both"/>
        <w:ind w:right="40" w:firstLine="591"/>
        <w:spacing w:after="0" w:line="235" w:lineRule="auto"/>
        <w:rPr>
          <w:sz w:val="20"/>
          <w:szCs w:val="20"/>
          <w:color w:val="auto"/>
        </w:rPr>
      </w:pPr>
      <w:r>
        <w:rPr>
          <w:rFonts w:ascii="Calibri" w:cs="Calibri" w:eastAsia="Calibri" w:hAnsi="Calibri"/>
          <w:sz w:val="18"/>
          <w:szCs w:val="18"/>
          <w:color w:val="auto"/>
        </w:rPr>
        <w:t>In July 2021, the Company’s Specialty Compounds manufacturing and research and development facility in Pepinster, Belgium experienced signifcant fooding. Full producton, which was temporarily halted, resumed in the second quarter of fscal 2022. The Company agreed to a fnal insurance setlement in fscal 2023 for total proceeds of $33 million.</w:t>
      </w:r>
    </w:p>
    <w:p>
      <w:pPr>
        <w:spacing w:after="0" w:line="84" w:lineRule="exact"/>
        <w:rPr>
          <w:sz w:val="20"/>
          <w:szCs w:val="20"/>
          <w:color w:val="auto"/>
        </w:rPr>
      </w:pPr>
    </w:p>
    <w:p>
      <w:pPr>
        <w:ind w:firstLine="433"/>
        <w:spacing w:after="0" w:line="235" w:lineRule="auto"/>
        <w:rPr>
          <w:sz w:val="20"/>
          <w:szCs w:val="20"/>
          <w:color w:val="auto"/>
        </w:rPr>
      </w:pPr>
      <w:r>
        <w:rPr>
          <w:rFonts w:ascii="Calibri" w:cs="Calibri" w:eastAsia="Calibri" w:hAnsi="Calibri"/>
          <w:sz w:val="18"/>
          <w:szCs w:val="18"/>
          <w:color w:val="auto"/>
        </w:rPr>
        <w:t>During fscal 2023, 2022 and 2021, the Company recorded expenses of nil, $6 million and $17 million for clean-up costs, inventory, and fxed asset impairments and simultaneously recognized a fully ofsetng loss recovery from expected insurance proceeds. During fscal 2023, the Company recognized gains of $9 million related to lost margin and the replacement value of fxed assets exceeding their net book value. The food-related expenses, loss recoveries and gains are included within Cost of sales in the Consolidated Statements of Operatons in fscal 2023, 2022 and 2021.</w:t>
      </w:r>
    </w:p>
    <w:p>
      <w:pPr>
        <w:spacing w:after="0" w:line="71" w:lineRule="exact"/>
        <w:rPr>
          <w:sz w:val="20"/>
          <w:szCs w:val="20"/>
          <w:color w:val="auto"/>
        </w:rPr>
      </w:pPr>
    </w:p>
    <w:p>
      <w:pPr>
        <w:ind w:right="160" w:firstLine="433"/>
        <w:spacing w:after="0" w:line="235" w:lineRule="auto"/>
        <w:rPr>
          <w:sz w:val="20"/>
          <w:szCs w:val="20"/>
          <w:color w:val="auto"/>
        </w:rPr>
      </w:pPr>
      <w:r>
        <w:rPr>
          <w:rFonts w:ascii="Calibri" w:cs="Calibri" w:eastAsia="Calibri" w:hAnsi="Calibri"/>
          <w:sz w:val="18"/>
          <w:szCs w:val="18"/>
          <w:color w:val="auto"/>
        </w:rPr>
        <w:t>During fscal 2023, 2022 and 2021, the Company received insurance proceeds of $14 million, $11 million and $8 million, respectvely. Of the proceeds received, $12 million, $1 million and $2 million, is included in Cash provided by investng actvites and $2 million, $10 million and $6 million, is included in Cash provided by operatng actvites for fscal 2023, 2022 and 2021, respectvely, in the Consolidated Statements of Cash Flows.</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Franklin, Louisiana</w:t>
      </w:r>
    </w:p>
    <w:p>
      <w:pPr>
        <w:spacing w:after="0" w:line="82" w:lineRule="exact"/>
        <w:rPr>
          <w:sz w:val="20"/>
          <w:szCs w:val="20"/>
          <w:color w:val="auto"/>
        </w:rPr>
      </w:pPr>
    </w:p>
    <w:p>
      <w:pPr>
        <w:ind w:right="80" w:firstLine="484"/>
        <w:spacing w:after="0" w:line="235" w:lineRule="auto"/>
        <w:rPr>
          <w:sz w:val="20"/>
          <w:szCs w:val="20"/>
          <w:color w:val="auto"/>
        </w:rPr>
      </w:pPr>
      <w:r>
        <w:rPr>
          <w:rFonts w:ascii="Calibri" w:cs="Calibri" w:eastAsia="Calibri" w:hAnsi="Calibri"/>
          <w:sz w:val="18"/>
          <w:szCs w:val="18"/>
          <w:color w:val="auto"/>
        </w:rPr>
        <w:t>In August 2021, the Company’s specialty carbons and reinforcing carbons manufacturing facility in Franklin, Louisiana experienced an unplanned plant outage due to equipment failure. During fscal 2022, the Company received insurance proceeds of $8 million for business interrupton. These proceeds were included within Cost of sales in the Consolidated Statements of Operatons and in Cash Provided by operatng actvites in the Consolidated Statements of Cash Flows for the fscal year ended September 30, 2022.</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M. Employee Beneft Plans</w:t>
      </w:r>
    </w:p>
    <w:p>
      <w:pPr>
        <w:spacing w:after="0" w:line="82"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The informaton below provides detail concerning the Company’s beneft obligatons under the defned beneft and postretrement beneft plans it sponsors.</w:t>
      </w:r>
    </w:p>
    <w:p>
      <w:pPr>
        <w:spacing w:after="0" w:line="83" w:lineRule="exact"/>
        <w:rPr>
          <w:sz w:val="20"/>
          <w:szCs w:val="20"/>
          <w:color w:val="auto"/>
        </w:rPr>
      </w:pPr>
    </w:p>
    <w:p>
      <w:pPr>
        <w:ind w:right="380" w:firstLine="509"/>
        <w:spacing w:after="0" w:line="239" w:lineRule="auto"/>
        <w:rPr>
          <w:sz w:val="20"/>
          <w:szCs w:val="20"/>
          <w:color w:val="auto"/>
        </w:rPr>
      </w:pPr>
      <w:r>
        <w:rPr>
          <w:rFonts w:ascii="Calibri" w:cs="Calibri" w:eastAsia="Calibri" w:hAnsi="Calibri"/>
          <w:sz w:val="18"/>
          <w:szCs w:val="18"/>
          <w:color w:val="auto"/>
        </w:rPr>
        <w:t>Defned beneft plans provide pre-determined benefts to employees that are distributed upon retrement. Cabot is making all sponsor required contributons to these plans. The accumulated beneft obligaton was $2 million for the U.S. defned beneft plan and $131 million for the foreign defned beneft plans as of September 30, 2023 and $2 million for the U.S. defned beneft plans and $125 million for the foreign defned beneft plans as of September 30, 2022. The U.S. defned beneft plan is the frozen Supplemental Cash Balance Plan.</w:t>
      </w:r>
    </w:p>
    <w:p>
      <w:pPr>
        <w:spacing w:after="0" w:line="83" w:lineRule="exact"/>
        <w:rPr>
          <w:sz w:val="20"/>
          <w:szCs w:val="20"/>
          <w:color w:val="auto"/>
        </w:rPr>
      </w:pPr>
    </w:p>
    <w:p>
      <w:pPr>
        <w:ind w:right="460" w:firstLine="509"/>
        <w:spacing w:after="0" w:line="235" w:lineRule="auto"/>
        <w:rPr>
          <w:sz w:val="20"/>
          <w:szCs w:val="20"/>
          <w:color w:val="auto"/>
        </w:rPr>
      </w:pPr>
      <w:r>
        <w:rPr>
          <w:rFonts w:ascii="Calibri" w:cs="Calibri" w:eastAsia="Calibri" w:hAnsi="Calibri"/>
          <w:sz w:val="18"/>
          <w:szCs w:val="18"/>
          <w:color w:val="auto"/>
        </w:rPr>
        <w:t>The following provides informaton about projected beneft obligatons, plan assets, the funded status and weighted-average assumptons of the defned beneft pension and postretrement beneft plans: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7"/>
          </w:tcPr>
          <w:p>
            <w:pPr>
              <w:jc w:val="right"/>
              <w:ind w:right="280"/>
              <w:spacing w:after="0"/>
              <w:rPr>
                <w:sz w:val="20"/>
                <w:szCs w:val="20"/>
                <w:color w:val="auto"/>
              </w:rPr>
            </w:pPr>
            <w:r>
              <w:rPr>
                <w:rFonts w:ascii="Calibri" w:cs="Calibri" w:eastAsia="Calibri" w:hAnsi="Calibri"/>
                <w:sz w:val="14"/>
                <w:szCs w:val="14"/>
                <w:b w:val="1"/>
                <w:bCs w:val="1"/>
                <w:color w:val="auto"/>
              </w:rPr>
              <w:t>Years Ended September 30</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gridSpan w:val="4"/>
          </w:tcPr>
          <w:p>
            <w:pPr>
              <w:jc w:val="right"/>
              <w:ind w:right="10"/>
              <w:spacing w:after="0" w:line="164" w:lineRule="exact"/>
              <w:rPr>
                <w:sz w:val="20"/>
                <w:szCs w:val="20"/>
                <w:color w:val="auto"/>
              </w:rPr>
            </w:pPr>
            <w:r>
              <w:rPr>
                <w:rFonts w:ascii="Calibri" w:cs="Calibri" w:eastAsia="Calibri" w:hAnsi="Calibri"/>
                <w:sz w:val="14"/>
                <w:szCs w:val="14"/>
                <w:b w:val="1"/>
                <w:bCs w:val="1"/>
                <w:color w:val="auto"/>
              </w:rPr>
              <w:t>2022</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Pension</w:t>
            </w:r>
          </w:p>
        </w:tc>
        <w:tc>
          <w:tcPr>
            <w:tcW w:w="240" w:type="dxa"/>
            <w:vAlign w:val="bottom"/>
          </w:tcPr>
          <w:p>
            <w:pPr>
              <w:spacing w:after="0"/>
              <w:rPr>
                <w:sz w:val="14"/>
                <w:szCs w:val="14"/>
                <w:color w:val="auto"/>
              </w:rPr>
            </w:pPr>
          </w:p>
        </w:tc>
        <w:tc>
          <w:tcPr>
            <w:tcW w:w="500" w:type="dxa"/>
            <w:vAlign w:val="bottom"/>
          </w:tcPr>
          <w:p>
            <w:pPr>
              <w:spacing w:after="0" w:line="164" w:lineRule="exact"/>
              <w:rPr>
                <w:sz w:val="20"/>
                <w:szCs w:val="20"/>
                <w:color w:val="auto"/>
              </w:rPr>
            </w:pPr>
            <w:r>
              <w:rPr>
                <w:rFonts w:ascii="Calibri" w:cs="Calibri" w:eastAsia="Calibri" w:hAnsi="Calibri"/>
                <w:sz w:val="14"/>
                <w:szCs w:val="14"/>
                <w:b w:val="1"/>
                <w:bCs w:val="1"/>
                <w:color w:val="auto"/>
              </w:rPr>
              <w:t>Benefts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6"/>
          </w:tcPr>
          <w:p>
            <w:pPr>
              <w:jc w:val="right"/>
              <w:ind w:right="260"/>
              <w:spacing w:after="0" w:line="164" w:lineRule="exact"/>
              <w:rPr>
                <w:sz w:val="20"/>
                <w:szCs w:val="20"/>
                <w:color w:val="auto"/>
              </w:rPr>
            </w:pPr>
            <w:r>
              <w:rPr>
                <w:rFonts w:ascii="Calibri" w:cs="Calibri" w:eastAsia="Calibri" w:hAnsi="Calibri"/>
                <w:sz w:val="14"/>
                <w:szCs w:val="14"/>
                <w:b w:val="1"/>
                <w:bCs w:val="1"/>
                <w:color w:val="auto"/>
              </w:rPr>
              <w:t>Postretrement Benefts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163"/>
        </w:trPr>
        <w:tc>
          <w:tcPr>
            <w:tcW w:w="4000" w:type="dxa"/>
            <w:vAlign w:val="bottom"/>
          </w:tcPr>
          <w:p>
            <w:pPr>
              <w:spacing w:after="0"/>
              <w:rPr>
                <w:sz w:val="14"/>
                <w:szCs w:val="14"/>
                <w:color w:val="auto"/>
              </w:rPr>
            </w:pPr>
          </w:p>
        </w:tc>
        <w:tc>
          <w:tcPr>
            <w:tcW w:w="5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U.S.</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jc w:val="right"/>
              <w:ind w:right="380"/>
              <w:spacing w:after="0" w:line="164" w:lineRule="exact"/>
              <w:rPr>
                <w:sz w:val="20"/>
                <w:szCs w:val="20"/>
                <w:color w:val="auto"/>
              </w:rPr>
            </w:pPr>
            <w:r>
              <w:rPr>
                <w:rFonts w:ascii="Calibri" w:cs="Calibri" w:eastAsia="Calibri" w:hAnsi="Calibri"/>
                <w:sz w:val="14"/>
                <w:szCs w:val="14"/>
                <w:b w:val="1"/>
                <w:bCs w:val="1"/>
                <w:color w:val="auto"/>
              </w:rPr>
              <w:t>Foreign</w:t>
            </w:r>
          </w:p>
        </w:tc>
        <w:tc>
          <w:tcPr>
            <w:tcW w:w="500" w:type="dxa"/>
            <w:vAlign w:val="bottom"/>
            <w:tcBorders>
              <w:top w:val="single" w:sz="8" w:color="auto"/>
            </w:tcBorders>
          </w:tcPr>
          <w:p>
            <w:pPr>
              <w:ind w:left="220"/>
              <w:spacing w:after="0" w:line="164" w:lineRule="exact"/>
              <w:rPr>
                <w:sz w:val="20"/>
                <w:szCs w:val="20"/>
                <w:color w:val="auto"/>
              </w:rPr>
            </w:pPr>
            <w:r>
              <w:rPr>
                <w:rFonts w:ascii="Calibri" w:cs="Calibri" w:eastAsia="Calibri" w:hAnsi="Calibri"/>
                <w:sz w:val="14"/>
                <w:szCs w:val="14"/>
                <w:b w:val="1"/>
                <w:bCs w:val="1"/>
                <w:color w:val="auto"/>
              </w:rPr>
              <w:t>U.S.</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33"/>
              <w:spacing w:after="0" w:line="164" w:lineRule="exact"/>
              <w:rPr>
                <w:sz w:val="20"/>
                <w:szCs w:val="20"/>
                <w:color w:val="auto"/>
              </w:rPr>
            </w:pPr>
            <w:r>
              <w:rPr>
                <w:rFonts w:ascii="Calibri" w:cs="Calibri" w:eastAsia="Calibri" w:hAnsi="Calibri"/>
                <w:sz w:val="14"/>
                <w:szCs w:val="14"/>
                <w:b w:val="1"/>
                <w:bCs w:val="1"/>
                <w:color w:val="auto"/>
              </w:rPr>
              <w:t>Foreign</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jc w:val="right"/>
              <w:ind w:right="420"/>
              <w:spacing w:after="0" w:line="164" w:lineRule="exact"/>
              <w:rPr>
                <w:sz w:val="20"/>
                <w:szCs w:val="20"/>
                <w:color w:val="auto"/>
              </w:rPr>
            </w:pPr>
            <w:r>
              <w:rPr>
                <w:rFonts w:ascii="Calibri" w:cs="Calibri" w:eastAsia="Calibri" w:hAnsi="Calibri"/>
                <w:sz w:val="14"/>
                <w:szCs w:val="14"/>
                <w:b w:val="1"/>
                <w:bCs w:val="1"/>
                <w:color w:val="auto"/>
              </w:rPr>
              <w:t>U.S.</w:t>
            </w: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right"/>
              <w:ind w:right="340"/>
              <w:spacing w:after="0" w:line="164" w:lineRule="exact"/>
              <w:rPr>
                <w:sz w:val="20"/>
                <w:szCs w:val="20"/>
                <w:color w:val="auto"/>
              </w:rPr>
            </w:pPr>
            <w:r>
              <w:rPr>
                <w:rFonts w:ascii="Calibri" w:cs="Calibri" w:eastAsia="Calibri" w:hAnsi="Calibri"/>
                <w:sz w:val="14"/>
                <w:szCs w:val="14"/>
                <w:b w:val="1"/>
                <w:bCs w:val="1"/>
                <w:color w:val="auto"/>
                <w:w w:val="96"/>
              </w:rPr>
              <w:t>Foreign</w:t>
            </w: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jc w:val="right"/>
              <w:ind w:right="420"/>
              <w:spacing w:after="0" w:line="164" w:lineRule="exact"/>
              <w:rPr>
                <w:sz w:val="20"/>
                <w:szCs w:val="20"/>
                <w:color w:val="auto"/>
              </w:rPr>
            </w:pPr>
            <w:r>
              <w:rPr>
                <w:rFonts w:ascii="Calibri" w:cs="Calibri" w:eastAsia="Calibri" w:hAnsi="Calibri"/>
                <w:sz w:val="14"/>
                <w:szCs w:val="14"/>
                <w:b w:val="1"/>
                <w:bCs w:val="1"/>
                <w:color w:val="auto"/>
              </w:rPr>
              <w:t>U.S.</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52"/>
              <w:spacing w:after="0" w:line="164" w:lineRule="exact"/>
              <w:rPr>
                <w:sz w:val="20"/>
                <w:szCs w:val="20"/>
                <w:color w:val="auto"/>
              </w:rPr>
            </w:pPr>
            <w:r>
              <w:rPr>
                <w:rFonts w:ascii="Calibri" w:cs="Calibri" w:eastAsia="Calibri" w:hAnsi="Calibri"/>
                <w:sz w:val="14"/>
                <w:szCs w:val="14"/>
                <w:b w:val="1"/>
                <w:bCs w:val="1"/>
                <w:color w:val="auto"/>
              </w:rPr>
              <w:t>Foreign</w:t>
            </w:r>
          </w:p>
        </w:tc>
        <w:tc>
          <w:tcPr>
            <w:tcW w:w="100" w:type="dxa"/>
            <w:vAlign w:val="bottom"/>
          </w:tcPr>
          <w:p>
            <w:pPr>
              <w:spacing w:after="0"/>
              <w:rPr>
                <w:sz w:val="14"/>
                <w:szCs w:val="14"/>
                <w:color w:val="auto"/>
              </w:rPr>
            </w:pPr>
          </w:p>
        </w:tc>
      </w:tr>
      <w:tr>
        <w:trPr>
          <w:trHeight w:val="33"/>
        </w:trPr>
        <w:tc>
          <w:tcPr>
            <w:tcW w:w="4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(In millions)</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0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Change in Beneft Obligatons:</w:t>
            </w:r>
          </w:p>
        </w:tc>
        <w:tc>
          <w:tcPr>
            <w:tcW w:w="5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7"/>
        </w:trPr>
        <w:tc>
          <w:tcPr>
            <w:tcW w:w="4000" w:type="dxa"/>
            <w:vAlign w:val="bottom"/>
          </w:tcPr>
          <w:p>
            <w:pPr>
              <w:ind w:left="20"/>
              <w:spacing w:after="0" w:line="207" w:lineRule="exact"/>
              <w:rPr>
                <w:sz w:val="20"/>
                <w:szCs w:val="20"/>
                <w:color w:val="auto"/>
              </w:rPr>
            </w:pPr>
            <w:r>
              <w:rPr>
                <w:rFonts w:ascii="Calibri" w:cs="Calibri" w:eastAsia="Calibri" w:hAnsi="Calibri"/>
                <w:sz w:val="18"/>
                <w:szCs w:val="18"/>
                <w:color w:val="auto"/>
              </w:rPr>
              <w:t>Beneft obligaton at beginning of</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000" w:type="dxa"/>
            <w:vAlign w:val="bottom"/>
          </w:tcPr>
          <w:p>
            <w:pPr>
              <w:ind w:left="140"/>
              <w:spacing w:after="0" w:line="215" w:lineRule="exact"/>
              <w:rPr>
                <w:sz w:val="20"/>
                <w:szCs w:val="20"/>
                <w:color w:val="auto"/>
              </w:rPr>
            </w:pPr>
            <w:r>
              <w:rPr>
                <w:rFonts w:ascii="Calibri" w:cs="Calibri" w:eastAsia="Calibri" w:hAnsi="Calibri"/>
                <w:sz w:val="18"/>
                <w:szCs w:val="18"/>
                <w:color w:val="auto"/>
              </w:rPr>
              <w:t>year</w:t>
            </w:r>
          </w:p>
        </w:tc>
        <w:tc>
          <w:tcPr>
            <w:tcW w:w="500" w:type="dxa"/>
            <w:vAlign w:val="bottom"/>
          </w:tcPr>
          <w:p>
            <w:pPr>
              <w:jc w:val="right"/>
              <w:ind w:right="316"/>
              <w:spacing w:after="0" w:line="215" w:lineRule="exact"/>
              <w:rPr>
                <w:sz w:val="20"/>
                <w:szCs w:val="20"/>
                <w:color w:val="auto"/>
              </w:rPr>
            </w:pPr>
            <w:r>
              <w:rPr>
                <w:rFonts w:ascii="Calibri" w:cs="Calibri" w:eastAsia="Calibri" w:hAnsi="Calibri"/>
                <w:sz w:val="18"/>
                <w:szCs w:val="18"/>
                <w:color w:val="auto"/>
                <w:w w:val="87"/>
              </w:rPr>
              <w:t>$</w:t>
            </w: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133</w:t>
            </w:r>
          </w:p>
        </w:tc>
        <w:tc>
          <w:tcPr>
            <w:tcW w:w="240" w:type="dxa"/>
            <w:vAlign w:val="bottom"/>
          </w:tcPr>
          <w:p>
            <w:pPr>
              <w:spacing w:after="0"/>
              <w:rPr>
                <w:sz w:val="18"/>
                <w:szCs w:val="18"/>
                <w:color w:val="auto"/>
              </w:rPr>
            </w:pPr>
          </w:p>
        </w:tc>
        <w:tc>
          <w:tcPr>
            <w:tcW w:w="500" w:type="dxa"/>
            <w:vAlign w:val="bottom"/>
          </w:tcPr>
          <w:p>
            <w:pPr>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20" w:type="dxa"/>
            <w:vAlign w:val="bottom"/>
          </w:tcPr>
          <w:p>
            <w:pPr>
              <w:spacing w:after="0"/>
              <w:rPr>
                <w:sz w:val="18"/>
                <w:szCs w:val="18"/>
                <w:color w:val="auto"/>
              </w:rPr>
            </w:pPr>
          </w:p>
        </w:tc>
        <w:tc>
          <w:tcPr>
            <w:tcW w:w="2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221</w:t>
            </w:r>
          </w:p>
        </w:tc>
        <w:tc>
          <w:tcPr>
            <w:tcW w:w="22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16</w:t>
            </w:r>
          </w:p>
        </w:tc>
        <w:tc>
          <w:tcPr>
            <w:tcW w:w="20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220" w:type="dxa"/>
            <w:vAlign w:val="bottom"/>
          </w:tcPr>
          <w:p>
            <w:pPr>
              <w:spacing w:after="0"/>
              <w:rPr>
                <w:sz w:val="18"/>
                <w:szCs w:val="18"/>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25</w:t>
            </w:r>
          </w:p>
        </w:tc>
        <w:tc>
          <w:tcPr>
            <w:tcW w:w="20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19</w:t>
            </w:r>
          </w:p>
        </w:tc>
        <w:tc>
          <w:tcPr>
            <w:tcW w:w="100" w:type="dxa"/>
            <w:vAlign w:val="bottom"/>
          </w:tcPr>
          <w:p>
            <w:pPr>
              <w:spacing w:after="0"/>
              <w:rPr>
                <w:sz w:val="18"/>
                <w:szCs w:val="18"/>
                <w:color w:val="auto"/>
              </w:rPr>
            </w:pPr>
          </w:p>
        </w:tc>
      </w:tr>
      <w:tr>
        <w:trPr>
          <w:trHeight w:val="37"/>
        </w:trPr>
        <w:tc>
          <w:tcPr>
            <w:tcW w:w="40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40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Service cost</w:t>
            </w:r>
          </w:p>
        </w:tc>
        <w:tc>
          <w:tcPr>
            <w:tcW w:w="5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400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cost</w:t>
            </w:r>
          </w:p>
        </w:tc>
        <w:tc>
          <w:tcPr>
            <w:tcW w:w="50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r>
      <w:tr>
        <w:trPr>
          <w:trHeight w:val="28"/>
        </w:trPr>
        <w:tc>
          <w:tcPr>
            <w:tcW w:w="4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0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Plan partcipants’ contributon</w:t>
            </w:r>
          </w:p>
        </w:tc>
        <w:tc>
          <w:tcPr>
            <w:tcW w:w="5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07"/>
        </w:trPr>
        <w:tc>
          <w:tcPr>
            <w:tcW w:w="4000" w:type="dxa"/>
            <w:vAlign w:val="bottom"/>
          </w:tcPr>
          <w:p>
            <w:pPr>
              <w:ind w:left="20"/>
              <w:spacing w:after="0" w:line="207" w:lineRule="exact"/>
              <w:rPr>
                <w:sz w:val="20"/>
                <w:szCs w:val="20"/>
                <w:color w:val="auto"/>
              </w:rPr>
            </w:pPr>
            <w:r>
              <w:rPr>
                <w:rFonts w:ascii="Calibri" w:cs="Calibri" w:eastAsia="Calibri" w:hAnsi="Calibri"/>
                <w:sz w:val="18"/>
                <w:szCs w:val="18"/>
                <w:color w:val="auto"/>
              </w:rPr>
              <w:t>Foreign currency exchange rate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000" w:type="dxa"/>
            <w:vAlign w:val="bottom"/>
          </w:tcPr>
          <w:p>
            <w:pPr>
              <w:ind w:left="140"/>
              <w:spacing w:after="0" w:line="215" w:lineRule="exact"/>
              <w:rPr>
                <w:sz w:val="20"/>
                <w:szCs w:val="20"/>
                <w:color w:val="auto"/>
              </w:rPr>
            </w:pPr>
            <w:r>
              <w:rPr>
                <w:rFonts w:ascii="Calibri" w:cs="Calibri" w:eastAsia="Calibri" w:hAnsi="Calibri"/>
                <w:sz w:val="18"/>
                <w:szCs w:val="18"/>
                <w:color w:val="auto"/>
              </w:rPr>
              <w:t>changes</w:t>
            </w:r>
          </w:p>
        </w:tc>
        <w:tc>
          <w:tcPr>
            <w:tcW w:w="50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(27 )</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(2 )</w:t>
            </w:r>
          </w:p>
        </w:tc>
      </w:tr>
      <w:tr>
        <w:trPr>
          <w:trHeight w:val="37"/>
        </w:trPr>
        <w:tc>
          <w:tcPr>
            <w:tcW w:w="40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7"/>
        </w:trPr>
        <w:tc>
          <w:tcPr>
            <w:tcW w:w="4000" w:type="dxa"/>
            <w:vAlign w:val="bottom"/>
            <w:shd w:val="clear" w:color="auto" w:fill="CFF0FC"/>
          </w:tcPr>
          <w:p>
            <w:pPr>
              <w:ind w:left="20"/>
              <w:spacing w:after="0" w:line="207" w:lineRule="exact"/>
              <w:rPr>
                <w:sz w:val="20"/>
                <w:szCs w:val="20"/>
                <w:color w:val="auto"/>
              </w:rPr>
            </w:pPr>
            <w:r>
              <w:rPr>
                <w:rFonts w:ascii="Calibri" w:cs="Calibri" w:eastAsia="Calibri" w:hAnsi="Calibri"/>
                <w:sz w:val="18"/>
                <w:szCs w:val="18"/>
                <w:color w:val="auto"/>
              </w:rPr>
              <w:t>(Gain) loss from changes in actuarial</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400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assumptons and plan experience</w:t>
            </w:r>
          </w:p>
        </w:tc>
        <w:tc>
          <w:tcPr>
            <w:tcW w:w="5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(4 )</w:t>
            </w:r>
          </w:p>
        </w:tc>
        <w:tc>
          <w:tcPr>
            <w:tcW w:w="5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w w:val="99"/>
              </w:rPr>
              <w:t>(1 )</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(43 )</w:t>
            </w:r>
          </w:p>
        </w:tc>
        <w:tc>
          <w:tcPr>
            <w:tcW w:w="18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(1 )</w:t>
            </w:r>
          </w:p>
        </w:tc>
        <w:tc>
          <w:tcPr>
            <w:tcW w:w="1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(3 )</w:t>
            </w:r>
          </w:p>
        </w:tc>
        <w:tc>
          <w:tcPr>
            <w:tcW w:w="16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(4 )</w:t>
            </w:r>
          </w:p>
        </w:tc>
        <w:tc>
          <w:tcPr>
            <w:tcW w:w="1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(5 )</w:t>
            </w:r>
          </w:p>
        </w:tc>
      </w:tr>
      <w:tr>
        <w:trPr>
          <w:trHeight w:val="215"/>
        </w:trPr>
        <w:tc>
          <w:tcPr>
            <w:tcW w:w="4000" w:type="dxa"/>
            <w:vAlign w:val="bottom"/>
          </w:tcPr>
          <w:p>
            <w:pPr>
              <w:ind w:left="20"/>
              <w:spacing w:after="0" w:line="215" w:lineRule="exact"/>
              <w:rPr>
                <w:sz w:val="20"/>
                <w:szCs w:val="20"/>
                <w:color w:val="auto"/>
              </w:rPr>
            </w:pPr>
            <w:r>
              <w:rPr>
                <w:rFonts w:ascii="Calibri" w:cs="Calibri" w:eastAsia="Calibri" w:hAnsi="Calibri"/>
                <w:sz w:val="18"/>
                <w:szCs w:val="18"/>
                <w:color w:val="auto"/>
              </w:rPr>
              <w:t>Benefts paid</w:t>
            </w:r>
          </w:p>
        </w:tc>
        <w:tc>
          <w:tcPr>
            <w:tcW w:w="50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(5 )</w:t>
            </w:r>
          </w:p>
        </w:tc>
        <w:tc>
          <w:tcPr>
            <w:tcW w:w="500" w:type="dxa"/>
            <w:vAlign w:val="bottom"/>
          </w:tcPr>
          <w:p>
            <w:pPr>
              <w:spacing w:after="0"/>
              <w:rPr>
                <w:sz w:val="18"/>
                <w:szCs w:val="18"/>
                <w:color w:val="auto"/>
              </w:rPr>
            </w:pPr>
          </w:p>
        </w:tc>
        <w:tc>
          <w:tcPr>
            <w:tcW w:w="3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(9 )</w:t>
            </w:r>
          </w:p>
        </w:tc>
        <w:tc>
          <w:tcPr>
            <w:tcW w:w="180" w:type="dxa"/>
            <w:vAlign w:val="bottom"/>
          </w:tcPr>
          <w:p>
            <w:pPr>
              <w:spacing w:after="0"/>
              <w:rPr>
                <w:sz w:val="18"/>
                <w:szCs w:val="18"/>
                <w:color w:val="auto"/>
              </w:rPr>
            </w:pPr>
          </w:p>
        </w:tc>
        <w:tc>
          <w:tcPr>
            <w:tcW w:w="7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(2 )</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(1 )</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(3 )</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4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0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Setlements or curtailments</w:t>
            </w:r>
          </w:p>
        </w:tc>
        <w:tc>
          <w:tcPr>
            <w:tcW w:w="5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(2 )</w:t>
            </w:r>
          </w:p>
        </w:tc>
        <w:tc>
          <w:tcPr>
            <w:tcW w:w="5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(2 )</w:t>
            </w:r>
          </w:p>
        </w:tc>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(2 )</w:t>
            </w: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20"/>
        </w:trPr>
        <w:tc>
          <w:tcPr>
            <w:tcW w:w="4000" w:type="dxa"/>
            <w:vAlign w:val="bottom"/>
          </w:tcPr>
          <w:p>
            <w:pPr>
              <w:ind w:left="20"/>
              <w:spacing w:after="0"/>
              <w:rPr>
                <w:sz w:val="20"/>
                <w:szCs w:val="20"/>
                <w:color w:val="auto"/>
              </w:rPr>
            </w:pPr>
            <w:r>
              <w:rPr>
                <w:rFonts w:ascii="Calibri" w:cs="Calibri" w:eastAsia="Calibri" w:hAnsi="Calibri"/>
                <w:sz w:val="18"/>
                <w:szCs w:val="18"/>
                <w:color w:val="auto"/>
              </w:rPr>
              <w:t>Divestture of a business</w:t>
            </w:r>
          </w:p>
        </w:tc>
        <w:tc>
          <w:tcPr>
            <w:tcW w:w="500" w:type="dxa"/>
            <w:vAlign w:val="bottom"/>
          </w:tcPr>
          <w:p>
            <w:pPr>
              <w:spacing w:after="0"/>
              <w:rPr>
                <w:sz w:val="19"/>
                <w:szCs w:val="19"/>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Pr>
          <w:p>
            <w:pPr>
              <w:spacing w:after="0"/>
              <w:rPr>
                <w:sz w:val="19"/>
                <w:szCs w:val="19"/>
                <w:color w:val="auto"/>
              </w:rPr>
            </w:pPr>
          </w:p>
        </w:tc>
        <w:tc>
          <w:tcPr>
            <w:tcW w:w="3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(16 )</w:t>
            </w:r>
          </w:p>
        </w:tc>
        <w:tc>
          <w:tcPr>
            <w:tcW w:w="180" w:type="dxa"/>
            <w:vAlign w:val="bottom"/>
          </w:tcPr>
          <w:p>
            <w:pPr>
              <w:spacing w:after="0"/>
              <w:rPr>
                <w:sz w:val="19"/>
                <w:szCs w:val="19"/>
                <w:color w:val="auto"/>
              </w:rPr>
            </w:pPr>
          </w:p>
        </w:tc>
        <w:tc>
          <w:tcPr>
            <w:tcW w:w="7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4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40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Beneft obligaton at end of year</w:t>
            </w:r>
          </w:p>
        </w:tc>
        <w:tc>
          <w:tcPr>
            <w:tcW w:w="500" w:type="dxa"/>
            <w:vAlign w:val="bottom"/>
            <w:tcBorders>
              <w:bottom w:val="single" w:sz="8" w:color="auto"/>
            </w:tcBorders>
            <w:shd w:val="clear" w:color="auto" w:fill="CFF0FC"/>
          </w:tcPr>
          <w:p>
            <w:pPr>
              <w:jc w:val="right"/>
              <w:ind w:right="316"/>
              <w:spacing w:after="0" w:line="215" w:lineRule="exact"/>
              <w:rPr>
                <w:sz w:val="20"/>
                <w:szCs w:val="20"/>
                <w:color w:val="auto"/>
              </w:rPr>
            </w:pPr>
            <w:r>
              <w:rPr>
                <w:rFonts w:ascii="Calibri" w:cs="Calibri" w:eastAsia="Calibri" w:hAnsi="Calibri"/>
                <w:sz w:val="18"/>
                <w:szCs w:val="18"/>
                <w:color w:val="auto"/>
                <w:w w:val="87"/>
              </w:rPr>
              <w:t>$</w:t>
            </w:r>
          </w:p>
        </w:tc>
        <w:tc>
          <w:tcPr>
            <w:tcW w:w="2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139</w:t>
            </w:r>
          </w:p>
        </w:tc>
        <w:tc>
          <w:tcPr>
            <w:tcW w:w="2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5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133</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5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05"/>
        </w:trPr>
        <w:tc>
          <w:tcPr>
            <w:tcW w:w="4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57</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40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-513715</wp:posOffset>
            </wp:positionV>
            <wp:extent cx="768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-496570</wp:posOffset>
            </wp:positionV>
            <wp:extent cx="768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-513715</wp:posOffset>
            </wp:positionV>
            <wp:extent cx="774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-496570</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-513715</wp:posOffset>
            </wp:positionV>
            <wp:extent cx="774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-496570</wp:posOffset>
            </wp:positionV>
            <wp:extent cx="774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-513715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-496570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-513715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-496570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-513715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-496570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-513715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-496570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7"/>
          </w:tcPr>
          <w:p>
            <w:pPr>
              <w:jc w:val="right"/>
              <w:ind w:right="280"/>
              <w:spacing w:after="0"/>
              <w:rPr>
                <w:sz w:val="20"/>
                <w:szCs w:val="20"/>
                <w:color w:val="auto"/>
              </w:rPr>
            </w:pPr>
            <w:r>
              <w:rPr>
                <w:rFonts w:ascii="Calibri" w:cs="Calibri" w:eastAsia="Calibri" w:hAnsi="Calibri"/>
                <w:sz w:val="14"/>
                <w:szCs w:val="14"/>
                <w:b w:val="1"/>
                <w:bCs w:val="1"/>
                <w:color w:val="auto"/>
              </w:rPr>
              <w:t>Years Ended September 30</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gridSpan w:val="4"/>
          </w:tcPr>
          <w:p>
            <w:pPr>
              <w:jc w:val="right"/>
              <w:ind w:right="10"/>
              <w:spacing w:after="0" w:line="164" w:lineRule="exact"/>
              <w:rPr>
                <w:sz w:val="20"/>
                <w:szCs w:val="20"/>
                <w:color w:val="auto"/>
              </w:rPr>
            </w:pPr>
            <w:r>
              <w:rPr>
                <w:rFonts w:ascii="Calibri" w:cs="Calibri" w:eastAsia="Calibri" w:hAnsi="Calibri"/>
                <w:sz w:val="14"/>
                <w:szCs w:val="14"/>
                <w:b w:val="1"/>
                <w:bCs w:val="1"/>
                <w:color w:val="auto"/>
              </w:rPr>
              <w:t>2022</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Pension</w:t>
            </w:r>
          </w:p>
        </w:tc>
        <w:tc>
          <w:tcPr>
            <w:tcW w:w="240" w:type="dxa"/>
            <w:vAlign w:val="bottom"/>
          </w:tcPr>
          <w:p>
            <w:pPr>
              <w:spacing w:after="0"/>
              <w:rPr>
                <w:sz w:val="14"/>
                <w:szCs w:val="14"/>
                <w:color w:val="auto"/>
              </w:rPr>
            </w:pPr>
          </w:p>
        </w:tc>
        <w:tc>
          <w:tcPr>
            <w:tcW w:w="500" w:type="dxa"/>
            <w:vAlign w:val="bottom"/>
          </w:tcPr>
          <w:p>
            <w:pPr>
              <w:spacing w:after="0" w:line="164" w:lineRule="exact"/>
              <w:rPr>
                <w:sz w:val="20"/>
                <w:szCs w:val="20"/>
                <w:color w:val="auto"/>
              </w:rPr>
            </w:pPr>
            <w:r>
              <w:rPr>
                <w:rFonts w:ascii="Calibri" w:cs="Calibri" w:eastAsia="Calibri" w:hAnsi="Calibri"/>
                <w:sz w:val="14"/>
                <w:szCs w:val="14"/>
                <w:b w:val="1"/>
                <w:bCs w:val="1"/>
                <w:color w:val="auto"/>
              </w:rPr>
              <w:t>Benefts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6"/>
          </w:tcPr>
          <w:p>
            <w:pPr>
              <w:jc w:val="right"/>
              <w:ind w:right="260"/>
              <w:spacing w:after="0" w:line="164" w:lineRule="exact"/>
              <w:rPr>
                <w:sz w:val="20"/>
                <w:szCs w:val="20"/>
                <w:color w:val="auto"/>
              </w:rPr>
            </w:pPr>
            <w:r>
              <w:rPr>
                <w:rFonts w:ascii="Calibri" w:cs="Calibri" w:eastAsia="Calibri" w:hAnsi="Calibri"/>
                <w:sz w:val="14"/>
                <w:szCs w:val="14"/>
                <w:b w:val="1"/>
                <w:bCs w:val="1"/>
                <w:color w:val="auto"/>
              </w:rPr>
              <w:t>Postretrement Benefts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5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U.S.</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jc w:val="right"/>
              <w:ind w:right="380"/>
              <w:spacing w:after="0" w:line="164" w:lineRule="exact"/>
              <w:rPr>
                <w:sz w:val="20"/>
                <w:szCs w:val="20"/>
                <w:color w:val="auto"/>
              </w:rPr>
            </w:pPr>
            <w:r>
              <w:rPr>
                <w:rFonts w:ascii="Calibri" w:cs="Calibri" w:eastAsia="Calibri" w:hAnsi="Calibri"/>
                <w:sz w:val="14"/>
                <w:szCs w:val="14"/>
                <w:b w:val="1"/>
                <w:bCs w:val="1"/>
                <w:color w:val="auto"/>
              </w:rPr>
              <w:t>Foreign</w:t>
            </w:r>
          </w:p>
        </w:tc>
        <w:tc>
          <w:tcPr>
            <w:tcW w:w="500" w:type="dxa"/>
            <w:vAlign w:val="bottom"/>
            <w:tcBorders>
              <w:top w:val="single" w:sz="8" w:color="auto"/>
            </w:tcBorders>
          </w:tcPr>
          <w:p>
            <w:pPr>
              <w:ind w:left="220"/>
              <w:spacing w:after="0" w:line="164" w:lineRule="exact"/>
              <w:rPr>
                <w:sz w:val="20"/>
                <w:szCs w:val="20"/>
                <w:color w:val="auto"/>
              </w:rPr>
            </w:pPr>
            <w:r>
              <w:rPr>
                <w:rFonts w:ascii="Calibri" w:cs="Calibri" w:eastAsia="Calibri" w:hAnsi="Calibri"/>
                <w:sz w:val="14"/>
                <w:szCs w:val="14"/>
                <w:b w:val="1"/>
                <w:bCs w:val="1"/>
                <w:color w:val="auto"/>
              </w:rPr>
              <w:t>U.S.</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33"/>
              <w:spacing w:after="0" w:line="164" w:lineRule="exact"/>
              <w:rPr>
                <w:sz w:val="20"/>
                <w:szCs w:val="20"/>
                <w:color w:val="auto"/>
              </w:rPr>
            </w:pPr>
            <w:r>
              <w:rPr>
                <w:rFonts w:ascii="Calibri" w:cs="Calibri" w:eastAsia="Calibri" w:hAnsi="Calibri"/>
                <w:sz w:val="14"/>
                <w:szCs w:val="14"/>
                <w:b w:val="1"/>
                <w:bCs w:val="1"/>
                <w:color w:val="auto"/>
              </w:rPr>
              <w:t>Foreign</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jc w:val="right"/>
              <w:ind w:right="420"/>
              <w:spacing w:after="0" w:line="164" w:lineRule="exact"/>
              <w:rPr>
                <w:sz w:val="20"/>
                <w:szCs w:val="20"/>
                <w:color w:val="auto"/>
              </w:rPr>
            </w:pPr>
            <w:r>
              <w:rPr>
                <w:rFonts w:ascii="Calibri" w:cs="Calibri" w:eastAsia="Calibri" w:hAnsi="Calibri"/>
                <w:sz w:val="14"/>
                <w:szCs w:val="14"/>
                <w:b w:val="1"/>
                <w:bCs w:val="1"/>
                <w:color w:val="auto"/>
              </w:rPr>
              <w:t>U.S.</w:t>
            </w: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right"/>
              <w:ind w:right="340"/>
              <w:spacing w:after="0" w:line="164" w:lineRule="exact"/>
              <w:rPr>
                <w:sz w:val="20"/>
                <w:szCs w:val="20"/>
                <w:color w:val="auto"/>
              </w:rPr>
            </w:pPr>
            <w:r>
              <w:rPr>
                <w:rFonts w:ascii="Calibri" w:cs="Calibri" w:eastAsia="Calibri" w:hAnsi="Calibri"/>
                <w:sz w:val="14"/>
                <w:szCs w:val="14"/>
                <w:b w:val="1"/>
                <w:bCs w:val="1"/>
                <w:color w:val="auto"/>
                <w:w w:val="96"/>
              </w:rPr>
              <w:t>Foreign</w:t>
            </w: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jc w:val="right"/>
              <w:ind w:right="420"/>
              <w:spacing w:after="0" w:line="164" w:lineRule="exact"/>
              <w:rPr>
                <w:sz w:val="20"/>
                <w:szCs w:val="20"/>
                <w:color w:val="auto"/>
              </w:rPr>
            </w:pPr>
            <w:r>
              <w:rPr>
                <w:rFonts w:ascii="Calibri" w:cs="Calibri" w:eastAsia="Calibri" w:hAnsi="Calibri"/>
                <w:sz w:val="14"/>
                <w:szCs w:val="14"/>
                <w:b w:val="1"/>
                <w:bCs w:val="1"/>
                <w:color w:val="auto"/>
              </w:rPr>
              <w:t>U.S.</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51"/>
              <w:spacing w:after="0" w:line="164" w:lineRule="exact"/>
              <w:rPr>
                <w:sz w:val="20"/>
                <w:szCs w:val="20"/>
                <w:color w:val="auto"/>
              </w:rPr>
            </w:pPr>
            <w:r>
              <w:rPr>
                <w:rFonts w:ascii="Calibri" w:cs="Calibri" w:eastAsia="Calibri" w:hAnsi="Calibri"/>
                <w:sz w:val="14"/>
                <w:szCs w:val="14"/>
                <w:b w:val="1"/>
                <w:bCs w:val="1"/>
                <w:color w:val="auto"/>
              </w:rPr>
              <w:t>Foreign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(In millions)</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Change in Plan Assets:</w:t>
            </w:r>
          </w:p>
        </w:tc>
        <w:tc>
          <w:tcPr>
            <w:tcW w:w="5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00" w:type="dxa"/>
            <w:vAlign w:val="bottom"/>
          </w:tcPr>
          <w:p>
            <w:pPr>
              <w:ind w:left="20"/>
              <w:spacing w:after="0" w:line="207" w:lineRule="exact"/>
              <w:rPr>
                <w:sz w:val="20"/>
                <w:szCs w:val="20"/>
                <w:color w:val="auto"/>
              </w:rPr>
            </w:pPr>
            <w:r>
              <w:rPr>
                <w:rFonts w:ascii="Calibri" w:cs="Calibri" w:eastAsia="Calibri" w:hAnsi="Calibri"/>
                <w:sz w:val="18"/>
                <w:szCs w:val="18"/>
                <w:color w:val="auto"/>
              </w:rPr>
              <w:t>Fair value of plan assets at beginning</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140"/>
              <w:spacing w:after="0" w:line="215" w:lineRule="exact"/>
              <w:rPr>
                <w:sz w:val="20"/>
                <w:szCs w:val="20"/>
                <w:color w:val="auto"/>
              </w:rPr>
            </w:pPr>
            <w:r>
              <w:rPr>
                <w:rFonts w:ascii="Calibri" w:cs="Calibri" w:eastAsia="Calibri" w:hAnsi="Calibri"/>
                <w:sz w:val="18"/>
                <w:szCs w:val="18"/>
                <w:color w:val="auto"/>
              </w:rPr>
              <w:t>of year</w:t>
            </w:r>
          </w:p>
        </w:tc>
        <w:tc>
          <w:tcPr>
            <w:tcW w:w="500" w:type="dxa"/>
            <w:vAlign w:val="bottom"/>
          </w:tcPr>
          <w:p>
            <w:pPr>
              <w:jc w:val="right"/>
              <w:ind w:right="314"/>
              <w:spacing w:after="0" w:line="215" w:lineRule="exact"/>
              <w:rPr>
                <w:sz w:val="20"/>
                <w:szCs w:val="20"/>
                <w:color w:val="auto"/>
              </w:rPr>
            </w:pPr>
            <w:r>
              <w:rPr>
                <w:rFonts w:ascii="Calibri" w:cs="Calibri" w:eastAsia="Calibri" w:hAnsi="Calibri"/>
                <w:sz w:val="18"/>
                <w:szCs w:val="18"/>
                <w:color w:val="auto"/>
                <w:w w:val="87"/>
              </w:rPr>
              <w:t>$</w:t>
            </w:r>
          </w:p>
        </w:tc>
        <w:tc>
          <w:tcPr>
            <w:tcW w:w="4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135</w:t>
            </w:r>
          </w:p>
        </w:tc>
        <w:tc>
          <w:tcPr>
            <w:tcW w:w="240" w:type="dxa"/>
            <w:vAlign w:val="bottom"/>
          </w:tcPr>
          <w:p>
            <w:pPr>
              <w:spacing w:after="0"/>
              <w:rPr>
                <w:sz w:val="18"/>
                <w:szCs w:val="18"/>
                <w:color w:val="auto"/>
              </w:rPr>
            </w:pPr>
          </w:p>
        </w:tc>
        <w:tc>
          <w:tcPr>
            <w:tcW w:w="500" w:type="dxa"/>
            <w:vAlign w:val="bottom"/>
          </w:tcPr>
          <w:p>
            <w:pPr>
              <w:spacing w:after="0" w:line="215" w:lineRule="exact"/>
              <w:rPr>
                <w:sz w:val="20"/>
                <w:szCs w:val="20"/>
                <w:color w:val="auto"/>
              </w:rPr>
            </w:pPr>
            <w:r>
              <w:rPr>
                <w:rFonts w:ascii="Calibri" w:cs="Calibri" w:eastAsia="Calibri" w:hAnsi="Calibri"/>
                <w:sz w:val="18"/>
                <w:szCs w:val="18"/>
                <w:color w:val="auto"/>
              </w:rPr>
              <w:t>$</w:t>
            </w:r>
          </w:p>
        </w:tc>
        <w:tc>
          <w:tcPr>
            <w:tcW w:w="3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217</w:t>
            </w:r>
          </w:p>
        </w:tc>
        <w:tc>
          <w:tcPr>
            <w:tcW w:w="22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7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37"/>
        </w:trPr>
        <w:tc>
          <w:tcPr>
            <w:tcW w:w="40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Actual return on plan assets</w:t>
            </w:r>
          </w:p>
        </w:tc>
        <w:tc>
          <w:tcPr>
            <w:tcW w:w="5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(35 )</w:t>
            </w:r>
          </w:p>
        </w:tc>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line="215" w:lineRule="exact"/>
              <w:rPr>
                <w:sz w:val="20"/>
                <w:szCs w:val="20"/>
                <w:color w:val="auto"/>
              </w:rPr>
            </w:pPr>
            <w:r>
              <w:rPr>
                <w:rFonts w:ascii="Calibri" w:cs="Calibri" w:eastAsia="Calibri" w:hAnsi="Calibri"/>
                <w:sz w:val="18"/>
                <w:szCs w:val="18"/>
                <w:color w:val="auto"/>
              </w:rPr>
              <w:t>Employer contributon</w:t>
            </w:r>
          </w:p>
        </w:tc>
        <w:tc>
          <w:tcPr>
            <w:tcW w:w="500" w:type="dxa"/>
            <w:vAlign w:val="bottom"/>
          </w:tcPr>
          <w:p>
            <w:pPr>
              <w:spacing w:after="0"/>
              <w:rPr>
                <w:sz w:val="18"/>
                <w:szCs w:val="18"/>
                <w:color w:val="auto"/>
              </w:rPr>
            </w:pPr>
          </w:p>
        </w:tc>
        <w:tc>
          <w:tcPr>
            <w:tcW w:w="4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
        </w:trPr>
        <w:tc>
          <w:tcPr>
            <w:tcW w:w="4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Plan partcipants’ contributon</w:t>
            </w:r>
          </w:p>
        </w:tc>
        <w:tc>
          <w:tcPr>
            <w:tcW w:w="5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7"/>
        </w:trPr>
        <w:tc>
          <w:tcPr>
            <w:tcW w:w="4000" w:type="dxa"/>
            <w:vAlign w:val="bottom"/>
          </w:tcPr>
          <w:p>
            <w:pPr>
              <w:ind w:left="20"/>
              <w:spacing w:after="0" w:line="207" w:lineRule="exact"/>
              <w:rPr>
                <w:sz w:val="20"/>
                <w:szCs w:val="20"/>
                <w:color w:val="auto"/>
              </w:rPr>
            </w:pPr>
            <w:r>
              <w:rPr>
                <w:rFonts w:ascii="Calibri" w:cs="Calibri" w:eastAsia="Calibri" w:hAnsi="Calibri"/>
                <w:sz w:val="18"/>
                <w:szCs w:val="18"/>
                <w:color w:val="auto"/>
              </w:rPr>
              <w:t>Foreign currency exchange rate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140"/>
              <w:spacing w:after="0" w:line="215" w:lineRule="exact"/>
              <w:rPr>
                <w:sz w:val="20"/>
                <w:szCs w:val="20"/>
                <w:color w:val="auto"/>
              </w:rPr>
            </w:pPr>
            <w:r>
              <w:rPr>
                <w:rFonts w:ascii="Calibri" w:cs="Calibri" w:eastAsia="Calibri" w:hAnsi="Calibri"/>
                <w:sz w:val="18"/>
                <w:szCs w:val="18"/>
                <w:color w:val="auto"/>
              </w:rPr>
              <w:t>changes</w:t>
            </w:r>
          </w:p>
        </w:tc>
        <w:tc>
          <w:tcPr>
            <w:tcW w:w="500" w:type="dxa"/>
            <w:vAlign w:val="bottom"/>
          </w:tcPr>
          <w:p>
            <w:pPr>
              <w:spacing w:after="0"/>
              <w:rPr>
                <w:sz w:val="18"/>
                <w:szCs w:val="18"/>
                <w:color w:val="auto"/>
              </w:rPr>
            </w:pPr>
          </w:p>
        </w:tc>
        <w:tc>
          <w:tcPr>
            <w:tcW w:w="4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(24 )</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37"/>
        </w:trPr>
        <w:tc>
          <w:tcPr>
            <w:tcW w:w="40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Benefts paid</w:t>
            </w:r>
          </w:p>
        </w:tc>
        <w:tc>
          <w:tcPr>
            <w:tcW w:w="5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(5 )</w:t>
            </w:r>
          </w:p>
        </w:tc>
        <w:tc>
          <w:tcPr>
            <w:tcW w:w="5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(9 )</w:t>
            </w:r>
          </w:p>
        </w:tc>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(2 )</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(1 )</w:t>
            </w: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(3 )</w:t>
            </w: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line="215" w:lineRule="exact"/>
              <w:rPr>
                <w:sz w:val="20"/>
                <w:szCs w:val="20"/>
                <w:color w:val="auto"/>
              </w:rPr>
            </w:pPr>
            <w:r>
              <w:rPr>
                <w:rFonts w:ascii="Calibri" w:cs="Calibri" w:eastAsia="Calibri" w:hAnsi="Calibri"/>
                <w:sz w:val="18"/>
                <w:szCs w:val="18"/>
                <w:color w:val="auto"/>
              </w:rPr>
              <w:t>Setlements or curtailments</w:t>
            </w:r>
          </w:p>
        </w:tc>
        <w:tc>
          <w:tcPr>
            <w:tcW w:w="500" w:type="dxa"/>
            <w:vAlign w:val="bottom"/>
          </w:tcPr>
          <w:p>
            <w:pPr>
              <w:spacing w:after="0"/>
              <w:rPr>
                <w:sz w:val="18"/>
                <w:szCs w:val="18"/>
                <w:color w:val="auto"/>
              </w:rPr>
            </w:pPr>
          </w:p>
        </w:tc>
        <w:tc>
          <w:tcPr>
            <w:tcW w:w="4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(2 )</w:t>
            </w:r>
          </w:p>
        </w:tc>
        <w:tc>
          <w:tcPr>
            <w:tcW w:w="500" w:type="dxa"/>
            <w:vAlign w:val="bottom"/>
          </w:tcPr>
          <w:p>
            <w:pPr>
              <w:spacing w:after="0"/>
              <w:rPr>
                <w:sz w:val="18"/>
                <w:szCs w:val="18"/>
                <w:color w:val="auto"/>
              </w:rPr>
            </w:pPr>
          </w:p>
        </w:tc>
        <w:tc>
          <w:tcPr>
            <w:tcW w:w="3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(2 )</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(2 )</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
        </w:trPr>
        <w:tc>
          <w:tcPr>
            <w:tcW w:w="4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Expenses paid from assets</w:t>
            </w:r>
          </w:p>
        </w:tc>
        <w:tc>
          <w:tcPr>
            <w:tcW w:w="5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20"/>
              <w:spacing w:after="0"/>
              <w:rPr>
                <w:sz w:val="20"/>
                <w:szCs w:val="20"/>
                <w:color w:val="auto"/>
              </w:rPr>
            </w:pPr>
            <w:r>
              <w:rPr>
                <w:rFonts w:ascii="Calibri" w:cs="Calibri" w:eastAsia="Calibri" w:hAnsi="Calibri"/>
                <w:sz w:val="18"/>
                <w:szCs w:val="18"/>
                <w:color w:val="auto"/>
              </w:rPr>
              <w:t>Divestture of a business</w:t>
            </w:r>
          </w:p>
        </w:tc>
        <w:tc>
          <w:tcPr>
            <w:tcW w:w="500" w:type="dxa"/>
            <w:vAlign w:val="bottom"/>
          </w:tcPr>
          <w:p>
            <w:pPr>
              <w:spacing w:after="0"/>
              <w:rPr>
                <w:sz w:val="19"/>
                <w:szCs w:val="19"/>
                <w:color w:val="auto"/>
              </w:rPr>
            </w:pPr>
          </w:p>
        </w:tc>
        <w:tc>
          <w:tcPr>
            <w:tcW w:w="4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Pr>
          <w:p>
            <w:pPr>
              <w:spacing w:after="0"/>
              <w:rPr>
                <w:sz w:val="19"/>
                <w:szCs w:val="19"/>
                <w:color w:val="auto"/>
              </w:rPr>
            </w:pPr>
          </w:p>
        </w:tc>
        <w:tc>
          <w:tcPr>
            <w:tcW w:w="3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(18 )</w:t>
            </w:r>
          </w:p>
        </w:tc>
        <w:tc>
          <w:tcPr>
            <w:tcW w:w="180" w:type="dxa"/>
            <w:vAlign w:val="bottom"/>
          </w:tcPr>
          <w:p>
            <w:pPr>
              <w:spacing w:after="0"/>
              <w:rPr>
                <w:sz w:val="19"/>
                <w:szCs w:val="19"/>
                <w:color w:val="auto"/>
              </w:rPr>
            </w:pPr>
          </w:p>
        </w:tc>
        <w:tc>
          <w:tcPr>
            <w:tcW w:w="7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0" w:type="dxa"/>
            <w:vAlign w:val="bottom"/>
            <w:shd w:val="clear" w:color="auto" w:fill="CFF0FC"/>
          </w:tcPr>
          <w:p>
            <w:pPr>
              <w:ind w:left="20"/>
              <w:spacing w:after="0" w:line="201" w:lineRule="exact"/>
              <w:rPr>
                <w:sz w:val="20"/>
                <w:szCs w:val="20"/>
                <w:color w:val="auto"/>
              </w:rPr>
            </w:pPr>
            <w:r>
              <w:rPr>
                <w:rFonts w:ascii="Calibri" w:cs="Calibri" w:eastAsia="Calibri" w:hAnsi="Calibri"/>
                <w:sz w:val="18"/>
                <w:szCs w:val="18"/>
                <w:color w:val="auto"/>
              </w:rPr>
              <w:t>Fair value of plan assets at end</w:t>
            </w:r>
          </w:p>
        </w:tc>
        <w:tc>
          <w:tcPr>
            <w:tcW w:w="500" w:type="dxa"/>
            <w:vAlign w:val="bottom"/>
            <w:vMerge w:val="restart"/>
            <w:shd w:val="clear" w:color="auto" w:fill="CFF0FC"/>
          </w:tcPr>
          <w:p>
            <w:pPr>
              <w:jc w:val="right"/>
              <w:ind w:right="314"/>
              <w:spacing w:after="0"/>
              <w:rPr>
                <w:sz w:val="20"/>
                <w:szCs w:val="20"/>
                <w:color w:val="auto"/>
              </w:rPr>
            </w:pPr>
            <w:r>
              <w:rPr>
                <w:rFonts w:ascii="Calibri" w:cs="Calibri" w:eastAsia="Calibri" w:hAnsi="Calibri"/>
                <w:sz w:val="18"/>
                <w:szCs w:val="18"/>
                <w:color w:val="auto"/>
                <w:w w:val="87"/>
              </w:rPr>
              <w:t>$</w:t>
            </w:r>
          </w:p>
        </w:tc>
        <w:tc>
          <w:tcPr>
            <w:tcW w:w="2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4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6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144</w:t>
            </w:r>
          </w:p>
        </w:tc>
        <w:tc>
          <w:tcPr>
            <w:tcW w:w="240" w:type="dxa"/>
            <w:vAlign w:val="bottom"/>
            <w:shd w:val="clear" w:color="auto" w:fill="CFF0FC"/>
          </w:tcPr>
          <w:p>
            <w:pPr>
              <w:spacing w:after="0"/>
              <w:rPr>
                <w:sz w:val="17"/>
                <w:szCs w:val="17"/>
                <w:color w:val="auto"/>
              </w:rPr>
            </w:pPr>
          </w:p>
        </w:tc>
        <w:tc>
          <w:tcPr>
            <w:tcW w:w="500" w:type="dxa"/>
            <w:vAlign w:val="bottom"/>
            <w:vMerge w:val="restart"/>
            <w:shd w:val="clear" w:color="auto" w:fill="CFF0FC"/>
          </w:tcPr>
          <w:p>
            <w:pPr>
              <w:spacing w:after="0"/>
              <w:rPr>
                <w:sz w:val="20"/>
                <w:szCs w:val="20"/>
                <w:color w:val="auto"/>
              </w:rPr>
            </w:pPr>
            <w:r>
              <w:rPr>
                <w:rFonts w:ascii="Calibri" w:cs="Calibri" w:eastAsia="Calibri" w:hAnsi="Calibri"/>
                <w:sz w:val="18"/>
                <w:szCs w:val="18"/>
                <w:color w:val="auto"/>
              </w:rPr>
              <w:t>$</w:t>
            </w:r>
          </w:p>
        </w:tc>
        <w:tc>
          <w:tcPr>
            <w:tcW w:w="2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w w:val="97"/>
              </w:rPr>
              <w:t>—</w:t>
            </w:r>
          </w:p>
        </w:tc>
        <w:tc>
          <w:tcPr>
            <w:tcW w:w="12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w w:val="87"/>
              </w:rPr>
              <w:t>$</w:t>
            </w:r>
          </w:p>
        </w:tc>
        <w:tc>
          <w:tcPr>
            <w:tcW w:w="5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135</w:t>
            </w:r>
          </w:p>
        </w:tc>
        <w:tc>
          <w:tcPr>
            <w:tcW w:w="220" w:type="dxa"/>
            <w:vAlign w:val="bottom"/>
            <w:shd w:val="clear" w:color="auto" w:fill="CFF0FC"/>
          </w:tcPr>
          <w:p>
            <w:pPr>
              <w:spacing w:after="0"/>
              <w:rPr>
                <w:sz w:val="17"/>
                <w:szCs w:val="17"/>
                <w:color w:val="auto"/>
              </w:rPr>
            </w:pPr>
          </w:p>
        </w:tc>
        <w:tc>
          <w:tcPr>
            <w:tcW w:w="1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w w:val="87"/>
              </w:rPr>
              <w:t>$</w:t>
            </w:r>
          </w:p>
        </w:tc>
        <w:tc>
          <w:tcPr>
            <w:tcW w:w="5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20" w:type="dxa"/>
            <w:vAlign w:val="bottom"/>
            <w:vMerge w:val="restart"/>
            <w:shd w:val="clear" w:color="auto" w:fill="CFF0FC"/>
          </w:tcPr>
          <w:p>
            <w:pPr>
              <w:spacing w:after="0"/>
              <w:rPr>
                <w:sz w:val="17"/>
                <w:szCs w:val="17"/>
                <w:color w:val="auto"/>
              </w:rPr>
            </w:pPr>
          </w:p>
        </w:tc>
        <w:tc>
          <w:tcPr>
            <w:tcW w:w="1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w w:val="87"/>
              </w:rPr>
              <w:t>$</w:t>
            </w:r>
          </w:p>
        </w:tc>
        <w:tc>
          <w:tcPr>
            <w:tcW w:w="5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6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00" w:type="dxa"/>
            <w:vAlign w:val="bottom"/>
            <w:vMerge w:val="restart"/>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000" w:type="dxa"/>
            <w:vAlign w:val="bottom"/>
            <w:tcBorders>
              <w:bottom w:val="single" w:sz="8" w:color="CFF0FC"/>
            </w:tcBorders>
            <w:shd w:val="clear" w:color="auto" w:fill="CFF0FC"/>
          </w:tcPr>
          <w:p>
            <w:pPr>
              <w:ind w:left="140"/>
              <w:spacing w:after="0" w:line="211" w:lineRule="exact"/>
              <w:rPr>
                <w:sz w:val="20"/>
                <w:szCs w:val="20"/>
                <w:color w:val="auto"/>
              </w:rPr>
            </w:pPr>
            <w:r>
              <w:rPr>
                <w:rFonts w:ascii="Calibri" w:cs="Calibri" w:eastAsia="Calibri" w:hAnsi="Calibri"/>
                <w:sz w:val="18"/>
                <w:szCs w:val="18"/>
                <w:color w:val="auto"/>
              </w:rPr>
              <w:t>of year</w:t>
            </w:r>
          </w:p>
        </w:tc>
        <w:tc>
          <w:tcPr>
            <w:tcW w:w="50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58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50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vMerge w:val="continue"/>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52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00" w:type="dxa"/>
            <w:vAlign w:val="bottom"/>
          </w:tcPr>
          <w:p>
            <w:pPr>
              <w:ind w:left="20"/>
              <w:spacing w:after="0" w:line="196" w:lineRule="exact"/>
              <w:rPr>
                <w:sz w:val="20"/>
                <w:szCs w:val="20"/>
                <w:color w:val="auto"/>
              </w:rPr>
            </w:pPr>
            <w:r>
              <w:rPr>
                <w:rFonts w:ascii="Calibri" w:cs="Calibri" w:eastAsia="Calibri" w:hAnsi="Calibri"/>
                <w:sz w:val="18"/>
                <w:szCs w:val="18"/>
                <w:color w:val="auto"/>
              </w:rPr>
              <w:t>Funded status</w:t>
            </w:r>
          </w:p>
        </w:tc>
        <w:tc>
          <w:tcPr>
            <w:tcW w:w="500" w:type="dxa"/>
            <w:vAlign w:val="bottom"/>
          </w:tcPr>
          <w:p>
            <w:pPr>
              <w:jc w:val="right"/>
              <w:ind w:right="314"/>
              <w:spacing w:after="0" w:line="196" w:lineRule="exact"/>
              <w:rPr>
                <w:sz w:val="20"/>
                <w:szCs w:val="20"/>
                <w:color w:val="auto"/>
              </w:rPr>
            </w:pPr>
            <w:r>
              <w:rPr>
                <w:rFonts w:ascii="Calibri" w:cs="Calibri" w:eastAsia="Calibri" w:hAnsi="Calibri"/>
                <w:sz w:val="18"/>
                <w:szCs w:val="18"/>
                <w:color w:val="auto"/>
                <w:w w:val="87"/>
              </w:rPr>
              <w:t>$</w:t>
            </w:r>
          </w:p>
        </w:tc>
        <w:tc>
          <w:tcPr>
            <w:tcW w:w="440" w:type="dxa"/>
            <w:vAlign w:val="bottom"/>
            <w:gridSpan w:val="2"/>
          </w:tcPr>
          <w:p>
            <w:pPr>
              <w:jc w:val="right"/>
              <w:ind w:right="160"/>
              <w:spacing w:after="0" w:line="196" w:lineRule="exact"/>
              <w:rPr>
                <w:sz w:val="20"/>
                <w:szCs w:val="20"/>
                <w:color w:val="auto"/>
              </w:rPr>
            </w:pPr>
            <w:r>
              <w:rPr>
                <w:rFonts w:ascii="Calibri" w:cs="Calibri" w:eastAsia="Calibri" w:hAnsi="Calibri"/>
                <w:sz w:val="18"/>
                <w:szCs w:val="18"/>
                <w:color w:val="auto"/>
              </w:rPr>
              <w:t>(2 )</w:t>
            </w:r>
          </w:p>
        </w:tc>
        <w:tc>
          <w:tcPr>
            <w:tcW w:w="120" w:type="dxa"/>
            <w:vAlign w:val="bottom"/>
          </w:tcPr>
          <w:p>
            <w:pPr>
              <w:jc w:val="right"/>
              <w:spacing w:after="0" w:line="196" w:lineRule="exact"/>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line="196" w:lineRule="exact"/>
              <w:rPr>
                <w:sz w:val="20"/>
                <w:szCs w:val="20"/>
                <w:color w:val="auto"/>
              </w:rPr>
            </w:pPr>
            <w:r>
              <w:rPr>
                <w:rFonts w:ascii="Calibri" w:cs="Calibri" w:eastAsia="Calibri" w:hAnsi="Calibri"/>
                <w:sz w:val="18"/>
                <w:szCs w:val="18"/>
                <w:color w:val="auto"/>
              </w:rPr>
              <w:t>5</w:t>
            </w:r>
          </w:p>
        </w:tc>
        <w:tc>
          <w:tcPr>
            <w:tcW w:w="240" w:type="dxa"/>
            <w:vAlign w:val="bottom"/>
          </w:tcPr>
          <w:p>
            <w:pPr>
              <w:spacing w:after="0"/>
              <w:rPr>
                <w:sz w:val="16"/>
                <w:szCs w:val="16"/>
                <w:color w:val="auto"/>
              </w:rPr>
            </w:pPr>
          </w:p>
        </w:tc>
        <w:tc>
          <w:tcPr>
            <w:tcW w:w="500" w:type="dxa"/>
            <w:vAlign w:val="bottom"/>
          </w:tcPr>
          <w:p>
            <w:pPr>
              <w:spacing w:after="0" w:line="196" w:lineRule="exact"/>
              <w:rPr>
                <w:sz w:val="20"/>
                <w:szCs w:val="20"/>
                <w:color w:val="auto"/>
              </w:rPr>
            </w:pPr>
            <w:r>
              <w:rPr>
                <w:rFonts w:ascii="Calibri" w:cs="Calibri" w:eastAsia="Calibri" w:hAnsi="Calibri"/>
                <w:sz w:val="18"/>
                <w:szCs w:val="18"/>
                <w:color w:val="auto"/>
              </w:rPr>
              <w:t>$</w:t>
            </w:r>
          </w:p>
        </w:tc>
        <w:tc>
          <w:tcPr>
            <w:tcW w:w="320" w:type="dxa"/>
            <w:vAlign w:val="bottom"/>
            <w:gridSpan w:val="2"/>
          </w:tcPr>
          <w:p>
            <w:pPr>
              <w:jc w:val="right"/>
              <w:ind w:right="60"/>
              <w:spacing w:after="0" w:line="196" w:lineRule="exact"/>
              <w:rPr>
                <w:sz w:val="20"/>
                <w:szCs w:val="20"/>
                <w:color w:val="auto"/>
              </w:rPr>
            </w:pPr>
            <w:r>
              <w:rPr>
                <w:rFonts w:ascii="Calibri" w:cs="Calibri" w:eastAsia="Calibri" w:hAnsi="Calibri"/>
                <w:sz w:val="18"/>
                <w:szCs w:val="18"/>
                <w:color w:val="auto"/>
                <w:w w:val="99"/>
              </w:rPr>
              <w:t>(2 )</w:t>
            </w:r>
          </w:p>
        </w:tc>
        <w:tc>
          <w:tcPr>
            <w:tcW w:w="24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196" w:lineRule="exact"/>
              <w:rPr>
                <w:sz w:val="20"/>
                <w:szCs w:val="20"/>
                <w:color w:val="auto"/>
              </w:rPr>
            </w:pPr>
            <w:r>
              <w:rPr>
                <w:rFonts w:ascii="Calibri" w:cs="Calibri" w:eastAsia="Calibri" w:hAnsi="Calibri"/>
                <w:sz w:val="18"/>
                <w:szCs w:val="18"/>
                <w:color w:val="auto"/>
              </w:rPr>
              <w:t>2</w:t>
            </w:r>
          </w:p>
        </w:tc>
        <w:tc>
          <w:tcPr>
            <w:tcW w:w="220" w:type="dxa"/>
            <w:vAlign w:val="bottom"/>
          </w:tcPr>
          <w:p>
            <w:pPr>
              <w:spacing w:after="0"/>
              <w:rPr>
                <w:sz w:val="16"/>
                <w:szCs w:val="16"/>
                <w:color w:val="auto"/>
              </w:rPr>
            </w:pPr>
          </w:p>
        </w:tc>
        <w:tc>
          <w:tcPr>
            <w:tcW w:w="180" w:type="dxa"/>
            <w:vAlign w:val="bottom"/>
          </w:tcPr>
          <w:p>
            <w:pPr>
              <w:jc w:val="right"/>
              <w:spacing w:after="0" w:line="196" w:lineRule="exact"/>
              <w:rPr>
                <w:sz w:val="20"/>
                <w:szCs w:val="20"/>
                <w:color w:val="auto"/>
              </w:rPr>
            </w:pPr>
            <w:r>
              <w:rPr>
                <w:rFonts w:ascii="Calibri" w:cs="Calibri" w:eastAsia="Calibri" w:hAnsi="Calibri"/>
                <w:sz w:val="18"/>
                <w:szCs w:val="18"/>
                <w:color w:val="auto"/>
                <w:w w:val="87"/>
              </w:rPr>
              <w:t>$</w:t>
            </w:r>
          </w:p>
        </w:tc>
        <w:tc>
          <w:tcPr>
            <w:tcW w:w="700" w:type="dxa"/>
            <w:vAlign w:val="bottom"/>
            <w:gridSpan w:val="2"/>
          </w:tcPr>
          <w:p>
            <w:pPr>
              <w:jc w:val="right"/>
              <w:ind w:right="140"/>
              <w:spacing w:after="0" w:line="196" w:lineRule="exact"/>
              <w:rPr>
                <w:sz w:val="20"/>
                <w:szCs w:val="20"/>
                <w:color w:val="auto"/>
              </w:rPr>
            </w:pPr>
            <w:r>
              <w:rPr>
                <w:rFonts w:ascii="Calibri" w:cs="Calibri" w:eastAsia="Calibri" w:hAnsi="Calibri"/>
                <w:sz w:val="18"/>
                <w:szCs w:val="18"/>
                <w:color w:val="auto"/>
              </w:rPr>
              <w:t>(14 )</w:t>
            </w:r>
          </w:p>
        </w:tc>
        <w:tc>
          <w:tcPr>
            <w:tcW w:w="120" w:type="dxa"/>
            <w:vAlign w:val="bottom"/>
          </w:tcPr>
          <w:p>
            <w:pPr>
              <w:jc w:val="right"/>
              <w:spacing w:after="0" w:line="196" w:lineRule="exact"/>
              <w:rPr>
                <w:sz w:val="20"/>
                <w:szCs w:val="20"/>
                <w:color w:val="auto"/>
              </w:rPr>
            </w:pPr>
            <w:r>
              <w:rPr>
                <w:rFonts w:ascii="Calibri" w:cs="Calibri" w:eastAsia="Calibri" w:hAnsi="Calibri"/>
                <w:sz w:val="18"/>
                <w:szCs w:val="18"/>
                <w:color w:val="auto"/>
              </w:rPr>
              <w:t>$</w:t>
            </w:r>
          </w:p>
        </w:tc>
        <w:tc>
          <w:tcPr>
            <w:tcW w:w="780" w:type="dxa"/>
            <w:vAlign w:val="bottom"/>
            <w:gridSpan w:val="2"/>
          </w:tcPr>
          <w:p>
            <w:pPr>
              <w:jc w:val="right"/>
              <w:ind w:right="140"/>
              <w:spacing w:after="0" w:line="196" w:lineRule="exact"/>
              <w:rPr>
                <w:sz w:val="20"/>
                <w:szCs w:val="20"/>
                <w:color w:val="auto"/>
              </w:rPr>
            </w:pPr>
            <w:r>
              <w:rPr>
                <w:rFonts w:ascii="Calibri" w:cs="Calibri" w:eastAsia="Calibri" w:hAnsi="Calibri"/>
                <w:sz w:val="18"/>
                <w:szCs w:val="18"/>
                <w:color w:val="auto"/>
              </w:rPr>
              <w:t>(11 )</w:t>
            </w:r>
          </w:p>
        </w:tc>
        <w:tc>
          <w:tcPr>
            <w:tcW w:w="160" w:type="dxa"/>
            <w:vAlign w:val="bottom"/>
          </w:tcPr>
          <w:p>
            <w:pPr>
              <w:jc w:val="right"/>
              <w:spacing w:after="0" w:line="196" w:lineRule="exact"/>
              <w:rPr>
                <w:sz w:val="20"/>
                <w:szCs w:val="20"/>
                <w:color w:val="auto"/>
              </w:rPr>
            </w:pPr>
            <w:r>
              <w:rPr>
                <w:rFonts w:ascii="Calibri" w:cs="Calibri" w:eastAsia="Calibri" w:hAnsi="Calibri"/>
                <w:sz w:val="18"/>
                <w:szCs w:val="18"/>
                <w:color w:val="auto"/>
                <w:w w:val="87"/>
              </w:rPr>
              <w:t>$</w:t>
            </w:r>
          </w:p>
        </w:tc>
        <w:tc>
          <w:tcPr>
            <w:tcW w:w="720" w:type="dxa"/>
            <w:vAlign w:val="bottom"/>
            <w:gridSpan w:val="2"/>
          </w:tcPr>
          <w:p>
            <w:pPr>
              <w:jc w:val="right"/>
              <w:ind w:right="140"/>
              <w:spacing w:after="0" w:line="196" w:lineRule="exact"/>
              <w:rPr>
                <w:sz w:val="20"/>
                <w:szCs w:val="20"/>
                <w:color w:val="auto"/>
              </w:rPr>
            </w:pPr>
            <w:r>
              <w:rPr>
                <w:rFonts w:ascii="Calibri" w:cs="Calibri" w:eastAsia="Calibri" w:hAnsi="Calibri"/>
                <w:sz w:val="18"/>
                <w:szCs w:val="18"/>
                <w:color w:val="auto"/>
              </w:rPr>
              <w:t>(16 )</w:t>
            </w:r>
          </w:p>
        </w:tc>
        <w:tc>
          <w:tcPr>
            <w:tcW w:w="120" w:type="dxa"/>
            <w:vAlign w:val="bottom"/>
          </w:tcPr>
          <w:p>
            <w:pPr>
              <w:jc w:val="right"/>
              <w:spacing w:after="0" w:line="196" w:lineRule="exact"/>
              <w:rPr>
                <w:sz w:val="20"/>
                <w:szCs w:val="20"/>
                <w:color w:val="auto"/>
              </w:rPr>
            </w:pPr>
            <w:r>
              <w:rPr>
                <w:rFonts w:ascii="Calibri" w:cs="Calibri" w:eastAsia="Calibri" w:hAnsi="Calibri"/>
                <w:sz w:val="18"/>
                <w:szCs w:val="18"/>
                <w:color w:val="auto"/>
              </w:rPr>
              <w:t>$</w:t>
            </w:r>
          </w:p>
        </w:tc>
        <w:tc>
          <w:tcPr>
            <w:tcW w:w="700" w:type="dxa"/>
            <w:vAlign w:val="bottom"/>
            <w:gridSpan w:val="2"/>
          </w:tcPr>
          <w:p>
            <w:pPr>
              <w:jc w:val="right"/>
              <w:ind w:right="40"/>
              <w:spacing w:after="0" w:line="196" w:lineRule="exact"/>
              <w:rPr>
                <w:sz w:val="20"/>
                <w:szCs w:val="20"/>
                <w:color w:val="auto"/>
              </w:rPr>
            </w:pPr>
            <w:r>
              <w:rPr>
                <w:rFonts w:ascii="Calibri" w:cs="Calibri" w:eastAsia="Calibri" w:hAnsi="Calibri"/>
                <w:sz w:val="18"/>
                <w:szCs w:val="18"/>
                <w:color w:val="auto"/>
              </w:rPr>
              <w:t>(13 )</w:t>
            </w:r>
          </w:p>
        </w:tc>
        <w:tc>
          <w:tcPr>
            <w:tcW w:w="0" w:type="dxa"/>
            <w:vAlign w:val="bottom"/>
          </w:tcPr>
          <w:p>
            <w:pPr>
              <w:spacing w:after="0"/>
              <w:rPr>
                <w:sz w:val="1"/>
                <w:szCs w:val="1"/>
                <w:color w:val="auto"/>
              </w:rPr>
            </w:pPr>
          </w:p>
        </w:tc>
      </w:tr>
      <w:tr>
        <w:trPr>
          <w:trHeight w:val="28"/>
        </w:trPr>
        <w:tc>
          <w:tcPr>
            <w:tcW w:w="4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00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Recognized asset (liability)</w:t>
            </w:r>
          </w:p>
        </w:tc>
        <w:tc>
          <w:tcPr>
            <w:tcW w:w="500" w:type="dxa"/>
            <w:vAlign w:val="bottom"/>
            <w:shd w:val="clear" w:color="auto" w:fill="CFF0FC"/>
          </w:tcPr>
          <w:p>
            <w:pPr>
              <w:jc w:val="right"/>
              <w:ind w:right="314"/>
              <w:spacing w:after="0" w:line="215" w:lineRule="exact"/>
              <w:rPr>
                <w:sz w:val="20"/>
                <w:szCs w:val="20"/>
                <w:color w:val="auto"/>
              </w:rPr>
            </w:pPr>
            <w:r>
              <w:rPr>
                <w:rFonts w:ascii="Calibri" w:cs="Calibri" w:eastAsia="Calibri" w:hAnsi="Calibri"/>
                <w:sz w:val="18"/>
                <w:szCs w:val="18"/>
                <w:color w:val="auto"/>
                <w:w w:val="87"/>
              </w:rPr>
              <w:t>$</w:t>
            </w:r>
          </w:p>
        </w:tc>
        <w:tc>
          <w:tcPr>
            <w:tcW w:w="44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(2 )</w:t>
            </w: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2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320" w:type="dxa"/>
            <w:vAlign w:val="bottom"/>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w w:val="99"/>
              </w:rPr>
              <w:t>(2 )</w:t>
            </w:r>
          </w:p>
        </w:tc>
        <w:tc>
          <w:tcPr>
            <w:tcW w:w="24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5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(14 )</w:t>
            </w: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(11 )</w:t>
            </w:r>
          </w:p>
        </w:tc>
        <w:tc>
          <w:tcPr>
            <w:tcW w:w="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(16 )</w:t>
            </w: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0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(13 )</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-359410</wp:posOffset>
            </wp:positionV>
            <wp:extent cx="768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-342265</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-359410</wp:posOffset>
            </wp:positionV>
            <wp:extent cx="774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-342265</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-359410</wp:posOffset>
            </wp:positionV>
            <wp:extent cx="774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-342265</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-359410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-342265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-359410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-342265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-359410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-342265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-359410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-342265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-25400</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-8255</wp:posOffset>
            </wp:positionV>
            <wp:extent cx="768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-25400</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-8255</wp:posOffset>
            </wp:positionV>
            <wp:extent cx="774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-25400</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-8255</wp:posOffset>
            </wp:positionV>
            <wp:extent cx="774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-25400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-8255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-25400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-8255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ind w:left="280"/>
        <w:spacing w:after="0"/>
        <w:rPr>
          <w:sz w:val="20"/>
          <w:szCs w:val="20"/>
          <w:color w:val="auto"/>
        </w:rPr>
      </w:pPr>
      <w:r>
        <w:rPr>
          <w:rFonts w:ascii="Calibri" w:cs="Calibri" w:eastAsia="Calibri" w:hAnsi="Calibri"/>
          <w:sz w:val="18"/>
          <w:szCs w:val="18"/>
          <w:b w:val="1"/>
          <w:bCs w:val="1"/>
          <w:i w:val="1"/>
          <w:iCs w:val="1"/>
          <w:color w:val="auto"/>
        </w:rPr>
        <w:t>Pension Assumptons and Strategy</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The following assumptons were used to determine the pension beneft obligatons and periodic beneft costs as of and for the years ended September</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30: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260" w:type="dxa"/>
            <w:vAlign w:val="bottom"/>
            <w:gridSpan w:val="3"/>
          </w:tcPr>
          <w:p>
            <w:pPr>
              <w:ind w:left="880"/>
              <w:spacing w:after="0"/>
              <w:rPr>
                <w:sz w:val="20"/>
                <w:szCs w:val="20"/>
                <w:color w:val="auto"/>
              </w:rPr>
            </w:pPr>
            <w:r>
              <w:rPr>
                <w:rFonts w:ascii="Calibri" w:cs="Calibri" w:eastAsia="Calibri" w:hAnsi="Calibri"/>
                <w:sz w:val="14"/>
                <w:szCs w:val="14"/>
                <w:b w:val="1"/>
                <w:bCs w:val="1"/>
                <w:color w:val="auto"/>
              </w:rPr>
              <w:t>2023</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ind w:left="860"/>
              <w:spacing w:after="0"/>
              <w:rPr>
                <w:sz w:val="20"/>
                <w:szCs w:val="20"/>
                <w:color w:val="auto"/>
              </w:rPr>
            </w:pPr>
            <w:r>
              <w:rPr>
                <w:rFonts w:ascii="Calibri" w:cs="Calibri" w:eastAsia="Calibri" w:hAnsi="Calibri"/>
                <w:sz w:val="14"/>
                <w:szCs w:val="14"/>
                <w:b w:val="1"/>
                <w:bCs w:val="1"/>
                <w:color w:val="auto"/>
              </w:rPr>
              <w:t>2022</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ind w:left="860"/>
              <w:spacing w:after="0"/>
              <w:rPr>
                <w:sz w:val="20"/>
                <w:szCs w:val="20"/>
                <w:color w:val="auto"/>
              </w:rPr>
            </w:pPr>
            <w:r>
              <w:rPr>
                <w:rFonts w:ascii="Calibri" w:cs="Calibri" w:eastAsia="Calibri" w:hAnsi="Calibri"/>
                <w:sz w:val="14"/>
                <w:szCs w:val="14"/>
                <w:b w:val="1"/>
                <w:bCs w:val="1"/>
                <w:color w:val="auto"/>
              </w:rPr>
              <w:t>2021</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3"/>
        </w:trPr>
        <w:tc>
          <w:tcPr>
            <w:tcW w:w="4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3"/>
        </w:trPr>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4"/>
          </w:tcPr>
          <w:p>
            <w:pPr>
              <w:ind w:left="460"/>
              <w:spacing w:after="0" w:line="164" w:lineRule="exact"/>
              <w:rPr>
                <w:sz w:val="20"/>
                <w:szCs w:val="20"/>
                <w:color w:val="auto"/>
              </w:rPr>
            </w:pPr>
            <w:r>
              <w:rPr>
                <w:rFonts w:ascii="Calibri" w:cs="Calibri" w:eastAsia="Calibri" w:hAnsi="Calibri"/>
                <w:sz w:val="14"/>
                <w:szCs w:val="14"/>
                <w:b w:val="1"/>
                <w:bCs w:val="1"/>
                <w:color w:val="auto"/>
              </w:rPr>
              <w:t>Pension Benefts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3"/>
        </w:trPr>
        <w:tc>
          <w:tcPr>
            <w:tcW w:w="4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3"/>
          </w:tcPr>
          <w:p>
            <w:pPr>
              <w:spacing w:after="0"/>
              <w:rPr>
                <w:sz w:val="2"/>
                <w:szCs w:val="2"/>
                <w:color w:val="auto"/>
              </w:rPr>
            </w:pPr>
          </w:p>
        </w:tc>
      </w:tr>
      <w:tr>
        <w:trPr>
          <w:trHeight w:val="163"/>
        </w:trPr>
        <w:tc>
          <w:tcPr>
            <w:tcW w:w="4660" w:type="dxa"/>
            <w:vAlign w:val="bottom"/>
          </w:tcPr>
          <w:p>
            <w:pPr>
              <w:spacing w:after="0"/>
              <w:rPr>
                <w:sz w:val="14"/>
                <w:szCs w:val="14"/>
                <w:color w:val="auto"/>
              </w:rPr>
            </w:pPr>
          </w:p>
        </w:tc>
        <w:tc>
          <w:tcPr>
            <w:tcW w:w="1260" w:type="dxa"/>
            <w:vAlign w:val="bottom"/>
            <w:tcBorders>
              <w:top w:val="single" w:sz="8" w:color="auto"/>
            </w:tcBorders>
            <w:gridSpan w:val="3"/>
          </w:tcPr>
          <w:p>
            <w:pPr>
              <w:ind w:left="300"/>
              <w:spacing w:after="0" w:line="164" w:lineRule="exact"/>
              <w:rPr>
                <w:sz w:val="20"/>
                <w:szCs w:val="20"/>
                <w:color w:val="auto"/>
              </w:rPr>
            </w:pPr>
            <w:r>
              <w:rPr>
                <w:rFonts w:ascii="Calibri" w:cs="Calibri" w:eastAsia="Calibri" w:hAnsi="Calibri"/>
                <w:sz w:val="14"/>
                <w:szCs w:val="14"/>
                <w:b w:val="1"/>
                <w:bCs w:val="1"/>
                <w:color w:val="auto"/>
              </w:rPr>
              <w:t>U.S.</w:t>
            </w:r>
          </w:p>
        </w:tc>
        <w:tc>
          <w:tcPr>
            <w:tcW w:w="1020" w:type="dxa"/>
            <w:vAlign w:val="bottom"/>
            <w:tcBorders>
              <w:top w:val="single" w:sz="8" w:color="auto"/>
            </w:tcBorders>
            <w:gridSpan w:val="2"/>
          </w:tcPr>
          <w:p>
            <w:pPr>
              <w:jc w:val="right"/>
              <w:ind w:right="500"/>
              <w:spacing w:after="0" w:line="164" w:lineRule="exact"/>
              <w:rPr>
                <w:sz w:val="20"/>
                <w:szCs w:val="20"/>
                <w:color w:val="auto"/>
              </w:rPr>
            </w:pPr>
            <w:r>
              <w:rPr>
                <w:rFonts w:ascii="Calibri" w:cs="Calibri" w:eastAsia="Calibri" w:hAnsi="Calibri"/>
                <w:sz w:val="14"/>
                <w:szCs w:val="14"/>
                <w:b w:val="1"/>
                <w:bCs w:val="1"/>
                <w:color w:val="auto"/>
              </w:rPr>
              <w:t>Foreign</w:t>
            </w:r>
          </w:p>
        </w:tc>
        <w:tc>
          <w:tcPr>
            <w:tcW w:w="1220" w:type="dxa"/>
            <w:vAlign w:val="bottom"/>
            <w:tcBorders>
              <w:top w:val="single" w:sz="8" w:color="auto"/>
            </w:tcBorders>
            <w:gridSpan w:val="3"/>
          </w:tcPr>
          <w:p>
            <w:pPr>
              <w:ind w:left="300"/>
              <w:spacing w:after="0" w:line="164" w:lineRule="exact"/>
              <w:rPr>
                <w:sz w:val="20"/>
                <w:szCs w:val="20"/>
                <w:color w:val="auto"/>
              </w:rPr>
            </w:pPr>
            <w:r>
              <w:rPr>
                <w:rFonts w:ascii="Calibri" w:cs="Calibri" w:eastAsia="Calibri" w:hAnsi="Calibri"/>
                <w:sz w:val="14"/>
                <w:szCs w:val="14"/>
                <w:b w:val="1"/>
                <w:bCs w:val="1"/>
                <w:color w:val="auto"/>
              </w:rPr>
              <w:t>U.S.</w:t>
            </w:r>
          </w:p>
        </w:tc>
        <w:tc>
          <w:tcPr>
            <w:tcW w:w="520" w:type="dxa"/>
            <w:vAlign w:val="bottom"/>
            <w:tcBorders>
              <w:top w:val="single" w:sz="8" w:color="auto"/>
            </w:tcBorders>
          </w:tcPr>
          <w:p>
            <w:pPr>
              <w:ind w:left="80"/>
              <w:spacing w:after="0" w:line="164" w:lineRule="exact"/>
              <w:rPr>
                <w:sz w:val="20"/>
                <w:szCs w:val="20"/>
                <w:color w:val="auto"/>
              </w:rPr>
            </w:pPr>
            <w:r>
              <w:rPr>
                <w:rFonts w:ascii="Calibri" w:cs="Calibri" w:eastAsia="Calibri" w:hAnsi="Calibri"/>
                <w:sz w:val="14"/>
                <w:szCs w:val="14"/>
                <w:b w:val="1"/>
                <w:bCs w:val="1"/>
                <w:color w:val="auto"/>
                <w:w w:val="96"/>
              </w:rPr>
              <w:t>Foreign</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3"/>
          </w:tcPr>
          <w:p>
            <w:pPr>
              <w:ind w:left="300"/>
              <w:spacing w:after="0" w:line="164" w:lineRule="exact"/>
              <w:rPr>
                <w:sz w:val="20"/>
                <w:szCs w:val="20"/>
                <w:color w:val="auto"/>
              </w:rPr>
            </w:pPr>
            <w:r>
              <w:rPr>
                <w:rFonts w:ascii="Calibri" w:cs="Calibri" w:eastAsia="Calibri" w:hAnsi="Calibri"/>
                <w:sz w:val="14"/>
                <w:szCs w:val="14"/>
                <w:b w:val="1"/>
                <w:bCs w:val="1"/>
                <w:color w:val="auto"/>
              </w:rPr>
              <w:t>U.S.</w:t>
            </w:r>
          </w:p>
        </w:tc>
        <w:tc>
          <w:tcPr>
            <w:tcW w:w="780" w:type="dxa"/>
            <w:vAlign w:val="bottom"/>
            <w:tcBorders>
              <w:top w:val="single" w:sz="8" w:color="auto"/>
            </w:tcBorders>
          </w:tcPr>
          <w:p>
            <w:pPr>
              <w:ind w:left="80"/>
              <w:spacing w:after="0" w:line="164" w:lineRule="exact"/>
              <w:rPr>
                <w:sz w:val="20"/>
                <w:szCs w:val="20"/>
                <w:color w:val="auto"/>
              </w:rPr>
            </w:pPr>
            <w:r>
              <w:rPr>
                <w:rFonts w:ascii="Calibri" w:cs="Calibri" w:eastAsia="Calibri" w:hAnsi="Calibri"/>
                <w:sz w:val="14"/>
                <w:szCs w:val="14"/>
                <w:b w:val="1"/>
                <w:bCs w:val="1"/>
                <w:color w:val="auto"/>
              </w:rPr>
              <w:t>Foreign</w:t>
            </w:r>
          </w:p>
        </w:tc>
        <w:tc>
          <w:tcPr>
            <w:tcW w:w="140" w:type="dxa"/>
            <w:vAlign w:val="bottom"/>
            <w:gridSpan w:val="2"/>
          </w:tcPr>
          <w:p>
            <w:pPr>
              <w:spacing w:after="0"/>
              <w:rPr>
                <w:sz w:val="14"/>
                <w:szCs w:val="14"/>
                <w:color w:val="auto"/>
              </w:rPr>
            </w:pPr>
          </w:p>
        </w:tc>
      </w:tr>
      <w:tr>
        <w:trPr>
          <w:trHeight w:val="33"/>
        </w:trPr>
        <w:tc>
          <w:tcPr>
            <w:tcW w:w="4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1"/>
        </w:trPr>
        <w:tc>
          <w:tcPr>
            <w:tcW w:w="4660" w:type="dxa"/>
            <w:vAlign w:val="bottom"/>
            <w:shd w:val="clear" w:color="auto" w:fill="CFF0FC"/>
          </w:tcPr>
          <w:p>
            <w:pPr>
              <w:ind w:left="20"/>
              <w:spacing w:after="0" w:line="201" w:lineRule="exact"/>
              <w:rPr>
                <w:sz w:val="20"/>
                <w:szCs w:val="20"/>
                <w:color w:val="auto"/>
              </w:rPr>
            </w:pPr>
            <w:r>
              <w:rPr>
                <w:rFonts w:ascii="Calibri" w:cs="Calibri" w:eastAsia="Calibri" w:hAnsi="Calibri"/>
                <w:sz w:val="18"/>
                <w:szCs w:val="18"/>
                <w:color w:val="auto"/>
              </w:rPr>
              <w:t>Actuarial assumptons as of the year-end</w:t>
            </w: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32"/>
        </w:trPr>
        <w:tc>
          <w:tcPr>
            <w:tcW w:w="466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measurement date:</w:t>
            </w:r>
          </w:p>
        </w:tc>
        <w:tc>
          <w:tcPr>
            <w:tcW w:w="8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5"/>
        </w:trPr>
        <w:tc>
          <w:tcPr>
            <w:tcW w:w="4660" w:type="dxa"/>
            <w:vAlign w:val="bottom"/>
          </w:tcPr>
          <w:p>
            <w:pPr>
              <w:ind w:left="380"/>
              <w:spacing w:after="0" w:line="215" w:lineRule="exact"/>
              <w:rPr>
                <w:sz w:val="20"/>
                <w:szCs w:val="20"/>
                <w:color w:val="auto"/>
              </w:rPr>
            </w:pPr>
            <w:r>
              <w:rPr>
                <w:rFonts w:ascii="Calibri" w:cs="Calibri" w:eastAsia="Calibri" w:hAnsi="Calibri"/>
                <w:sz w:val="18"/>
                <w:szCs w:val="18"/>
                <w:color w:val="auto"/>
              </w:rPr>
              <w:t>Discount rate</w:t>
            </w:r>
          </w:p>
        </w:tc>
        <w:tc>
          <w:tcPr>
            <w:tcW w:w="10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6.0 %</w:t>
            </w:r>
          </w:p>
        </w:tc>
        <w:tc>
          <w:tcPr>
            <w:tcW w:w="180" w:type="dxa"/>
            <w:vAlign w:val="bottom"/>
          </w:tcPr>
          <w:p>
            <w:pPr>
              <w:spacing w:after="0"/>
              <w:rPr>
                <w:sz w:val="18"/>
                <w:szCs w:val="18"/>
                <w:color w:val="auto"/>
              </w:rPr>
            </w:pPr>
          </w:p>
        </w:tc>
        <w:tc>
          <w:tcPr>
            <w:tcW w:w="10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4.7 %</w:t>
            </w:r>
          </w:p>
        </w:tc>
        <w:tc>
          <w:tcPr>
            <w:tcW w:w="10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5.5 %</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w w:val="95"/>
              </w:rPr>
              <w:t>4.5 %</w:t>
            </w:r>
          </w:p>
        </w:tc>
        <w:tc>
          <w:tcPr>
            <w:tcW w:w="10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2.2 %</w:t>
            </w:r>
          </w:p>
        </w:tc>
        <w:tc>
          <w:tcPr>
            <w:tcW w:w="180" w:type="dxa"/>
            <w:vAlign w:val="bottom"/>
          </w:tcPr>
          <w:p>
            <w:pPr>
              <w:spacing w:after="0"/>
              <w:rPr>
                <w:sz w:val="18"/>
                <w:szCs w:val="18"/>
                <w:color w:val="auto"/>
              </w:rPr>
            </w:pPr>
          </w:p>
        </w:tc>
        <w:tc>
          <w:tcPr>
            <w:tcW w:w="9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2.1 %</w:t>
            </w:r>
          </w:p>
        </w:tc>
      </w:tr>
      <w:tr>
        <w:trPr>
          <w:trHeight w:val="234"/>
        </w:trPr>
        <w:tc>
          <w:tcPr>
            <w:tcW w:w="4660" w:type="dxa"/>
            <w:vAlign w:val="bottom"/>
          </w:tcPr>
          <w:p>
            <w:pPr>
              <w:ind w:left="380"/>
              <w:spacing w:after="0"/>
              <w:rPr>
                <w:sz w:val="20"/>
                <w:szCs w:val="20"/>
                <w:color w:val="auto"/>
              </w:rPr>
            </w:pPr>
            <w:r>
              <w:rPr>
                <w:rFonts w:ascii="Calibri" w:cs="Calibri" w:eastAsia="Calibri" w:hAnsi="Calibri"/>
                <w:sz w:val="18"/>
                <w:szCs w:val="18"/>
                <w:color w:val="auto"/>
              </w:rPr>
              <w:t>Rate of increase in compensaton</w:t>
            </w:r>
          </w:p>
        </w:tc>
        <w:tc>
          <w:tcPr>
            <w:tcW w:w="1260" w:type="dxa"/>
            <w:vAlign w:val="bottom"/>
            <w:gridSpan w:val="3"/>
          </w:tcPr>
          <w:p>
            <w:pPr>
              <w:ind w:left="540"/>
              <w:spacing w:after="0"/>
              <w:rPr>
                <w:sz w:val="20"/>
                <w:szCs w:val="20"/>
                <w:color w:val="auto"/>
              </w:rPr>
            </w:pPr>
            <w:r>
              <w:rPr>
                <w:rFonts w:ascii="Calibri" w:cs="Calibri" w:eastAsia="Calibri" w:hAnsi="Calibri"/>
                <w:sz w:val="18"/>
                <w:szCs w:val="18"/>
                <w:color w:val="auto"/>
              </w:rPr>
              <w:t>N/A</w:t>
            </w:r>
          </w:p>
        </w:tc>
        <w:tc>
          <w:tcPr>
            <w:tcW w:w="1020" w:type="dxa"/>
            <w:vAlign w:val="bottom"/>
            <w:gridSpan w:val="2"/>
          </w:tcPr>
          <w:p>
            <w:pPr>
              <w:jc w:val="right"/>
              <w:ind w:right="80"/>
              <w:spacing w:after="0"/>
              <w:rPr>
                <w:sz w:val="20"/>
                <w:szCs w:val="20"/>
                <w:color w:val="auto"/>
              </w:rPr>
            </w:pPr>
            <w:r>
              <w:rPr>
                <w:rFonts w:ascii="Calibri" w:cs="Calibri" w:eastAsia="Calibri" w:hAnsi="Calibri"/>
                <w:sz w:val="18"/>
                <w:szCs w:val="18"/>
                <w:color w:val="auto"/>
              </w:rPr>
              <w:t>3.0 %</w:t>
            </w:r>
          </w:p>
        </w:tc>
        <w:tc>
          <w:tcPr>
            <w:tcW w:w="1040" w:type="dxa"/>
            <w:vAlign w:val="bottom"/>
            <w:gridSpan w:val="2"/>
          </w:tcPr>
          <w:p>
            <w:pPr>
              <w:jc w:val="right"/>
              <w:ind w:right="80"/>
              <w:spacing w:after="0"/>
              <w:rPr>
                <w:sz w:val="20"/>
                <w:szCs w:val="20"/>
                <w:color w:val="auto"/>
              </w:rPr>
            </w:pPr>
            <w:r>
              <w:rPr>
                <w:rFonts w:ascii="Calibri" w:cs="Calibri" w:eastAsia="Calibri" w:hAnsi="Calibri"/>
                <w:sz w:val="18"/>
                <w:szCs w:val="18"/>
                <w:color w:val="auto"/>
              </w:rPr>
              <w:t>3.0 %</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Calibri" w:cs="Calibri" w:eastAsia="Calibri" w:hAnsi="Calibri"/>
                <w:sz w:val="18"/>
                <w:szCs w:val="18"/>
                <w:color w:val="auto"/>
                <w:w w:val="95"/>
              </w:rPr>
              <w:t>3.0 %</w:t>
            </w:r>
          </w:p>
        </w:tc>
        <w:tc>
          <w:tcPr>
            <w:tcW w:w="1220" w:type="dxa"/>
            <w:vAlign w:val="bottom"/>
            <w:gridSpan w:val="3"/>
          </w:tcPr>
          <w:p>
            <w:pPr>
              <w:ind w:left="520"/>
              <w:spacing w:after="0"/>
              <w:rPr>
                <w:sz w:val="20"/>
                <w:szCs w:val="20"/>
                <w:color w:val="auto"/>
              </w:rPr>
            </w:pPr>
            <w:r>
              <w:rPr>
                <w:rFonts w:ascii="Calibri" w:cs="Calibri" w:eastAsia="Calibri" w:hAnsi="Calibri"/>
                <w:sz w:val="18"/>
                <w:szCs w:val="18"/>
                <w:color w:val="auto"/>
              </w:rPr>
              <w:t>N/A</w:t>
            </w:r>
          </w:p>
        </w:tc>
        <w:tc>
          <w:tcPr>
            <w:tcW w:w="920" w:type="dxa"/>
            <w:vAlign w:val="bottom"/>
            <w:gridSpan w:val="3"/>
          </w:tcPr>
          <w:p>
            <w:pPr>
              <w:jc w:val="right"/>
              <w:spacing w:after="0"/>
              <w:rPr>
                <w:sz w:val="20"/>
                <w:szCs w:val="20"/>
                <w:color w:val="auto"/>
              </w:rPr>
            </w:pPr>
            <w:r>
              <w:rPr>
                <w:rFonts w:ascii="Calibri" w:cs="Calibri" w:eastAsia="Calibri" w:hAnsi="Calibri"/>
                <w:sz w:val="18"/>
                <w:szCs w:val="18"/>
                <w:color w:val="auto"/>
              </w:rPr>
              <w:t>2.9 %</w:t>
            </w:r>
          </w:p>
        </w:tc>
      </w:tr>
      <w:tr>
        <w:trPr>
          <w:trHeight w:val="243"/>
        </w:trPr>
        <w:tc>
          <w:tcPr>
            <w:tcW w:w="4660" w:type="dxa"/>
            <w:vAlign w:val="bottom"/>
          </w:tcPr>
          <w:p>
            <w:pPr>
              <w:ind w:left="380"/>
              <w:spacing w:after="0"/>
              <w:rPr>
                <w:sz w:val="20"/>
                <w:szCs w:val="20"/>
                <w:color w:val="auto"/>
              </w:rPr>
            </w:pPr>
            <w:r>
              <w:rPr>
                <w:rFonts w:ascii="Calibri" w:cs="Calibri" w:eastAsia="Calibri" w:hAnsi="Calibri"/>
                <w:sz w:val="18"/>
                <w:szCs w:val="18"/>
                <w:color w:val="auto"/>
              </w:rPr>
              <w:t>Cash balance interest credit rate</w:t>
            </w:r>
          </w:p>
        </w:tc>
        <w:tc>
          <w:tcPr>
            <w:tcW w:w="1080" w:type="dxa"/>
            <w:vAlign w:val="bottom"/>
            <w:gridSpan w:val="2"/>
          </w:tcPr>
          <w:p>
            <w:pPr>
              <w:jc w:val="right"/>
              <w:ind w:right="100"/>
              <w:spacing w:after="0"/>
              <w:rPr>
                <w:sz w:val="20"/>
                <w:szCs w:val="20"/>
                <w:color w:val="auto"/>
              </w:rPr>
            </w:pPr>
            <w:r>
              <w:rPr>
                <w:rFonts w:ascii="Calibri" w:cs="Calibri" w:eastAsia="Calibri" w:hAnsi="Calibri"/>
                <w:sz w:val="18"/>
                <w:szCs w:val="18"/>
                <w:color w:val="auto"/>
              </w:rPr>
              <w:t>2.0 %</w:t>
            </w:r>
          </w:p>
        </w:tc>
        <w:tc>
          <w:tcPr>
            <w:tcW w:w="1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Calibri" w:cs="Calibri" w:eastAsia="Calibri" w:hAnsi="Calibri"/>
                <w:sz w:val="18"/>
                <w:szCs w:val="18"/>
                <w:color w:val="auto"/>
              </w:rPr>
              <w:t>2.1 %</w:t>
            </w:r>
          </w:p>
        </w:tc>
        <w:tc>
          <w:tcPr>
            <w:tcW w:w="1040" w:type="dxa"/>
            <w:vAlign w:val="bottom"/>
            <w:gridSpan w:val="2"/>
          </w:tcPr>
          <w:p>
            <w:pPr>
              <w:jc w:val="right"/>
              <w:ind w:right="80"/>
              <w:spacing w:after="0"/>
              <w:rPr>
                <w:sz w:val="20"/>
                <w:szCs w:val="20"/>
                <w:color w:val="auto"/>
              </w:rPr>
            </w:pPr>
            <w:r>
              <w:rPr>
                <w:rFonts w:ascii="Calibri" w:cs="Calibri" w:eastAsia="Calibri" w:hAnsi="Calibri"/>
                <w:sz w:val="18"/>
                <w:szCs w:val="18"/>
                <w:color w:val="auto"/>
              </w:rPr>
              <w:t>2.0 %</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Calibri" w:cs="Calibri" w:eastAsia="Calibri" w:hAnsi="Calibri"/>
                <w:sz w:val="18"/>
                <w:szCs w:val="18"/>
                <w:color w:val="auto"/>
                <w:w w:val="95"/>
              </w:rPr>
              <w:t>2.0 %</w:t>
            </w:r>
          </w:p>
        </w:tc>
        <w:tc>
          <w:tcPr>
            <w:tcW w:w="1040" w:type="dxa"/>
            <w:vAlign w:val="bottom"/>
            <w:gridSpan w:val="2"/>
          </w:tcPr>
          <w:p>
            <w:pPr>
              <w:jc w:val="right"/>
              <w:ind w:right="80"/>
              <w:spacing w:after="0"/>
              <w:rPr>
                <w:sz w:val="20"/>
                <w:szCs w:val="20"/>
                <w:color w:val="auto"/>
              </w:rPr>
            </w:pPr>
            <w:r>
              <w:rPr>
                <w:rFonts w:ascii="Calibri" w:cs="Calibri" w:eastAsia="Calibri" w:hAnsi="Calibri"/>
                <w:sz w:val="18"/>
                <w:szCs w:val="18"/>
                <w:color w:val="auto"/>
              </w:rPr>
              <w:t>2.0 %</w:t>
            </w:r>
          </w:p>
        </w:tc>
        <w:tc>
          <w:tcPr>
            <w:tcW w:w="18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Calibri" w:cs="Calibri" w:eastAsia="Calibri" w:hAnsi="Calibri"/>
                <w:sz w:val="18"/>
                <w:szCs w:val="18"/>
                <w:color w:val="auto"/>
              </w:rPr>
              <w:t>1.7 %</w:t>
            </w:r>
          </w:p>
        </w:tc>
      </w:tr>
      <w:tr>
        <w:trPr>
          <w:trHeight w:val="37"/>
        </w:trPr>
        <w:tc>
          <w:tcPr>
            <w:tcW w:w="4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07"/>
        </w:trPr>
        <w:tc>
          <w:tcPr>
            <w:tcW w:w="4660" w:type="dxa"/>
            <w:vAlign w:val="bottom"/>
            <w:shd w:val="clear" w:color="auto" w:fill="CFF0FC"/>
          </w:tcPr>
          <w:p>
            <w:pPr>
              <w:ind w:left="20"/>
              <w:spacing w:after="0" w:line="207" w:lineRule="exact"/>
              <w:rPr>
                <w:sz w:val="20"/>
                <w:szCs w:val="20"/>
                <w:color w:val="auto"/>
              </w:rPr>
            </w:pPr>
            <w:r>
              <w:rPr>
                <w:rFonts w:ascii="Calibri" w:cs="Calibri" w:eastAsia="Calibri" w:hAnsi="Calibri"/>
                <w:sz w:val="18"/>
                <w:szCs w:val="18"/>
                <w:color w:val="auto"/>
              </w:rPr>
              <w:t>Actuarial assumptons used to determine net</w:t>
            </w: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466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periodic beneft cost during the year:</w:t>
            </w:r>
          </w:p>
        </w:tc>
        <w:tc>
          <w:tcPr>
            <w:tcW w:w="8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5"/>
        </w:trPr>
        <w:tc>
          <w:tcPr>
            <w:tcW w:w="4660" w:type="dxa"/>
            <w:vAlign w:val="bottom"/>
          </w:tcPr>
          <w:p>
            <w:pPr>
              <w:ind w:left="380"/>
              <w:spacing w:after="0" w:line="215" w:lineRule="exact"/>
              <w:rPr>
                <w:sz w:val="20"/>
                <w:szCs w:val="20"/>
                <w:color w:val="auto"/>
              </w:rPr>
            </w:pPr>
            <w:r>
              <w:rPr>
                <w:rFonts w:ascii="Calibri" w:cs="Calibri" w:eastAsia="Calibri" w:hAnsi="Calibri"/>
                <w:sz w:val="18"/>
                <w:szCs w:val="18"/>
                <w:color w:val="auto"/>
              </w:rPr>
              <w:t>Discount rate - beneft obligaton</w:t>
            </w:r>
          </w:p>
        </w:tc>
        <w:tc>
          <w:tcPr>
            <w:tcW w:w="10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5.6 %</w:t>
            </w:r>
          </w:p>
        </w:tc>
        <w:tc>
          <w:tcPr>
            <w:tcW w:w="180" w:type="dxa"/>
            <w:vAlign w:val="bottom"/>
          </w:tcPr>
          <w:p>
            <w:pPr>
              <w:spacing w:after="0"/>
              <w:rPr>
                <w:sz w:val="18"/>
                <w:szCs w:val="18"/>
                <w:color w:val="auto"/>
              </w:rPr>
            </w:pPr>
          </w:p>
        </w:tc>
        <w:tc>
          <w:tcPr>
            <w:tcW w:w="10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4.5 %</w:t>
            </w:r>
          </w:p>
        </w:tc>
        <w:tc>
          <w:tcPr>
            <w:tcW w:w="10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2.2 %</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w w:val="95"/>
              </w:rPr>
              <w:t>2.1 %</w:t>
            </w:r>
          </w:p>
        </w:tc>
        <w:tc>
          <w:tcPr>
            <w:tcW w:w="10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2.5 %</w:t>
            </w:r>
          </w:p>
        </w:tc>
        <w:tc>
          <w:tcPr>
            <w:tcW w:w="180" w:type="dxa"/>
            <w:vAlign w:val="bottom"/>
          </w:tcPr>
          <w:p>
            <w:pPr>
              <w:spacing w:after="0"/>
              <w:rPr>
                <w:sz w:val="18"/>
                <w:szCs w:val="18"/>
                <w:color w:val="auto"/>
              </w:rPr>
            </w:pPr>
          </w:p>
        </w:tc>
        <w:tc>
          <w:tcPr>
            <w:tcW w:w="9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1.7 %</w:t>
            </w:r>
          </w:p>
        </w:tc>
      </w:tr>
      <w:tr>
        <w:trPr>
          <w:trHeight w:val="234"/>
        </w:trPr>
        <w:tc>
          <w:tcPr>
            <w:tcW w:w="4660" w:type="dxa"/>
            <w:vAlign w:val="bottom"/>
          </w:tcPr>
          <w:p>
            <w:pPr>
              <w:ind w:left="380"/>
              <w:spacing w:after="0"/>
              <w:rPr>
                <w:sz w:val="20"/>
                <w:szCs w:val="20"/>
                <w:color w:val="auto"/>
              </w:rPr>
            </w:pPr>
            <w:r>
              <w:rPr>
                <w:rFonts w:ascii="Calibri" w:cs="Calibri" w:eastAsia="Calibri" w:hAnsi="Calibri"/>
                <w:sz w:val="18"/>
                <w:szCs w:val="18"/>
                <w:color w:val="auto"/>
              </w:rPr>
              <w:t>Discount rate - service cost</w:t>
            </w:r>
          </w:p>
        </w:tc>
        <w:tc>
          <w:tcPr>
            <w:tcW w:w="1260" w:type="dxa"/>
            <w:vAlign w:val="bottom"/>
            <w:gridSpan w:val="3"/>
          </w:tcPr>
          <w:p>
            <w:pPr>
              <w:ind w:left="540"/>
              <w:spacing w:after="0"/>
              <w:rPr>
                <w:sz w:val="20"/>
                <w:szCs w:val="20"/>
                <w:color w:val="auto"/>
              </w:rPr>
            </w:pPr>
            <w:r>
              <w:rPr>
                <w:rFonts w:ascii="Calibri" w:cs="Calibri" w:eastAsia="Calibri" w:hAnsi="Calibri"/>
                <w:sz w:val="18"/>
                <w:szCs w:val="18"/>
                <w:color w:val="auto"/>
              </w:rPr>
              <w:t>N/A</w:t>
            </w:r>
          </w:p>
        </w:tc>
        <w:tc>
          <w:tcPr>
            <w:tcW w:w="1020" w:type="dxa"/>
            <w:vAlign w:val="bottom"/>
            <w:gridSpan w:val="2"/>
          </w:tcPr>
          <w:p>
            <w:pPr>
              <w:jc w:val="right"/>
              <w:ind w:right="80"/>
              <w:spacing w:after="0"/>
              <w:rPr>
                <w:sz w:val="20"/>
                <w:szCs w:val="20"/>
                <w:color w:val="auto"/>
              </w:rPr>
            </w:pPr>
            <w:r>
              <w:rPr>
                <w:rFonts w:ascii="Calibri" w:cs="Calibri" w:eastAsia="Calibri" w:hAnsi="Calibri"/>
                <w:sz w:val="18"/>
                <w:szCs w:val="18"/>
                <w:color w:val="auto"/>
              </w:rPr>
              <w:t>3.6 %</w:t>
            </w:r>
          </w:p>
        </w:tc>
        <w:tc>
          <w:tcPr>
            <w:tcW w:w="1220" w:type="dxa"/>
            <w:vAlign w:val="bottom"/>
            <w:gridSpan w:val="3"/>
          </w:tcPr>
          <w:p>
            <w:pPr>
              <w:ind w:left="520"/>
              <w:spacing w:after="0"/>
              <w:rPr>
                <w:sz w:val="20"/>
                <w:szCs w:val="20"/>
                <w:color w:val="auto"/>
              </w:rPr>
            </w:pPr>
            <w:r>
              <w:rPr>
                <w:rFonts w:ascii="Calibri" w:cs="Calibri" w:eastAsia="Calibri" w:hAnsi="Calibri"/>
                <w:sz w:val="18"/>
                <w:szCs w:val="18"/>
                <w:color w:val="auto"/>
              </w:rPr>
              <w:t>N/A</w:t>
            </w:r>
          </w:p>
        </w:tc>
        <w:tc>
          <w:tcPr>
            <w:tcW w:w="52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Calibri" w:cs="Calibri" w:eastAsia="Calibri" w:hAnsi="Calibri"/>
                <w:sz w:val="18"/>
                <w:szCs w:val="18"/>
                <w:color w:val="auto"/>
                <w:w w:val="95"/>
              </w:rPr>
              <w:t>2.0 %</w:t>
            </w:r>
          </w:p>
        </w:tc>
        <w:tc>
          <w:tcPr>
            <w:tcW w:w="1220" w:type="dxa"/>
            <w:vAlign w:val="bottom"/>
            <w:gridSpan w:val="3"/>
          </w:tcPr>
          <w:p>
            <w:pPr>
              <w:ind w:left="520"/>
              <w:spacing w:after="0"/>
              <w:rPr>
                <w:sz w:val="20"/>
                <w:szCs w:val="20"/>
                <w:color w:val="auto"/>
              </w:rPr>
            </w:pPr>
            <w:r>
              <w:rPr>
                <w:rFonts w:ascii="Calibri" w:cs="Calibri" w:eastAsia="Calibri" w:hAnsi="Calibri"/>
                <w:sz w:val="18"/>
                <w:szCs w:val="18"/>
                <w:color w:val="auto"/>
              </w:rPr>
              <w:t>N/A</w:t>
            </w:r>
          </w:p>
        </w:tc>
        <w:tc>
          <w:tcPr>
            <w:tcW w:w="920" w:type="dxa"/>
            <w:vAlign w:val="bottom"/>
            <w:gridSpan w:val="3"/>
          </w:tcPr>
          <w:p>
            <w:pPr>
              <w:jc w:val="right"/>
              <w:spacing w:after="0"/>
              <w:rPr>
                <w:sz w:val="20"/>
                <w:szCs w:val="20"/>
                <w:color w:val="auto"/>
              </w:rPr>
            </w:pPr>
            <w:r>
              <w:rPr>
                <w:rFonts w:ascii="Calibri" w:cs="Calibri" w:eastAsia="Calibri" w:hAnsi="Calibri"/>
                <w:sz w:val="18"/>
                <w:szCs w:val="18"/>
                <w:color w:val="auto"/>
              </w:rPr>
              <w:t>1.7 %</w:t>
            </w:r>
          </w:p>
        </w:tc>
      </w:tr>
      <w:tr>
        <w:trPr>
          <w:trHeight w:val="243"/>
        </w:trPr>
        <w:tc>
          <w:tcPr>
            <w:tcW w:w="4660" w:type="dxa"/>
            <w:vAlign w:val="bottom"/>
          </w:tcPr>
          <w:p>
            <w:pPr>
              <w:ind w:left="380"/>
              <w:spacing w:after="0"/>
              <w:rPr>
                <w:sz w:val="20"/>
                <w:szCs w:val="20"/>
                <w:color w:val="auto"/>
              </w:rPr>
            </w:pPr>
            <w:r>
              <w:rPr>
                <w:rFonts w:ascii="Calibri" w:cs="Calibri" w:eastAsia="Calibri" w:hAnsi="Calibri"/>
                <w:sz w:val="18"/>
                <w:szCs w:val="18"/>
                <w:color w:val="auto"/>
              </w:rPr>
              <w:t>Discount rate - interest cost</w:t>
            </w:r>
          </w:p>
        </w:tc>
        <w:tc>
          <w:tcPr>
            <w:tcW w:w="1080" w:type="dxa"/>
            <w:vAlign w:val="bottom"/>
            <w:gridSpan w:val="2"/>
          </w:tcPr>
          <w:p>
            <w:pPr>
              <w:jc w:val="right"/>
              <w:ind w:right="100"/>
              <w:spacing w:after="0"/>
              <w:rPr>
                <w:sz w:val="20"/>
                <w:szCs w:val="20"/>
                <w:color w:val="auto"/>
              </w:rPr>
            </w:pPr>
            <w:r>
              <w:rPr>
                <w:rFonts w:ascii="Calibri" w:cs="Calibri" w:eastAsia="Calibri" w:hAnsi="Calibri"/>
                <w:sz w:val="18"/>
                <w:szCs w:val="18"/>
                <w:color w:val="auto"/>
              </w:rPr>
              <w:t>5.3 %</w:t>
            </w:r>
          </w:p>
        </w:tc>
        <w:tc>
          <w:tcPr>
            <w:tcW w:w="1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Calibri" w:cs="Calibri" w:eastAsia="Calibri" w:hAnsi="Calibri"/>
                <w:sz w:val="18"/>
                <w:szCs w:val="18"/>
                <w:color w:val="auto"/>
              </w:rPr>
              <w:t>4.5 %</w:t>
            </w:r>
          </w:p>
        </w:tc>
        <w:tc>
          <w:tcPr>
            <w:tcW w:w="1040" w:type="dxa"/>
            <w:vAlign w:val="bottom"/>
            <w:gridSpan w:val="2"/>
          </w:tcPr>
          <w:p>
            <w:pPr>
              <w:jc w:val="right"/>
              <w:ind w:right="80"/>
              <w:spacing w:after="0"/>
              <w:rPr>
                <w:sz w:val="20"/>
                <w:szCs w:val="20"/>
                <w:color w:val="auto"/>
              </w:rPr>
            </w:pPr>
            <w:r>
              <w:rPr>
                <w:rFonts w:ascii="Calibri" w:cs="Calibri" w:eastAsia="Calibri" w:hAnsi="Calibri"/>
                <w:sz w:val="18"/>
                <w:szCs w:val="18"/>
                <w:color w:val="auto"/>
              </w:rPr>
              <w:t>1.6 %</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Calibri" w:cs="Calibri" w:eastAsia="Calibri" w:hAnsi="Calibri"/>
                <w:sz w:val="18"/>
                <w:szCs w:val="18"/>
                <w:color w:val="auto"/>
                <w:w w:val="95"/>
              </w:rPr>
              <w:t>1.7 %</w:t>
            </w:r>
          </w:p>
        </w:tc>
        <w:tc>
          <w:tcPr>
            <w:tcW w:w="1040" w:type="dxa"/>
            <w:vAlign w:val="bottom"/>
            <w:gridSpan w:val="2"/>
          </w:tcPr>
          <w:p>
            <w:pPr>
              <w:jc w:val="right"/>
              <w:ind w:right="80"/>
              <w:spacing w:after="0"/>
              <w:rPr>
                <w:sz w:val="20"/>
                <w:szCs w:val="20"/>
                <w:color w:val="auto"/>
              </w:rPr>
            </w:pPr>
            <w:r>
              <w:rPr>
                <w:rFonts w:ascii="Calibri" w:cs="Calibri" w:eastAsia="Calibri" w:hAnsi="Calibri"/>
                <w:sz w:val="18"/>
                <w:szCs w:val="18"/>
                <w:color w:val="auto"/>
              </w:rPr>
              <w:t>1.4 %</w:t>
            </w:r>
          </w:p>
        </w:tc>
        <w:tc>
          <w:tcPr>
            <w:tcW w:w="18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Calibri" w:cs="Calibri" w:eastAsia="Calibri" w:hAnsi="Calibri"/>
                <w:sz w:val="18"/>
                <w:szCs w:val="18"/>
                <w:color w:val="auto"/>
              </w:rPr>
              <w:t>1.4 %</w:t>
            </w:r>
          </w:p>
        </w:tc>
      </w:tr>
      <w:tr>
        <w:trPr>
          <w:trHeight w:val="243"/>
        </w:trPr>
        <w:tc>
          <w:tcPr>
            <w:tcW w:w="4660" w:type="dxa"/>
            <w:vAlign w:val="bottom"/>
          </w:tcPr>
          <w:p>
            <w:pPr>
              <w:ind w:left="380"/>
              <w:spacing w:after="0"/>
              <w:rPr>
                <w:sz w:val="20"/>
                <w:szCs w:val="20"/>
                <w:color w:val="auto"/>
              </w:rPr>
            </w:pPr>
            <w:r>
              <w:rPr>
                <w:rFonts w:ascii="Calibri" w:cs="Calibri" w:eastAsia="Calibri" w:hAnsi="Calibri"/>
                <w:sz w:val="18"/>
                <w:szCs w:val="18"/>
                <w:color w:val="auto"/>
              </w:rPr>
              <w:t>Expected long-term rate of return on</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4660" w:type="dxa"/>
            <w:vAlign w:val="bottom"/>
          </w:tcPr>
          <w:p>
            <w:pPr>
              <w:ind w:left="500"/>
              <w:spacing w:after="0" w:line="216" w:lineRule="exact"/>
              <w:rPr>
                <w:sz w:val="20"/>
                <w:szCs w:val="20"/>
                <w:color w:val="auto"/>
              </w:rPr>
            </w:pPr>
            <w:r>
              <w:rPr>
                <w:rFonts w:ascii="Calibri" w:cs="Calibri" w:eastAsia="Calibri" w:hAnsi="Calibri"/>
                <w:sz w:val="18"/>
                <w:szCs w:val="18"/>
                <w:color w:val="auto"/>
              </w:rPr>
              <w:t>plan assets</w:t>
            </w:r>
          </w:p>
        </w:tc>
        <w:tc>
          <w:tcPr>
            <w:tcW w:w="1260" w:type="dxa"/>
            <w:vAlign w:val="bottom"/>
            <w:gridSpan w:val="3"/>
          </w:tcPr>
          <w:p>
            <w:pPr>
              <w:ind w:left="540"/>
              <w:spacing w:after="0" w:line="216" w:lineRule="exact"/>
              <w:rPr>
                <w:sz w:val="20"/>
                <w:szCs w:val="20"/>
                <w:color w:val="auto"/>
              </w:rPr>
            </w:pPr>
            <w:r>
              <w:rPr>
                <w:rFonts w:ascii="Calibri" w:cs="Calibri" w:eastAsia="Calibri" w:hAnsi="Calibri"/>
                <w:sz w:val="18"/>
                <w:szCs w:val="18"/>
                <w:color w:val="auto"/>
              </w:rPr>
              <w:t>N/A</w:t>
            </w:r>
          </w:p>
        </w:tc>
        <w:tc>
          <w:tcPr>
            <w:tcW w:w="1020" w:type="dxa"/>
            <w:vAlign w:val="bottom"/>
            <w:gridSpan w:val="2"/>
          </w:tcPr>
          <w:p>
            <w:pPr>
              <w:jc w:val="right"/>
              <w:ind w:right="80"/>
              <w:spacing w:after="0" w:line="216" w:lineRule="exact"/>
              <w:rPr>
                <w:sz w:val="20"/>
                <w:szCs w:val="20"/>
                <w:color w:val="auto"/>
              </w:rPr>
            </w:pPr>
            <w:r>
              <w:rPr>
                <w:rFonts w:ascii="Calibri" w:cs="Calibri" w:eastAsia="Calibri" w:hAnsi="Calibri"/>
                <w:sz w:val="18"/>
                <w:szCs w:val="18"/>
                <w:color w:val="auto"/>
              </w:rPr>
              <w:t>5.1 %</w:t>
            </w:r>
          </w:p>
        </w:tc>
        <w:tc>
          <w:tcPr>
            <w:tcW w:w="1220" w:type="dxa"/>
            <w:vAlign w:val="bottom"/>
            <w:gridSpan w:val="3"/>
          </w:tcPr>
          <w:p>
            <w:pPr>
              <w:ind w:left="520"/>
              <w:spacing w:after="0" w:line="216" w:lineRule="exact"/>
              <w:rPr>
                <w:sz w:val="20"/>
                <w:szCs w:val="20"/>
                <w:color w:val="auto"/>
              </w:rPr>
            </w:pPr>
            <w:r>
              <w:rPr>
                <w:rFonts w:ascii="Calibri" w:cs="Calibri" w:eastAsia="Calibri" w:hAnsi="Calibri"/>
                <w:sz w:val="18"/>
                <w:szCs w:val="18"/>
                <w:color w:val="auto"/>
              </w:rPr>
              <w:t>N/A</w:t>
            </w:r>
          </w:p>
        </w:tc>
        <w:tc>
          <w:tcPr>
            <w:tcW w:w="520" w:type="dxa"/>
            <w:vAlign w:val="bottom"/>
          </w:tcPr>
          <w:p>
            <w:pPr>
              <w:spacing w:after="0"/>
              <w:rPr>
                <w:sz w:val="18"/>
                <w:szCs w:val="18"/>
                <w:color w:val="auto"/>
              </w:rPr>
            </w:pPr>
          </w:p>
        </w:tc>
        <w:tc>
          <w:tcPr>
            <w:tcW w:w="460" w:type="dxa"/>
            <w:vAlign w:val="bottom"/>
            <w:gridSpan w:val="2"/>
          </w:tcPr>
          <w:p>
            <w:pPr>
              <w:jc w:val="right"/>
              <w:ind w:right="60"/>
              <w:spacing w:after="0" w:line="216" w:lineRule="exact"/>
              <w:rPr>
                <w:sz w:val="20"/>
                <w:szCs w:val="20"/>
                <w:color w:val="auto"/>
              </w:rPr>
            </w:pPr>
            <w:r>
              <w:rPr>
                <w:rFonts w:ascii="Calibri" w:cs="Calibri" w:eastAsia="Calibri" w:hAnsi="Calibri"/>
                <w:sz w:val="18"/>
                <w:szCs w:val="18"/>
                <w:color w:val="auto"/>
                <w:w w:val="95"/>
              </w:rPr>
              <w:t>3.5 %</w:t>
            </w:r>
          </w:p>
        </w:tc>
        <w:tc>
          <w:tcPr>
            <w:tcW w:w="1220" w:type="dxa"/>
            <w:vAlign w:val="bottom"/>
            <w:gridSpan w:val="3"/>
          </w:tcPr>
          <w:p>
            <w:pPr>
              <w:ind w:left="520"/>
              <w:spacing w:after="0" w:line="216" w:lineRule="exact"/>
              <w:rPr>
                <w:sz w:val="20"/>
                <w:szCs w:val="20"/>
                <w:color w:val="auto"/>
              </w:rPr>
            </w:pPr>
            <w:r>
              <w:rPr>
                <w:rFonts w:ascii="Calibri" w:cs="Calibri" w:eastAsia="Calibri" w:hAnsi="Calibri"/>
                <w:sz w:val="18"/>
                <w:szCs w:val="18"/>
                <w:color w:val="auto"/>
              </w:rPr>
              <w:t>N/A</w:t>
            </w:r>
          </w:p>
        </w:tc>
        <w:tc>
          <w:tcPr>
            <w:tcW w:w="920" w:type="dxa"/>
            <w:vAlign w:val="bottom"/>
            <w:gridSpan w:val="3"/>
          </w:tcPr>
          <w:p>
            <w:pPr>
              <w:jc w:val="right"/>
              <w:spacing w:after="0" w:line="216" w:lineRule="exact"/>
              <w:rPr>
                <w:sz w:val="20"/>
                <w:szCs w:val="20"/>
                <w:color w:val="auto"/>
              </w:rPr>
            </w:pPr>
            <w:r>
              <w:rPr>
                <w:rFonts w:ascii="Calibri" w:cs="Calibri" w:eastAsia="Calibri" w:hAnsi="Calibri"/>
                <w:sz w:val="18"/>
                <w:szCs w:val="18"/>
                <w:color w:val="auto"/>
              </w:rPr>
              <w:t>4.6 %</w:t>
            </w:r>
          </w:p>
        </w:tc>
      </w:tr>
      <w:tr>
        <w:trPr>
          <w:trHeight w:val="243"/>
        </w:trPr>
        <w:tc>
          <w:tcPr>
            <w:tcW w:w="4660" w:type="dxa"/>
            <w:vAlign w:val="bottom"/>
          </w:tcPr>
          <w:p>
            <w:pPr>
              <w:ind w:left="380"/>
              <w:spacing w:after="0"/>
              <w:rPr>
                <w:sz w:val="20"/>
                <w:szCs w:val="20"/>
                <w:color w:val="auto"/>
              </w:rPr>
            </w:pPr>
            <w:r>
              <w:rPr>
                <w:rFonts w:ascii="Calibri" w:cs="Calibri" w:eastAsia="Calibri" w:hAnsi="Calibri"/>
                <w:sz w:val="18"/>
                <w:szCs w:val="18"/>
                <w:color w:val="auto"/>
              </w:rPr>
              <w:t>Rate of increase in compensaton</w:t>
            </w:r>
          </w:p>
        </w:tc>
        <w:tc>
          <w:tcPr>
            <w:tcW w:w="1260" w:type="dxa"/>
            <w:vAlign w:val="bottom"/>
            <w:gridSpan w:val="3"/>
          </w:tcPr>
          <w:p>
            <w:pPr>
              <w:ind w:left="540"/>
              <w:spacing w:after="0"/>
              <w:rPr>
                <w:sz w:val="20"/>
                <w:szCs w:val="20"/>
                <w:color w:val="auto"/>
              </w:rPr>
            </w:pPr>
            <w:r>
              <w:rPr>
                <w:rFonts w:ascii="Calibri" w:cs="Calibri" w:eastAsia="Calibri" w:hAnsi="Calibri"/>
                <w:sz w:val="18"/>
                <w:szCs w:val="18"/>
                <w:color w:val="auto"/>
              </w:rPr>
              <w:t>N/A</w:t>
            </w:r>
          </w:p>
        </w:tc>
        <w:tc>
          <w:tcPr>
            <w:tcW w:w="1020" w:type="dxa"/>
            <w:vAlign w:val="bottom"/>
            <w:gridSpan w:val="2"/>
          </w:tcPr>
          <w:p>
            <w:pPr>
              <w:jc w:val="right"/>
              <w:ind w:right="80"/>
              <w:spacing w:after="0"/>
              <w:rPr>
                <w:sz w:val="20"/>
                <w:szCs w:val="20"/>
                <w:color w:val="auto"/>
              </w:rPr>
            </w:pPr>
            <w:r>
              <w:rPr>
                <w:rFonts w:ascii="Calibri" w:cs="Calibri" w:eastAsia="Calibri" w:hAnsi="Calibri"/>
                <w:sz w:val="18"/>
                <w:szCs w:val="18"/>
                <w:color w:val="auto"/>
              </w:rPr>
              <w:t>3.0 %</w:t>
            </w:r>
          </w:p>
        </w:tc>
        <w:tc>
          <w:tcPr>
            <w:tcW w:w="1220" w:type="dxa"/>
            <w:vAlign w:val="bottom"/>
            <w:gridSpan w:val="3"/>
          </w:tcPr>
          <w:p>
            <w:pPr>
              <w:ind w:left="520"/>
              <w:spacing w:after="0"/>
              <w:rPr>
                <w:sz w:val="20"/>
                <w:szCs w:val="20"/>
                <w:color w:val="auto"/>
              </w:rPr>
            </w:pPr>
            <w:r>
              <w:rPr>
                <w:rFonts w:ascii="Calibri" w:cs="Calibri" w:eastAsia="Calibri" w:hAnsi="Calibri"/>
                <w:sz w:val="18"/>
                <w:szCs w:val="18"/>
                <w:color w:val="auto"/>
              </w:rPr>
              <w:t>N/A</w:t>
            </w:r>
          </w:p>
        </w:tc>
        <w:tc>
          <w:tcPr>
            <w:tcW w:w="5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Calibri" w:cs="Calibri" w:eastAsia="Calibri" w:hAnsi="Calibri"/>
                <w:sz w:val="18"/>
                <w:szCs w:val="18"/>
                <w:color w:val="auto"/>
                <w:w w:val="95"/>
              </w:rPr>
              <w:t>2.9 %</w:t>
            </w:r>
          </w:p>
        </w:tc>
        <w:tc>
          <w:tcPr>
            <w:tcW w:w="1220" w:type="dxa"/>
            <w:vAlign w:val="bottom"/>
            <w:gridSpan w:val="3"/>
          </w:tcPr>
          <w:p>
            <w:pPr>
              <w:ind w:left="520"/>
              <w:spacing w:after="0"/>
              <w:rPr>
                <w:sz w:val="20"/>
                <w:szCs w:val="20"/>
                <w:color w:val="auto"/>
              </w:rPr>
            </w:pPr>
            <w:r>
              <w:rPr>
                <w:rFonts w:ascii="Calibri" w:cs="Calibri" w:eastAsia="Calibri" w:hAnsi="Calibri"/>
                <w:sz w:val="18"/>
                <w:szCs w:val="18"/>
                <w:color w:val="auto"/>
              </w:rPr>
              <w:t>N/A</w:t>
            </w:r>
          </w:p>
        </w:tc>
        <w:tc>
          <w:tcPr>
            <w:tcW w:w="920" w:type="dxa"/>
            <w:vAlign w:val="bottom"/>
            <w:gridSpan w:val="3"/>
          </w:tcPr>
          <w:p>
            <w:pPr>
              <w:jc w:val="right"/>
              <w:spacing w:after="0"/>
              <w:rPr>
                <w:sz w:val="20"/>
                <w:szCs w:val="20"/>
                <w:color w:val="auto"/>
              </w:rPr>
            </w:pPr>
            <w:r>
              <w:rPr>
                <w:rFonts w:ascii="Calibri" w:cs="Calibri" w:eastAsia="Calibri" w:hAnsi="Calibri"/>
                <w:sz w:val="18"/>
                <w:szCs w:val="18"/>
                <w:color w:val="auto"/>
              </w:rPr>
              <w:t>3.0 %</w:t>
            </w:r>
          </w:p>
        </w:tc>
      </w:tr>
      <w:tr>
        <w:trPr>
          <w:trHeight w:val="243"/>
        </w:trPr>
        <w:tc>
          <w:tcPr>
            <w:tcW w:w="4660" w:type="dxa"/>
            <w:vAlign w:val="bottom"/>
          </w:tcPr>
          <w:p>
            <w:pPr>
              <w:ind w:left="380"/>
              <w:spacing w:after="0"/>
              <w:rPr>
                <w:sz w:val="20"/>
                <w:szCs w:val="20"/>
                <w:color w:val="auto"/>
              </w:rPr>
            </w:pPr>
            <w:r>
              <w:rPr>
                <w:rFonts w:ascii="Calibri" w:cs="Calibri" w:eastAsia="Calibri" w:hAnsi="Calibri"/>
                <w:sz w:val="18"/>
                <w:szCs w:val="18"/>
                <w:color w:val="auto"/>
              </w:rPr>
              <w:t>Cash balance interest credit rate</w:t>
            </w:r>
          </w:p>
        </w:tc>
        <w:tc>
          <w:tcPr>
            <w:tcW w:w="1080" w:type="dxa"/>
            <w:vAlign w:val="bottom"/>
            <w:gridSpan w:val="2"/>
          </w:tcPr>
          <w:p>
            <w:pPr>
              <w:jc w:val="right"/>
              <w:ind w:right="100"/>
              <w:spacing w:after="0"/>
              <w:rPr>
                <w:sz w:val="20"/>
                <w:szCs w:val="20"/>
                <w:color w:val="auto"/>
              </w:rPr>
            </w:pPr>
            <w:r>
              <w:rPr>
                <w:rFonts w:ascii="Calibri" w:cs="Calibri" w:eastAsia="Calibri" w:hAnsi="Calibri"/>
                <w:sz w:val="18"/>
                <w:szCs w:val="18"/>
                <w:color w:val="auto"/>
              </w:rPr>
              <w:t>2.0 %</w:t>
            </w:r>
          </w:p>
        </w:tc>
        <w:tc>
          <w:tcPr>
            <w:tcW w:w="1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Calibri" w:cs="Calibri" w:eastAsia="Calibri" w:hAnsi="Calibri"/>
                <w:sz w:val="18"/>
                <w:szCs w:val="18"/>
                <w:color w:val="auto"/>
              </w:rPr>
              <w:t>2.0 %</w:t>
            </w:r>
          </w:p>
        </w:tc>
        <w:tc>
          <w:tcPr>
            <w:tcW w:w="1040" w:type="dxa"/>
            <w:vAlign w:val="bottom"/>
            <w:gridSpan w:val="2"/>
          </w:tcPr>
          <w:p>
            <w:pPr>
              <w:jc w:val="right"/>
              <w:ind w:right="80"/>
              <w:spacing w:after="0"/>
              <w:rPr>
                <w:sz w:val="20"/>
                <w:szCs w:val="20"/>
                <w:color w:val="auto"/>
              </w:rPr>
            </w:pPr>
            <w:r>
              <w:rPr>
                <w:rFonts w:ascii="Calibri" w:cs="Calibri" w:eastAsia="Calibri" w:hAnsi="Calibri"/>
                <w:sz w:val="18"/>
                <w:szCs w:val="18"/>
                <w:color w:val="auto"/>
              </w:rPr>
              <w:t>2.0 %</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Calibri" w:cs="Calibri" w:eastAsia="Calibri" w:hAnsi="Calibri"/>
                <w:sz w:val="18"/>
                <w:szCs w:val="18"/>
                <w:color w:val="auto"/>
                <w:w w:val="95"/>
              </w:rPr>
              <w:t>1.7 %</w:t>
            </w:r>
          </w:p>
        </w:tc>
        <w:tc>
          <w:tcPr>
            <w:tcW w:w="1040" w:type="dxa"/>
            <w:vAlign w:val="bottom"/>
            <w:gridSpan w:val="2"/>
          </w:tcPr>
          <w:p>
            <w:pPr>
              <w:jc w:val="right"/>
              <w:ind w:right="80"/>
              <w:spacing w:after="0"/>
              <w:rPr>
                <w:sz w:val="20"/>
                <w:szCs w:val="20"/>
                <w:color w:val="auto"/>
              </w:rPr>
            </w:pPr>
            <w:r>
              <w:rPr>
                <w:rFonts w:ascii="Calibri" w:cs="Calibri" w:eastAsia="Calibri" w:hAnsi="Calibri"/>
                <w:sz w:val="18"/>
                <w:szCs w:val="18"/>
                <w:color w:val="auto"/>
              </w:rPr>
              <w:t>2.1 %</w:t>
            </w:r>
          </w:p>
        </w:tc>
        <w:tc>
          <w:tcPr>
            <w:tcW w:w="18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Calibri" w:cs="Calibri" w:eastAsia="Calibri" w:hAnsi="Calibri"/>
                <w:sz w:val="18"/>
                <w:szCs w:val="18"/>
                <w:color w:val="auto"/>
              </w:rPr>
              <w:t>1.7 %</w:t>
            </w:r>
          </w:p>
        </w:tc>
      </w:tr>
      <w:tr>
        <w:trPr>
          <w:trHeight w:val="662"/>
        </w:trPr>
        <w:tc>
          <w:tcPr>
            <w:tcW w:w="4660" w:type="dxa"/>
            <w:vAlign w:val="bottom"/>
          </w:tcPr>
          <w:p>
            <w:pPr>
              <w:spacing w:after="0"/>
              <w:rPr>
                <w:sz w:val="24"/>
                <w:szCs w:val="24"/>
                <w:color w:val="auto"/>
              </w:rPr>
            </w:pPr>
          </w:p>
        </w:tc>
        <w:tc>
          <w:tcPr>
            <w:tcW w:w="1080" w:type="dxa"/>
            <w:vAlign w:val="bottom"/>
            <w:gridSpan w:val="2"/>
          </w:tcPr>
          <w:p>
            <w:pPr>
              <w:ind w:left="880"/>
              <w:spacing w:after="0"/>
              <w:rPr>
                <w:sz w:val="20"/>
                <w:szCs w:val="20"/>
                <w:color w:val="auto"/>
              </w:rPr>
            </w:pPr>
            <w:r>
              <w:rPr>
                <w:rFonts w:ascii="Calibri" w:cs="Calibri" w:eastAsia="Calibri" w:hAnsi="Calibri"/>
                <w:sz w:val="18"/>
                <w:szCs w:val="18"/>
                <w:color w:val="auto"/>
                <w:w w:val="98"/>
              </w:rPr>
              <w:t>58</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5"/>
        </w:trPr>
        <w:tc>
          <w:tcPr>
            <w:tcW w:w="46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-2150745</wp:posOffset>
            </wp:positionV>
            <wp:extent cx="7132320" cy="1543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-1087755</wp:posOffset>
            </wp:positionV>
            <wp:extent cx="7132320" cy="291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570" w:right="299" w:bottom="1440" w:gutter="0" w:footer="0" w:header="0"/>
        </w:sectPr>
      </w:pPr>
    </w:p>
    <w:bookmarkStart w:id="58" w:name="page59"/>
    <w:bookmarkEnd w:id="58"/>
    <w:p>
      <w:pPr>
        <w:ind w:left="280"/>
        <w:spacing w:after="0"/>
        <w:rPr>
          <w:sz w:val="20"/>
          <w:szCs w:val="20"/>
          <w:color w:val="auto"/>
        </w:rPr>
      </w:pPr>
      <w:r>
        <w:rPr>
          <w:rFonts w:ascii="Calibri" w:cs="Calibri" w:eastAsia="Calibri" w:hAnsi="Calibri"/>
          <w:sz w:val="18"/>
          <w:szCs w:val="18"/>
          <w:b w:val="1"/>
          <w:bCs w:val="1"/>
          <w:i w:val="1"/>
          <w:iCs w:val="1"/>
          <w:color w:val="auto"/>
        </w:rPr>
        <w:t>Postretrement Assumptons and Strategy</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assumptons were used to determine the postretrement beneft obligatons and net costs as of and for the years ended September 30: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260" w:type="dxa"/>
            <w:vAlign w:val="bottom"/>
            <w:gridSpan w:val="3"/>
          </w:tcPr>
          <w:p>
            <w:pPr>
              <w:jc w:val="right"/>
              <w:ind w:right="80"/>
              <w:spacing w:after="0"/>
              <w:rPr>
                <w:sz w:val="20"/>
                <w:szCs w:val="20"/>
                <w:color w:val="auto"/>
              </w:rPr>
            </w:pPr>
            <w:r>
              <w:rPr>
                <w:rFonts w:ascii="Calibri" w:cs="Calibri" w:eastAsia="Calibri" w:hAnsi="Calibri"/>
                <w:sz w:val="14"/>
                <w:szCs w:val="14"/>
                <w:b w:val="1"/>
                <w:bCs w:val="1"/>
                <w:color w:val="auto"/>
              </w:rPr>
              <w:t>2023</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3"/>
          </w:tcPr>
          <w:p>
            <w:pPr>
              <w:jc w:val="right"/>
              <w:ind w:right="528"/>
              <w:spacing w:after="0"/>
              <w:rPr>
                <w:sz w:val="20"/>
                <w:szCs w:val="20"/>
                <w:color w:val="auto"/>
              </w:rPr>
            </w:pPr>
            <w:r>
              <w:rPr>
                <w:rFonts w:ascii="Calibri" w:cs="Calibri" w:eastAsia="Calibri" w:hAnsi="Calibri"/>
                <w:sz w:val="14"/>
                <w:szCs w:val="14"/>
                <w:b w:val="1"/>
                <w:bCs w:val="1"/>
                <w:color w:val="auto"/>
              </w:rPr>
              <w:t>2022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80"/>
              <w:spacing w:after="0"/>
              <w:rPr>
                <w:sz w:val="20"/>
                <w:szCs w:val="20"/>
                <w:color w:val="auto"/>
              </w:rPr>
            </w:pPr>
            <w:r>
              <w:rPr>
                <w:rFonts w:ascii="Calibri" w:cs="Calibri" w:eastAsia="Calibri" w:hAnsi="Calibri"/>
                <w:sz w:val="14"/>
                <w:szCs w:val="14"/>
                <w:b w:val="1"/>
                <w:bCs w:val="1"/>
                <w:color w:val="auto"/>
              </w:rPr>
              <w:t>2021</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3"/>
        </w:trPr>
        <w:tc>
          <w:tcPr>
            <w:tcW w:w="4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3"/>
        </w:trPr>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4"/>
          </w:tcPr>
          <w:p>
            <w:pPr>
              <w:jc w:val="right"/>
              <w:ind w:right="8"/>
              <w:spacing w:after="0" w:line="164" w:lineRule="exact"/>
              <w:rPr>
                <w:sz w:val="20"/>
                <w:szCs w:val="20"/>
                <w:color w:val="auto"/>
              </w:rPr>
            </w:pPr>
            <w:r>
              <w:rPr>
                <w:rFonts w:ascii="Calibri" w:cs="Calibri" w:eastAsia="Calibri" w:hAnsi="Calibri"/>
                <w:sz w:val="14"/>
                <w:szCs w:val="14"/>
                <w:b w:val="1"/>
                <w:bCs w:val="1"/>
                <w:color w:val="auto"/>
              </w:rPr>
              <w:t>Postretrement Benefts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3"/>
        </w:trPr>
        <w:tc>
          <w:tcPr>
            <w:tcW w:w="4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3"/>
          </w:tcPr>
          <w:p>
            <w:pPr>
              <w:spacing w:after="0"/>
              <w:rPr>
                <w:sz w:val="2"/>
                <w:szCs w:val="2"/>
                <w:color w:val="auto"/>
              </w:rPr>
            </w:pPr>
          </w:p>
        </w:tc>
      </w:tr>
      <w:tr>
        <w:trPr>
          <w:trHeight w:val="163"/>
        </w:trPr>
        <w:tc>
          <w:tcPr>
            <w:tcW w:w="4660" w:type="dxa"/>
            <w:vAlign w:val="bottom"/>
          </w:tcPr>
          <w:p>
            <w:pPr>
              <w:spacing w:after="0"/>
              <w:rPr>
                <w:sz w:val="14"/>
                <w:szCs w:val="14"/>
                <w:color w:val="auto"/>
              </w:rPr>
            </w:pPr>
          </w:p>
        </w:tc>
        <w:tc>
          <w:tcPr>
            <w:tcW w:w="1260" w:type="dxa"/>
            <w:vAlign w:val="bottom"/>
            <w:tcBorders>
              <w:top w:val="single" w:sz="8" w:color="auto"/>
            </w:tcBorders>
            <w:gridSpan w:val="3"/>
          </w:tcPr>
          <w:p>
            <w:pPr>
              <w:jc w:val="right"/>
              <w:ind w:right="740"/>
              <w:spacing w:after="0" w:line="164" w:lineRule="exact"/>
              <w:rPr>
                <w:sz w:val="20"/>
                <w:szCs w:val="20"/>
                <w:color w:val="auto"/>
              </w:rPr>
            </w:pPr>
            <w:r>
              <w:rPr>
                <w:rFonts w:ascii="Calibri" w:cs="Calibri" w:eastAsia="Calibri" w:hAnsi="Calibri"/>
                <w:sz w:val="14"/>
                <w:szCs w:val="14"/>
                <w:b w:val="1"/>
                <w:bCs w:val="1"/>
                <w:color w:val="auto"/>
              </w:rPr>
              <w:t>U.S.</w:t>
            </w:r>
          </w:p>
        </w:tc>
        <w:tc>
          <w:tcPr>
            <w:tcW w:w="1020" w:type="dxa"/>
            <w:vAlign w:val="bottom"/>
            <w:tcBorders>
              <w:top w:val="single" w:sz="8" w:color="auto"/>
            </w:tcBorders>
            <w:gridSpan w:val="2"/>
          </w:tcPr>
          <w:p>
            <w:pPr>
              <w:jc w:val="right"/>
              <w:ind w:right="500"/>
              <w:spacing w:after="0" w:line="164" w:lineRule="exact"/>
              <w:rPr>
                <w:sz w:val="20"/>
                <w:szCs w:val="20"/>
                <w:color w:val="auto"/>
              </w:rPr>
            </w:pPr>
            <w:r>
              <w:rPr>
                <w:rFonts w:ascii="Calibri" w:cs="Calibri" w:eastAsia="Calibri" w:hAnsi="Calibri"/>
                <w:sz w:val="14"/>
                <w:szCs w:val="14"/>
                <w:b w:val="1"/>
                <w:bCs w:val="1"/>
                <w:color w:val="auto"/>
              </w:rPr>
              <w:t>Foreign</w:t>
            </w:r>
          </w:p>
        </w:tc>
        <w:tc>
          <w:tcPr>
            <w:tcW w:w="560" w:type="dxa"/>
            <w:vAlign w:val="bottom"/>
            <w:tcBorders>
              <w:top w:val="single" w:sz="8" w:color="auto"/>
            </w:tcBorders>
          </w:tcPr>
          <w:p>
            <w:pPr>
              <w:ind w:left="300"/>
              <w:spacing w:after="0" w:line="164" w:lineRule="exact"/>
              <w:rPr>
                <w:sz w:val="20"/>
                <w:szCs w:val="20"/>
                <w:color w:val="auto"/>
              </w:rPr>
            </w:pPr>
            <w:r>
              <w:rPr>
                <w:rFonts w:ascii="Calibri" w:cs="Calibri" w:eastAsia="Calibri" w:hAnsi="Calibri"/>
                <w:sz w:val="14"/>
                <w:szCs w:val="14"/>
                <w:b w:val="1"/>
                <w:bCs w:val="1"/>
                <w:color w:val="auto"/>
              </w:rPr>
              <w:t>U.S.</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Foreign</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3"/>
          </w:tcPr>
          <w:p>
            <w:pPr>
              <w:jc w:val="right"/>
              <w:ind w:right="680"/>
              <w:spacing w:after="0" w:line="164" w:lineRule="exact"/>
              <w:rPr>
                <w:sz w:val="20"/>
                <w:szCs w:val="20"/>
                <w:color w:val="auto"/>
              </w:rPr>
            </w:pPr>
            <w:r>
              <w:rPr>
                <w:rFonts w:ascii="Calibri" w:cs="Calibri" w:eastAsia="Calibri" w:hAnsi="Calibri"/>
                <w:sz w:val="14"/>
                <w:szCs w:val="14"/>
                <w:b w:val="1"/>
                <w:bCs w:val="1"/>
                <w:color w:val="auto"/>
              </w:rPr>
              <w:t>U.S.</w:t>
            </w:r>
          </w:p>
        </w:tc>
        <w:tc>
          <w:tcPr>
            <w:tcW w:w="780" w:type="dxa"/>
            <w:vAlign w:val="bottom"/>
            <w:tcBorders>
              <w:top w:val="single" w:sz="8" w:color="auto"/>
            </w:tcBorders>
          </w:tcPr>
          <w:p>
            <w:pPr>
              <w:ind w:left="80"/>
              <w:spacing w:after="0" w:line="164" w:lineRule="exact"/>
              <w:rPr>
                <w:sz w:val="20"/>
                <w:szCs w:val="20"/>
                <w:color w:val="auto"/>
              </w:rPr>
            </w:pPr>
            <w:r>
              <w:rPr>
                <w:rFonts w:ascii="Calibri" w:cs="Calibri" w:eastAsia="Calibri" w:hAnsi="Calibri"/>
                <w:sz w:val="14"/>
                <w:szCs w:val="14"/>
                <w:b w:val="1"/>
                <w:bCs w:val="1"/>
                <w:color w:val="auto"/>
              </w:rPr>
              <w:t>Foreign</w:t>
            </w:r>
          </w:p>
        </w:tc>
        <w:tc>
          <w:tcPr>
            <w:tcW w:w="140" w:type="dxa"/>
            <w:vAlign w:val="bottom"/>
            <w:gridSpan w:val="2"/>
          </w:tcPr>
          <w:p>
            <w:pPr>
              <w:spacing w:after="0"/>
              <w:rPr>
                <w:sz w:val="14"/>
                <w:szCs w:val="14"/>
                <w:color w:val="auto"/>
              </w:rPr>
            </w:pPr>
          </w:p>
        </w:tc>
      </w:tr>
      <w:tr>
        <w:trPr>
          <w:trHeight w:val="33"/>
        </w:trPr>
        <w:tc>
          <w:tcPr>
            <w:tcW w:w="4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1"/>
        </w:trPr>
        <w:tc>
          <w:tcPr>
            <w:tcW w:w="4660" w:type="dxa"/>
            <w:vAlign w:val="bottom"/>
            <w:shd w:val="clear" w:color="auto" w:fill="CFF0FC"/>
          </w:tcPr>
          <w:p>
            <w:pPr>
              <w:ind w:left="20"/>
              <w:spacing w:after="0" w:line="201" w:lineRule="exact"/>
              <w:rPr>
                <w:sz w:val="20"/>
                <w:szCs w:val="20"/>
                <w:color w:val="auto"/>
              </w:rPr>
            </w:pPr>
            <w:r>
              <w:rPr>
                <w:rFonts w:ascii="Calibri" w:cs="Calibri" w:eastAsia="Calibri" w:hAnsi="Calibri"/>
                <w:sz w:val="18"/>
                <w:szCs w:val="18"/>
                <w:color w:val="auto"/>
              </w:rPr>
              <w:t>Actuarial assumptons as of the year-end</w:t>
            </w: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32"/>
        </w:trPr>
        <w:tc>
          <w:tcPr>
            <w:tcW w:w="466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measurement date:</w:t>
            </w:r>
          </w:p>
        </w:tc>
        <w:tc>
          <w:tcPr>
            <w:tcW w:w="8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4660" w:type="dxa"/>
            <w:vAlign w:val="bottom"/>
          </w:tcPr>
          <w:p>
            <w:pPr>
              <w:ind w:left="380"/>
              <w:spacing w:after="0" w:line="209" w:lineRule="exact"/>
              <w:rPr>
                <w:sz w:val="20"/>
                <w:szCs w:val="20"/>
                <w:color w:val="auto"/>
              </w:rPr>
            </w:pPr>
            <w:r>
              <w:rPr>
                <w:rFonts w:ascii="Calibri" w:cs="Calibri" w:eastAsia="Calibri" w:hAnsi="Calibri"/>
                <w:sz w:val="18"/>
                <w:szCs w:val="18"/>
                <w:color w:val="auto"/>
              </w:rPr>
              <w:t>Discount rate</w:t>
            </w:r>
          </w:p>
        </w:tc>
        <w:tc>
          <w:tcPr>
            <w:tcW w:w="108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6.0 %</w:t>
            </w:r>
          </w:p>
        </w:tc>
        <w:tc>
          <w:tcPr>
            <w:tcW w:w="180" w:type="dxa"/>
            <w:vAlign w:val="bottom"/>
          </w:tcPr>
          <w:p>
            <w:pPr>
              <w:spacing w:after="0"/>
              <w:rPr>
                <w:sz w:val="18"/>
                <w:szCs w:val="18"/>
                <w:color w:val="auto"/>
              </w:rPr>
            </w:pPr>
          </w:p>
        </w:tc>
        <w:tc>
          <w:tcPr>
            <w:tcW w:w="1020" w:type="dxa"/>
            <w:vAlign w:val="bottom"/>
            <w:gridSpan w:val="2"/>
          </w:tcPr>
          <w:p>
            <w:pPr>
              <w:jc w:val="right"/>
              <w:ind w:right="80"/>
              <w:spacing w:after="0" w:line="209" w:lineRule="exact"/>
              <w:rPr>
                <w:sz w:val="20"/>
                <w:szCs w:val="20"/>
                <w:color w:val="auto"/>
              </w:rPr>
            </w:pPr>
            <w:r>
              <w:rPr>
                <w:rFonts w:ascii="Calibri" w:cs="Calibri" w:eastAsia="Calibri" w:hAnsi="Calibri"/>
                <w:sz w:val="18"/>
                <w:szCs w:val="18"/>
                <w:color w:val="auto"/>
              </w:rPr>
              <w:t>5.7 %</w:t>
            </w:r>
          </w:p>
        </w:tc>
        <w:tc>
          <w:tcPr>
            <w:tcW w:w="560" w:type="dxa"/>
            <w:vAlign w:val="bottom"/>
          </w:tcPr>
          <w:p>
            <w:pPr>
              <w:spacing w:after="0"/>
              <w:rPr>
                <w:sz w:val="18"/>
                <w:szCs w:val="18"/>
                <w:color w:val="auto"/>
              </w:rPr>
            </w:pPr>
          </w:p>
        </w:tc>
        <w:tc>
          <w:tcPr>
            <w:tcW w:w="480" w:type="dxa"/>
            <w:vAlign w:val="bottom"/>
            <w:gridSpan w:val="2"/>
          </w:tcPr>
          <w:p>
            <w:pPr>
              <w:jc w:val="right"/>
              <w:ind w:right="80"/>
              <w:spacing w:after="0" w:line="209" w:lineRule="exact"/>
              <w:rPr>
                <w:sz w:val="20"/>
                <w:szCs w:val="20"/>
                <w:color w:val="auto"/>
              </w:rPr>
            </w:pPr>
            <w:r>
              <w:rPr>
                <w:rFonts w:ascii="Calibri" w:cs="Calibri" w:eastAsia="Calibri" w:hAnsi="Calibri"/>
                <w:sz w:val="18"/>
                <w:szCs w:val="18"/>
                <w:color w:val="auto"/>
                <w:w w:val="95"/>
              </w:rPr>
              <w:t>5.6 %</w:t>
            </w:r>
          </w:p>
        </w:tc>
        <w:tc>
          <w:tcPr>
            <w:tcW w:w="700" w:type="dxa"/>
            <w:vAlign w:val="bottom"/>
          </w:tcPr>
          <w:p>
            <w:pPr>
              <w:spacing w:after="0"/>
              <w:rPr>
                <w:sz w:val="18"/>
                <w:szCs w:val="18"/>
                <w:color w:val="auto"/>
              </w:rPr>
            </w:pPr>
          </w:p>
        </w:tc>
        <w:tc>
          <w:tcPr>
            <w:tcW w:w="460" w:type="dxa"/>
            <w:vAlign w:val="bottom"/>
            <w:gridSpan w:val="2"/>
          </w:tcPr>
          <w:p>
            <w:pPr>
              <w:jc w:val="right"/>
              <w:ind w:right="60"/>
              <w:spacing w:after="0" w:line="209" w:lineRule="exact"/>
              <w:rPr>
                <w:sz w:val="20"/>
                <w:szCs w:val="20"/>
                <w:color w:val="auto"/>
              </w:rPr>
            </w:pPr>
            <w:r>
              <w:rPr>
                <w:rFonts w:ascii="Calibri" w:cs="Calibri" w:eastAsia="Calibri" w:hAnsi="Calibri"/>
                <w:sz w:val="18"/>
                <w:szCs w:val="18"/>
                <w:color w:val="auto"/>
                <w:w w:val="95"/>
              </w:rPr>
              <w:t>5.1 %</w:t>
            </w:r>
          </w:p>
        </w:tc>
        <w:tc>
          <w:tcPr>
            <w:tcW w:w="1040" w:type="dxa"/>
            <w:vAlign w:val="bottom"/>
            <w:gridSpan w:val="2"/>
          </w:tcPr>
          <w:p>
            <w:pPr>
              <w:jc w:val="right"/>
              <w:ind w:right="80"/>
              <w:spacing w:after="0" w:line="209" w:lineRule="exact"/>
              <w:rPr>
                <w:sz w:val="20"/>
                <w:szCs w:val="20"/>
                <w:color w:val="auto"/>
              </w:rPr>
            </w:pPr>
            <w:r>
              <w:rPr>
                <w:rFonts w:ascii="Calibri" w:cs="Calibri" w:eastAsia="Calibri" w:hAnsi="Calibri"/>
                <w:sz w:val="18"/>
                <w:szCs w:val="18"/>
                <w:color w:val="auto"/>
              </w:rPr>
              <w:t>2.4 %</w:t>
            </w:r>
          </w:p>
        </w:tc>
        <w:tc>
          <w:tcPr>
            <w:tcW w:w="180" w:type="dxa"/>
            <w:vAlign w:val="bottom"/>
          </w:tcPr>
          <w:p>
            <w:pPr>
              <w:spacing w:after="0"/>
              <w:rPr>
                <w:sz w:val="18"/>
                <w:szCs w:val="18"/>
                <w:color w:val="auto"/>
              </w:rPr>
            </w:pPr>
          </w:p>
        </w:tc>
        <w:tc>
          <w:tcPr>
            <w:tcW w:w="920" w:type="dxa"/>
            <w:vAlign w:val="bottom"/>
            <w:gridSpan w:val="3"/>
          </w:tcPr>
          <w:p>
            <w:pPr>
              <w:jc w:val="right"/>
              <w:spacing w:after="0" w:line="209" w:lineRule="exact"/>
              <w:rPr>
                <w:sz w:val="20"/>
                <w:szCs w:val="20"/>
                <w:color w:val="auto"/>
              </w:rPr>
            </w:pPr>
            <w:r>
              <w:rPr>
                <w:rFonts w:ascii="Calibri" w:cs="Calibri" w:eastAsia="Calibri" w:hAnsi="Calibri"/>
                <w:sz w:val="18"/>
                <w:szCs w:val="18"/>
                <w:color w:val="auto"/>
              </w:rPr>
              <w:t>2.8 %</w:t>
            </w:r>
          </w:p>
        </w:tc>
      </w:tr>
      <w:tr>
        <w:trPr>
          <w:trHeight w:val="276"/>
        </w:trPr>
        <w:tc>
          <w:tcPr>
            <w:tcW w:w="4660" w:type="dxa"/>
            <w:vAlign w:val="bottom"/>
          </w:tcPr>
          <w:p>
            <w:pPr>
              <w:ind w:left="380"/>
              <w:spacing w:after="0" w:line="276" w:lineRule="exact"/>
              <w:rPr>
                <w:sz w:val="20"/>
                <w:szCs w:val="20"/>
                <w:color w:val="auto"/>
              </w:rPr>
            </w:pPr>
            <w:r>
              <w:rPr>
                <w:rFonts w:ascii="Calibri" w:cs="Calibri" w:eastAsia="Calibri" w:hAnsi="Calibri"/>
                <w:sz w:val="18"/>
                <w:szCs w:val="18"/>
                <w:color w:val="auto"/>
              </w:rPr>
              <w:t>Inital health care cost trend rate</w:t>
            </w:r>
            <w:r>
              <w:rPr>
                <w:rFonts w:ascii="Calibri" w:cs="Calibri" w:eastAsia="Calibri" w:hAnsi="Calibri"/>
                <w:sz w:val="24"/>
                <w:szCs w:val="24"/>
                <w:color w:val="auto"/>
                <w:vertAlign w:val="superscript"/>
              </w:rPr>
              <w:t>(1)</w:t>
            </w:r>
          </w:p>
        </w:tc>
        <w:tc>
          <w:tcPr>
            <w:tcW w:w="1080" w:type="dxa"/>
            <w:vAlign w:val="bottom"/>
            <w:gridSpan w:val="2"/>
          </w:tcPr>
          <w:p>
            <w:pPr>
              <w:jc w:val="right"/>
              <w:ind w:right="100"/>
              <w:spacing w:after="0"/>
              <w:rPr>
                <w:sz w:val="20"/>
                <w:szCs w:val="20"/>
                <w:color w:val="auto"/>
              </w:rPr>
            </w:pPr>
            <w:r>
              <w:rPr>
                <w:rFonts w:ascii="Calibri" w:cs="Calibri" w:eastAsia="Calibri" w:hAnsi="Calibri"/>
                <w:sz w:val="18"/>
                <w:szCs w:val="18"/>
                <w:color w:val="auto"/>
              </w:rPr>
              <w:t>5.0 %</w:t>
            </w:r>
          </w:p>
        </w:tc>
        <w:tc>
          <w:tcPr>
            <w:tcW w:w="18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Calibri" w:cs="Calibri" w:eastAsia="Calibri" w:hAnsi="Calibri"/>
                <w:sz w:val="18"/>
                <w:szCs w:val="18"/>
                <w:color w:val="auto"/>
              </w:rPr>
              <w:t>6.4 %</w:t>
            </w:r>
          </w:p>
        </w:tc>
        <w:tc>
          <w:tcPr>
            <w:tcW w:w="560" w:type="dxa"/>
            <w:vAlign w:val="bottom"/>
          </w:tcPr>
          <w:p>
            <w:pPr>
              <w:spacing w:after="0"/>
              <w:rPr>
                <w:sz w:val="24"/>
                <w:szCs w:val="24"/>
                <w:color w:val="auto"/>
              </w:rPr>
            </w:pPr>
          </w:p>
        </w:tc>
        <w:tc>
          <w:tcPr>
            <w:tcW w:w="1180" w:type="dxa"/>
            <w:vAlign w:val="bottom"/>
            <w:gridSpan w:val="3"/>
          </w:tcPr>
          <w:p>
            <w:pPr>
              <w:jc w:val="right"/>
              <w:ind w:right="708"/>
              <w:spacing w:after="0"/>
              <w:rPr>
                <w:sz w:val="20"/>
                <w:szCs w:val="20"/>
                <w:color w:val="auto"/>
              </w:rPr>
            </w:pPr>
            <w:r>
              <w:rPr>
                <w:rFonts w:ascii="Calibri" w:cs="Calibri" w:eastAsia="Calibri" w:hAnsi="Calibri"/>
                <w:sz w:val="18"/>
                <w:szCs w:val="18"/>
                <w:color w:val="auto"/>
              </w:rPr>
              <w:t>— %</w:t>
            </w:r>
          </w:p>
        </w:tc>
        <w:tc>
          <w:tcPr>
            <w:tcW w:w="460" w:type="dxa"/>
            <w:vAlign w:val="bottom"/>
            <w:gridSpan w:val="2"/>
          </w:tcPr>
          <w:p>
            <w:pPr>
              <w:jc w:val="right"/>
              <w:ind w:right="60"/>
              <w:spacing w:after="0"/>
              <w:rPr>
                <w:sz w:val="20"/>
                <w:szCs w:val="20"/>
                <w:color w:val="auto"/>
              </w:rPr>
            </w:pPr>
            <w:r>
              <w:rPr>
                <w:rFonts w:ascii="Calibri" w:cs="Calibri" w:eastAsia="Calibri" w:hAnsi="Calibri"/>
                <w:sz w:val="18"/>
                <w:szCs w:val="18"/>
                <w:color w:val="auto"/>
                <w:w w:val="95"/>
              </w:rPr>
              <w:t>6.8 %</w:t>
            </w:r>
          </w:p>
        </w:tc>
        <w:tc>
          <w:tcPr>
            <w:tcW w:w="1040" w:type="dxa"/>
            <w:vAlign w:val="bottom"/>
            <w:gridSpan w:val="2"/>
          </w:tcPr>
          <w:p>
            <w:pPr>
              <w:jc w:val="right"/>
              <w:ind w:right="80"/>
              <w:spacing w:after="0"/>
              <w:rPr>
                <w:sz w:val="20"/>
                <w:szCs w:val="20"/>
                <w:color w:val="auto"/>
              </w:rPr>
            </w:pPr>
            <w:r>
              <w:rPr>
                <w:rFonts w:ascii="Calibri" w:cs="Calibri" w:eastAsia="Calibri" w:hAnsi="Calibri"/>
                <w:sz w:val="18"/>
                <w:szCs w:val="18"/>
                <w:color w:val="auto"/>
              </w:rPr>
              <w:t>5.5 %</w:t>
            </w:r>
          </w:p>
        </w:tc>
        <w:tc>
          <w:tcPr>
            <w:tcW w:w="1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Calibri" w:cs="Calibri" w:eastAsia="Calibri" w:hAnsi="Calibri"/>
                <w:sz w:val="18"/>
                <w:szCs w:val="18"/>
                <w:color w:val="auto"/>
              </w:rPr>
              <w:t>6.9 %</w:t>
            </w:r>
          </w:p>
        </w:tc>
      </w:tr>
      <w:tr>
        <w:trPr>
          <w:trHeight w:val="207"/>
        </w:trPr>
        <w:tc>
          <w:tcPr>
            <w:tcW w:w="4660" w:type="dxa"/>
            <w:vAlign w:val="bottom"/>
          </w:tcPr>
          <w:p>
            <w:pPr>
              <w:ind w:left="20"/>
              <w:spacing w:after="0" w:line="207" w:lineRule="exact"/>
              <w:rPr>
                <w:sz w:val="20"/>
                <w:szCs w:val="20"/>
                <w:color w:val="auto"/>
              </w:rPr>
            </w:pPr>
            <w:r>
              <w:rPr>
                <w:rFonts w:ascii="Calibri" w:cs="Calibri" w:eastAsia="Calibri" w:hAnsi="Calibri"/>
                <w:sz w:val="18"/>
                <w:szCs w:val="18"/>
                <w:color w:val="auto"/>
              </w:rPr>
              <w:t>Actuarial assumptons used to determine</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4660" w:type="dxa"/>
            <w:vAlign w:val="bottom"/>
          </w:tcPr>
          <w:p>
            <w:pPr>
              <w:ind w:left="140"/>
              <w:spacing w:after="0" w:line="215" w:lineRule="exact"/>
              <w:rPr>
                <w:sz w:val="20"/>
                <w:szCs w:val="20"/>
                <w:color w:val="auto"/>
              </w:rPr>
            </w:pPr>
            <w:r>
              <w:rPr>
                <w:rFonts w:ascii="Calibri" w:cs="Calibri" w:eastAsia="Calibri" w:hAnsi="Calibri"/>
                <w:sz w:val="18"/>
                <w:szCs w:val="18"/>
                <w:color w:val="auto"/>
              </w:rPr>
              <w:t>net cost during the year:</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4660" w:type="dxa"/>
            <w:vAlign w:val="bottom"/>
          </w:tcPr>
          <w:p>
            <w:pPr>
              <w:ind w:left="380"/>
              <w:spacing w:after="0"/>
              <w:rPr>
                <w:sz w:val="20"/>
                <w:szCs w:val="20"/>
                <w:color w:val="auto"/>
              </w:rPr>
            </w:pPr>
            <w:r>
              <w:rPr>
                <w:rFonts w:ascii="Calibri" w:cs="Calibri" w:eastAsia="Calibri" w:hAnsi="Calibri"/>
                <w:sz w:val="18"/>
                <w:szCs w:val="18"/>
                <w:color w:val="auto"/>
              </w:rPr>
              <w:t>Discount rate - beneft obligaton</w:t>
            </w:r>
          </w:p>
        </w:tc>
        <w:tc>
          <w:tcPr>
            <w:tcW w:w="1080" w:type="dxa"/>
            <w:vAlign w:val="bottom"/>
            <w:gridSpan w:val="2"/>
          </w:tcPr>
          <w:p>
            <w:pPr>
              <w:jc w:val="right"/>
              <w:ind w:right="100"/>
              <w:spacing w:after="0"/>
              <w:rPr>
                <w:sz w:val="20"/>
                <w:szCs w:val="20"/>
                <w:color w:val="auto"/>
              </w:rPr>
            </w:pPr>
            <w:r>
              <w:rPr>
                <w:rFonts w:ascii="Calibri" w:cs="Calibri" w:eastAsia="Calibri" w:hAnsi="Calibri"/>
                <w:sz w:val="18"/>
                <w:szCs w:val="18"/>
                <w:color w:val="auto"/>
              </w:rPr>
              <w:t>5.6 %</w:t>
            </w:r>
          </w:p>
        </w:tc>
        <w:tc>
          <w:tcPr>
            <w:tcW w:w="1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Calibri" w:cs="Calibri" w:eastAsia="Calibri" w:hAnsi="Calibri"/>
                <w:sz w:val="18"/>
                <w:szCs w:val="18"/>
                <w:color w:val="auto"/>
              </w:rPr>
              <w:t>5.1 %</w:t>
            </w:r>
          </w:p>
        </w:tc>
        <w:tc>
          <w:tcPr>
            <w:tcW w:w="560" w:type="dxa"/>
            <w:vAlign w:val="bottom"/>
          </w:tcPr>
          <w:p>
            <w:pPr>
              <w:spacing w:after="0"/>
              <w:rPr>
                <w:sz w:val="21"/>
                <w:szCs w:val="21"/>
                <w:color w:val="auto"/>
              </w:rPr>
            </w:pPr>
          </w:p>
        </w:tc>
        <w:tc>
          <w:tcPr>
            <w:tcW w:w="480" w:type="dxa"/>
            <w:vAlign w:val="bottom"/>
            <w:gridSpan w:val="2"/>
          </w:tcPr>
          <w:p>
            <w:pPr>
              <w:jc w:val="right"/>
              <w:ind w:right="80"/>
              <w:spacing w:after="0"/>
              <w:rPr>
                <w:sz w:val="20"/>
                <w:szCs w:val="20"/>
                <w:color w:val="auto"/>
              </w:rPr>
            </w:pPr>
            <w:r>
              <w:rPr>
                <w:rFonts w:ascii="Calibri" w:cs="Calibri" w:eastAsia="Calibri" w:hAnsi="Calibri"/>
                <w:sz w:val="18"/>
                <w:szCs w:val="18"/>
                <w:color w:val="auto"/>
                <w:w w:val="95"/>
              </w:rPr>
              <w:t>2.4 %</w:t>
            </w:r>
          </w:p>
        </w:tc>
        <w:tc>
          <w:tcPr>
            <w:tcW w:w="70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Calibri" w:cs="Calibri" w:eastAsia="Calibri" w:hAnsi="Calibri"/>
                <w:sz w:val="18"/>
                <w:szCs w:val="18"/>
                <w:color w:val="auto"/>
                <w:w w:val="95"/>
              </w:rPr>
              <w:t>2.8 %</w:t>
            </w:r>
          </w:p>
        </w:tc>
        <w:tc>
          <w:tcPr>
            <w:tcW w:w="1040" w:type="dxa"/>
            <w:vAlign w:val="bottom"/>
            <w:gridSpan w:val="2"/>
          </w:tcPr>
          <w:p>
            <w:pPr>
              <w:jc w:val="right"/>
              <w:ind w:right="80"/>
              <w:spacing w:after="0"/>
              <w:rPr>
                <w:sz w:val="20"/>
                <w:szCs w:val="20"/>
                <w:color w:val="auto"/>
              </w:rPr>
            </w:pPr>
            <w:r>
              <w:rPr>
                <w:rFonts w:ascii="Calibri" w:cs="Calibri" w:eastAsia="Calibri" w:hAnsi="Calibri"/>
                <w:sz w:val="18"/>
                <w:szCs w:val="18"/>
                <w:color w:val="auto"/>
              </w:rPr>
              <w:t>2.1 %</w:t>
            </w:r>
          </w:p>
        </w:tc>
        <w:tc>
          <w:tcPr>
            <w:tcW w:w="18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Calibri" w:cs="Calibri" w:eastAsia="Calibri" w:hAnsi="Calibri"/>
                <w:sz w:val="18"/>
                <w:szCs w:val="18"/>
                <w:color w:val="auto"/>
              </w:rPr>
              <w:t>2.4 %</w:t>
            </w:r>
          </w:p>
        </w:tc>
      </w:tr>
      <w:tr>
        <w:trPr>
          <w:trHeight w:val="243"/>
        </w:trPr>
        <w:tc>
          <w:tcPr>
            <w:tcW w:w="4660" w:type="dxa"/>
            <w:vAlign w:val="bottom"/>
          </w:tcPr>
          <w:p>
            <w:pPr>
              <w:ind w:left="380"/>
              <w:spacing w:after="0"/>
              <w:rPr>
                <w:sz w:val="20"/>
                <w:szCs w:val="20"/>
                <w:color w:val="auto"/>
              </w:rPr>
            </w:pPr>
            <w:r>
              <w:rPr>
                <w:rFonts w:ascii="Calibri" w:cs="Calibri" w:eastAsia="Calibri" w:hAnsi="Calibri"/>
                <w:sz w:val="18"/>
                <w:szCs w:val="18"/>
                <w:color w:val="auto"/>
              </w:rPr>
              <w:t>Discount rate - service cost</w:t>
            </w:r>
          </w:p>
        </w:tc>
        <w:tc>
          <w:tcPr>
            <w:tcW w:w="1080" w:type="dxa"/>
            <w:vAlign w:val="bottom"/>
            <w:gridSpan w:val="2"/>
          </w:tcPr>
          <w:p>
            <w:pPr>
              <w:jc w:val="right"/>
              <w:ind w:right="100"/>
              <w:spacing w:after="0"/>
              <w:rPr>
                <w:sz w:val="20"/>
                <w:szCs w:val="20"/>
                <w:color w:val="auto"/>
              </w:rPr>
            </w:pPr>
            <w:r>
              <w:rPr>
                <w:rFonts w:ascii="Calibri" w:cs="Calibri" w:eastAsia="Calibri" w:hAnsi="Calibri"/>
                <w:sz w:val="18"/>
                <w:szCs w:val="18"/>
                <w:color w:val="auto"/>
              </w:rPr>
              <w:t>5.4 %</w:t>
            </w:r>
          </w:p>
        </w:tc>
        <w:tc>
          <w:tcPr>
            <w:tcW w:w="1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Calibri" w:cs="Calibri" w:eastAsia="Calibri" w:hAnsi="Calibri"/>
                <w:sz w:val="18"/>
                <w:szCs w:val="18"/>
                <w:color w:val="auto"/>
              </w:rPr>
              <w:t>5.1 %</w:t>
            </w:r>
          </w:p>
        </w:tc>
        <w:tc>
          <w:tcPr>
            <w:tcW w:w="560" w:type="dxa"/>
            <w:vAlign w:val="bottom"/>
          </w:tcPr>
          <w:p>
            <w:pPr>
              <w:spacing w:after="0"/>
              <w:rPr>
                <w:sz w:val="21"/>
                <w:szCs w:val="21"/>
                <w:color w:val="auto"/>
              </w:rPr>
            </w:pPr>
          </w:p>
        </w:tc>
        <w:tc>
          <w:tcPr>
            <w:tcW w:w="480" w:type="dxa"/>
            <w:vAlign w:val="bottom"/>
            <w:gridSpan w:val="2"/>
          </w:tcPr>
          <w:p>
            <w:pPr>
              <w:jc w:val="right"/>
              <w:ind w:right="80"/>
              <w:spacing w:after="0"/>
              <w:rPr>
                <w:sz w:val="20"/>
                <w:szCs w:val="20"/>
                <w:color w:val="auto"/>
              </w:rPr>
            </w:pPr>
            <w:r>
              <w:rPr>
                <w:rFonts w:ascii="Calibri" w:cs="Calibri" w:eastAsia="Calibri" w:hAnsi="Calibri"/>
                <w:sz w:val="18"/>
                <w:szCs w:val="18"/>
                <w:color w:val="auto"/>
                <w:w w:val="95"/>
              </w:rPr>
              <w:t>1.7 %</w:t>
            </w:r>
          </w:p>
        </w:tc>
        <w:tc>
          <w:tcPr>
            <w:tcW w:w="70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Calibri" w:cs="Calibri" w:eastAsia="Calibri" w:hAnsi="Calibri"/>
                <w:sz w:val="18"/>
                <w:szCs w:val="18"/>
                <w:color w:val="auto"/>
                <w:w w:val="95"/>
              </w:rPr>
              <w:t>3.5 %</w:t>
            </w:r>
          </w:p>
        </w:tc>
        <w:tc>
          <w:tcPr>
            <w:tcW w:w="1040" w:type="dxa"/>
            <w:vAlign w:val="bottom"/>
            <w:gridSpan w:val="2"/>
          </w:tcPr>
          <w:p>
            <w:pPr>
              <w:jc w:val="right"/>
              <w:ind w:right="80"/>
              <w:spacing w:after="0"/>
              <w:rPr>
                <w:sz w:val="20"/>
                <w:szCs w:val="20"/>
                <w:color w:val="auto"/>
              </w:rPr>
            </w:pPr>
            <w:r>
              <w:rPr>
                <w:rFonts w:ascii="Calibri" w:cs="Calibri" w:eastAsia="Calibri" w:hAnsi="Calibri"/>
                <w:sz w:val="18"/>
                <w:szCs w:val="18"/>
                <w:color w:val="auto"/>
              </w:rPr>
              <w:t>1.5 %</w:t>
            </w:r>
          </w:p>
        </w:tc>
        <w:tc>
          <w:tcPr>
            <w:tcW w:w="18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Calibri" w:cs="Calibri" w:eastAsia="Calibri" w:hAnsi="Calibri"/>
                <w:sz w:val="18"/>
                <w:szCs w:val="18"/>
                <w:color w:val="auto"/>
              </w:rPr>
              <w:t>3.0 %</w:t>
            </w:r>
          </w:p>
        </w:tc>
      </w:tr>
      <w:tr>
        <w:trPr>
          <w:trHeight w:val="243"/>
        </w:trPr>
        <w:tc>
          <w:tcPr>
            <w:tcW w:w="4660" w:type="dxa"/>
            <w:vAlign w:val="bottom"/>
          </w:tcPr>
          <w:p>
            <w:pPr>
              <w:ind w:left="380"/>
              <w:spacing w:after="0"/>
              <w:rPr>
                <w:sz w:val="20"/>
                <w:szCs w:val="20"/>
                <w:color w:val="auto"/>
              </w:rPr>
            </w:pPr>
            <w:r>
              <w:rPr>
                <w:rFonts w:ascii="Calibri" w:cs="Calibri" w:eastAsia="Calibri" w:hAnsi="Calibri"/>
                <w:sz w:val="18"/>
                <w:szCs w:val="18"/>
                <w:color w:val="auto"/>
              </w:rPr>
              <w:t>Discount rate - interest cost</w:t>
            </w:r>
          </w:p>
        </w:tc>
        <w:tc>
          <w:tcPr>
            <w:tcW w:w="1080" w:type="dxa"/>
            <w:vAlign w:val="bottom"/>
            <w:gridSpan w:val="2"/>
          </w:tcPr>
          <w:p>
            <w:pPr>
              <w:jc w:val="right"/>
              <w:ind w:right="100"/>
              <w:spacing w:after="0"/>
              <w:rPr>
                <w:sz w:val="20"/>
                <w:szCs w:val="20"/>
                <w:color w:val="auto"/>
              </w:rPr>
            </w:pPr>
            <w:r>
              <w:rPr>
                <w:rFonts w:ascii="Calibri" w:cs="Calibri" w:eastAsia="Calibri" w:hAnsi="Calibri"/>
                <w:sz w:val="18"/>
                <w:szCs w:val="18"/>
                <w:color w:val="auto"/>
              </w:rPr>
              <w:t>5.3 %</w:t>
            </w:r>
          </w:p>
        </w:tc>
        <w:tc>
          <w:tcPr>
            <w:tcW w:w="1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Calibri" w:cs="Calibri" w:eastAsia="Calibri" w:hAnsi="Calibri"/>
                <w:sz w:val="18"/>
                <w:szCs w:val="18"/>
                <w:color w:val="auto"/>
              </w:rPr>
              <w:t>5.1 %</w:t>
            </w:r>
          </w:p>
        </w:tc>
        <w:tc>
          <w:tcPr>
            <w:tcW w:w="560" w:type="dxa"/>
            <w:vAlign w:val="bottom"/>
          </w:tcPr>
          <w:p>
            <w:pPr>
              <w:spacing w:after="0"/>
              <w:rPr>
                <w:sz w:val="21"/>
                <w:szCs w:val="21"/>
                <w:color w:val="auto"/>
              </w:rPr>
            </w:pPr>
          </w:p>
        </w:tc>
        <w:tc>
          <w:tcPr>
            <w:tcW w:w="480" w:type="dxa"/>
            <w:vAlign w:val="bottom"/>
            <w:gridSpan w:val="2"/>
          </w:tcPr>
          <w:p>
            <w:pPr>
              <w:jc w:val="right"/>
              <w:ind w:right="80"/>
              <w:spacing w:after="0"/>
              <w:rPr>
                <w:sz w:val="20"/>
                <w:szCs w:val="20"/>
                <w:color w:val="auto"/>
              </w:rPr>
            </w:pPr>
            <w:r>
              <w:rPr>
                <w:rFonts w:ascii="Calibri" w:cs="Calibri" w:eastAsia="Calibri" w:hAnsi="Calibri"/>
                <w:sz w:val="18"/>
                <w:szCs w:val="18"/>
                <w:color w:val="auto"/>
                <w:w w:val="95"/>
              </w:rPr>
              <w:t>1.6 %</w:t>
            </w:r>
          </w:p>
        </w:tc>
        <w:tc>
          <w:tcPr>
            <w:tcW w:w="70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Calibri" w:cs="Calibri" w:eastAsia="Calibri" w:hAnsi="Calibri"/>
                <w:sz w:val="18"/>
                <w:szCs w:val="18"/>
                <w:color w:val="auto"/>
                <w:w w:val="95"/>
              </w:rPr>
              <w:t>2.5 %</w:t>
            </w:r>
          </w:p>
        </w:tc>
        <w:tc>
          <w:tcPr>
            <w:tcW w:w="1040" w:type="dxa"/>
            <w:vAlign w:val="bottom"/>
            <w:gridSpan w:val="2"/>
          </w:tcPr>
          <w:p>
            <w:pPr>
              <w:jc w:val="right"/>
              <w:ind w:right="80"/>
              <w:spacing w:after="0"/>
              <w:rPr>
                <w:sz w:val="20"/>
                <w:szCs w:val="20"/>
                <w:color w:val="auto"/>
              </w:rPr>
            </w:pPr>
            <w:r>
              <w:rPr>
                <w:rFonts w:ascii="Calibri" w:cs="Calibri" w:eastAsia="Calibri" w:hAnsi="Calibri"/>
                <w:sz w:val="18"/>
                <w:szCs w:val="18"/>
                <w:color w:val="auto"/>
              </w:rPr>
              <w:t>1.4 %</w:t>
            </w:r>
          </w:p>
        </w:tc>
        <w:tc>
          <w:tcPr>
            <w:tcW w:w="18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Calibri" w:cs="Calibri" w:eastAsia="Calibri" w:hAnsi="Calibri"/>
                <w:sz w:val="18"/>
                <w:szCs w:val="18"/>
                <w:color w:val="auto"/>
              </w:rPr>
              <w:t>2.1 %</w:t>
            </w:r>
          </w:p>
        </w:tc>
      </w:tr>
      <w:tr>
        <w:trPr>
          <w:trHeight w:val="311"/>
        </w:trPr>
        <w:tc>
          <w:tcPr>
            <w:tcW w:w="4660" w:type="dxa"/>
            <w:vAlign w:val="bottom"/>
          </w:tcPr>
          <w:p>
            <w:pPr>
              <w:ind w:left="380"/>
              <w:spacing w:after="0"/>
              <w:rPr>
                <w:sz w:val="20"/>
                <w:szCs w:val="20"/>
                <w:color w:val="auto"/>
              </w:rPr>
            </w:pPr>
            <w:r>
              <w:rPr>
                <w:rFonts w:ascii="Calibri" w:cs="Calibri" w:eastAsia="Calibri" w:hAnsi="Calibri"/>
                <w:sz w:val="18"/>
                <w:szCs w:val="18"/>
                <w:color w:val="auto"/>
              </w:rPr>
              <w:t>Inital health care cost trend rate</w:t>
            </w:r>
            <w:r>
              <w:rPr>
                <w:rFonts w:ascii="Calibri" w:cs="Calibri" w:eastAsia="Calibri" w:hAnsi="Calibri"/>
                <w:sz w:val="24"/>
                <w:szCs w:val="24"/>
                <w:color w:val="auto"/>
                <w:vertAlign w:val="superscript"/>
              </w:rPr>
              <w:t>(1)</w:t>
            </w:r>
          </w:p>
        </w:tc>
        <w:tc>
          <w:tcPr>
            <w:tcW w:w="1260" w:type="dxa"/>
            <w:vAlign w:val="bottom"/>
            <w:gridSpan w:val="3"/>
          </w:tcPr>
          <w:p>
            <w:pPr>
              <w:jc w:val="right"/>
              <w:ind w:right="280"/>
              <w:spacing w:after="0"/>
              <w:rPr>
                <w:sz w:val="20"/>
                <w:szCs w:val="20"/>
                <w:color w:val="auto"/>
              </w:rPr>
            </w:pPr>
            <w:r>
              <w:rPr>
                <w:rFonts w:ascii="Calibri" w:cs="Calibri" w:eastAsia="Calibri" w:hAnsi="Calibri"/>
                <w:sz w:val="18"/>
                <w:szCs w:val="18"/>
                <w:color w:val="auto"/>
              </w:rPr>
              <w:t>— %</w:t>
            </w:r>
          </w:p>
        </w:tc>
        <w:tc>
          <w:tcPr>
            <w:tcW w:w="1020" w:type="dxa"/>
            <w:vAlign w:val="bottom"/>
            <w:gridSpan w:val="2"/>
          </w:tcPr>
          <w:p>
            <w:pPr>
              <w:jc w:val="right"/>
              <w:ind w:right="80"/>
              <w:spacing w:after="0"/>
              <w:rPr>
                <w:sz w:val="20"/>
                <w:szCs w:val="20"/>
                <w:color w:val="auto"/>
              </w:rPr>
            </w:pPr>
            <w:r>
              <w:rPr>
                <w:rFonts w:ascii="Calibri" w:cs="Calibri" w:eastAsia="Calibri" w:hAnsi="Calibri"/>
                <w:sz w:val="18"/>
                <w:szCs w:val="18"/>
                <w:color w:val="auto"/>
              </w:rPr>
              <w:t>6.8 %</w:t>
            </w:r>
          </w:p>
        </w:tc>
        <w:tc>
          <w:tcPr>
            <w:tcW w:w="56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Calibri" w:cs="Calibri" w:eastAsia="Calibri" w:hAnsi="Calibri"/>
                <w:sz w:val="18"/>
                <w:szCs w:val="18"/>
                <w:color w:val="auto"/>
                <w:w w:val="95"/>
              </w:rPr>
              <w:t>5.5 %</w:t>
            </w:r>
          </w:p>
        </w:tc>
        <w:tc>
          <w:tcPr>
            <w:tcW w:w="70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Calibri" w:cs="Calibri" w:eastAsia="Calibri" w:hAnsi="Calibri"/>
                <w:sz w:val="18"/>
                <w:szCs w:val="18"/>
                <w:color w:val="auto"/>
                <w:w w:val="95"/>
              </w:rPr>
              <w:t>6.9 %</w:t>
            </w:r>
          </w:p>
        </w:tc>
        <w:tc>
          <w:tcPr>
            <w:tcW w:w="1040" w:type="dxa"/>
            <w:vAlign w:val="bottom"/>
            <w:gridSpan w:val="2"/>
          </w:tcPr>
          <w:p>
            <w:pPr>
              <w:jc w:val="right"/>
              <w:ind w:right="80"/>
              <w:spacing w:after="0"/>
              <w:rPr>
                <w:sz w:val="20"/>
                <w:szCs w:val="20"/>
                <w:color w:val="auto"/>
              </w:rPr>
            </w:pPr>
            <w:r>
              <w:rPr>
                <w:rFonts w:ascii="Calibri" w:cs="Calibri" w:eastAsia="Calibri" w:hAnsi="Calibri"/>
                <w:sz w:val="18"/>
                <w:szCs w:val="18"/>
                <w:color w:val="auto"/>
              </w:rPr>
              <w:t>6.0 %</w:t>
            </w:r>
          </w:p>
        </w:tc>
        <w:tc>
          <w:tcPr>
            <w:tcW w:w="1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Calibri" w:cs="Calibri" w:eastAsia="Calibri" w:hAnsi="Calibri"/>
                <w:sz w:val="18"/>
                <w:szCs w:val="18"/>
                <w:color w:val="auto"/>
              </w:rPr>
              <w:t>6.9 %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-1082040</wp:posOffset>
            </wp:positionV>
            <wp:extent cx="713232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-636270</wp:posOffset>
            </wp:positionV>
            <wp:extent cx="7132320" cy="154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7" w:lineRule="exact"/>
        <w:rPr>
          <w:sz w:val="20"/>
          <w:szCs w:val="20"/>
          <w:color w:val="auto"/>
        </w:rPr>
      </w:pPr>
    </w:p>
    <w:p>
      <w:pPr>
        <w:ind w:left="580" w:right="100" w:hanging="572"/>
        <w:spacing w:after="0" w:line="217" w:lineRule="auto"/>
        <w:tabs>
          <w:tab w:leader="none" w:pos="580" w:val="left"/>
        </w:tabs>
        <w:numPr>
          <w:ilvl w:val="0"/>
          <w:numId w:val="19"/>
        </w:numPr>
        <w:rPr>
          <w:rFonts w:ascii="Calibri" w:cs="Calibri" w:eastAsia="Calibri" w:hAnsi="Calibri"/>
          <w:sz w:val="24"/>
          <w:szCs w:val="24"/>
          <w:color w:val="auto"/>
          <w:vertAlign w:val="superscript"/>
        </w:rPr>
      </w:pPr>
      <w:r>
        <w:rPr>
          <w:rFonts w:ascii="Calibri" w:cs="Calibri" w:eastAsia="Calibri" w:hAnsi="Calibri"/>
          <w:sz w:val="18"/>
          <w:szCs w:val="18"/>
          <w:color w:val="auto"/>
        </w:rPr>
        <w:t>The inital health care cost trend rate is set at 5% for the 2023 U.S. plan assumptons as the 2024 Medicare Part B premiums are expected to increase. The trend rates for all future years beyond 2024 also refect expected 5% increases. The inital health care cost trend rate was set at zero for the 2022 U.S. plan assumptons in light of the expected downward adjustment the U.S. government was expected to make to the 2023 Medicare Part B premiums, however, all trend rates beyond the inital year were set to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11912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9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Cabot uses discount rates as of September 30, the plans’ measurement date, to determine future beneft obligatons under its U.S. and foreign defned beneft plans. The discount rates for the defned beneft plans in Canada, the Eurozone, Japan, Switzerland, the United Arab Emirates, the United Kingdom and the U.S. are derived from yield curves that refect high quality corporate bond yield or swap rate informaton in each region and refect the characteristcs of Cabot’s employee beneft plans. The discount rates for the defned beneft plans in Mexico, the Czech Republic and Indonesia are based on government bond indices that best refect the duratons of the plans, adjusted for credit spreads presented in selected AA corporate bond indices. The rates utlized are selected because they represent long-term, high quality, fxed income benchmarks that approximate the long-term nature of Cabot’s pension obligatons and related payouts.</w:t>
      </w:r>
    </w:p>
    <w:p>
      <w:pPr>
        <w:spacing w:after="0" w:line="87" w:lineRule="exact"/>
        <w:rPr>
          <w:sz w:val="20"/>
          <w:szCs w:val="20"/>
          <w:color w:val="auto"/>
        </w:rPr>
      </w:pPr>
    </w:p>
    <w:p>
      <w:pPr>
        <w:ind w:right="540" w:firstLine="509"/>
        <w:spacing w:after="0" w:line="235" w:lineRule="auto"/>
        <w:rPr>
          <w:sz w:val="20"/>
          <w:szCs w:val="20"/>
          <w:color w:val="auto"/>
        </w:rPr>
      </w:pPr>
      <w:r>
        <w:rPr>
          <w:rFonts w:ascii="Calibri" w:cs="Calibri" w:eastAsia="Calibri" w:hAnsi="Calibri"/>
          <w:sz w:val="18"/>
          <w:szCs w:val="18"/>
          <w:color w:val="auto"/>
        </w:rPr>
        <w:t>Amounts recognized in the Consolidated Balance Sheets at September 30, 2023 and 2022 related to the Company's defned beneft pension and postretrement beneft plans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640"/>
              <w:spacing w:after="0"/>
              <w:rPr>
                <w:sz w:val="20"/>
                <w:szCs w:val="20"/>
                <w:color w:val="auto"/>
              </w:rPr>
            </w:pPr>
            <w:r>
              <w:rPr>
                <w:rFonts w:ascii="Calibri" w:cs="Calibri" w:eastAsia="Calibri" w:hAnsi="Calibri"/>
                <w:sz w:val="14"/>
                <w:szCs w:val="14"/>
                <w:b w:val="1"/>
                <w:bCs w:val="1"/>
                <w:color w:val="auto"/>
              </w:rPr>
              <w:t>September 30</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0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4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gridSpan w:val="3"/>
          </w:tcPr>
          <w:p>
            <w:pPr>
              <w:jc w:val="right"/>
              <w:ind w:right="10"/>
              <w:spacing w:after="0" w:line="164" w:lineRule="exact"/>
              <w:rPr>
                <w:sz w:val="20"/>
                <w:szCs w:val="20"/>
                <w:color w:val="auto"/>
              </w:rPr>
            </w:pPr>
            <w:r>
              <w:rPr>
                <w:rFonts w:ascii="Calibri" w:cs="Calibri" w:eastAsia="Calibri" w:hAnsi="Calibri"/>
                <w:sz w:val="14"/>
                <w:szCs w:val="14"/>
                <w:b w:val="1"/>
                <w:bCs w:val="1"/>
                <w:color w:val="auto"/>
              </w:rPr>
              <w:t>2023</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0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4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Pension</w:t>
            </w:r>
          </w:p>
        </w:tc>
        <w:tc>
          <w:tcPr>
            <w:tcW w:w="740" w:type="dxa"/>
            <w:vAlign w:val="bottom"/>
            <w:gridSpan w:val="2"/>
          </w:tcPr>
          <w:p>
            <w:pPr>
              <w:jc w:val="right"/>
              <w:ind w:right="55"/>
              <w:spacing w:after="0" w:line="164" w:lineRule="exact"/>
              <w:rPr>
                <w:sz w:val="20"/>
                <w:szCs w:val="20"/>
                <w:color w:val="auto"/>
              </w:rPr>
            </w:pPr>
            <w:r>
              <w:rPr>
                <w:rFonts w:ascii="Calibri" w:cs="Calibri" w:eastAsia="Calibri" w:hAnsi="Calibri"/>
                <w:sz w:val="14"/>
                <w:szCs w:val="14"/>
                <w:b w:val="1"/>
                <w:bCs w:val="1"/>
                <w:color w:val="auto"/>
              </w:rPr>
              <w:t>Benefts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6"/>
          </w:tcPr>
          <w:p>
            <w:pPr>
              <w:jc w:val="right"/>
              <w:ind w:right="260"/>
              <w:spacing w:after="0" w:line="164" w:lineRule="exact"/>
              <w:rPr>
                <w:sz w:val="20"/>
                <w:szCs w:val="20"/>
                <w:color w:val="auto"/>
              </w:rPr>
            </w:pPr>
            <w:r>
              <w:rPr>
                <w:rFonts w:ascii="Calibri" w:cs="Calibri" w:eastAsia="Calibri" w:hAnsi="Calibri"/>
                <w:sz w:val="14"/>
                <w:szCs w:val="14"/>
                <w:b w:val="1"/>
                <w:bCs w:val="1"/>
                <w:color w:val="auto"/>
              </w:rPr>
              <w:t>Postretrement Benefts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163"/>
        </w:trPr>
        <w:tc>
          <w:tcPr>
            <w:tcW w:w="4040" w:type="dxa"/>
            <w:vAlign w:val="bottom"/>
          </w:tcPr>
          <w:p>
            <w:pPr>
              <w:spacing w:after="0"/>
              <w:rPr>
                <w:sz w:val="14"/>
                <w:szCs w:val="14"/>
                <w:color w:val="auto"/>
              </w:rPr>
            </w:pPr>
          </w:p>
        </w:tc>
        <w:tc>
          <w:tcPr>
            <w:tcW w:w="5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U.S.</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ind w:right="308"/>
              <w:spacing w:after="0" w:line="164" w:lineRule="exact"/>
              <w:rPr>
                <w:sz w:val="20"/>
                <w:szCs w:val="20"/>
                <w:color w:val="auto"/>
              </w:rPr>
            </w:pPr>
            <w:r>
              <w:rPr>
                <w:rFonts w:ascii="Calibri" w:cs="Calibri" w:eastAsia="Calibri" w:hAnsi="Calibri"/>
                <w:sz w:val="14"/>
                <w:szCs w:val="14"/>
                <w:b w:val="1"/>
                <w:bCs w:val="1"/>
                <w:color w:val="auto"/>
                <w:w w:val="96"/>
              </w:rPr>
              <w:t>Foreign</w:t>
            </w:r>
          </w:p>
        </w:tc>
        <w:tc>
          <w:tcPr>
            <w:tcW w:w="5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U.S.</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39"/>
              <w:spacing w:after="0" w:line="164" w:lineRule="exact"/>
              <w:rPr>
                <w:sz w:val="20"/>
                <w:szCs w:val="20"/>
                <w:color w:val="auto"/>
              </w:rPr>
            </w:pPr>
            <w:r>
              <w:rPr>
                <w:rFonts w:ascii="Calibri" w:cs="Calibri" w:eastAsia="Calibri" w:hAnsi="Calibri"/>
                <w:sz w:val="14"/>
                <w:szCs w:val="14"/>
                <w:b w:val="1"/>
                <w:bCs w:val="1"/>
                <w:color w:val="auto"/>
                <w:w w:val="96"/>
              </w:rPr>
              <w:t>Foreign</w:t>
            </w: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2"/>
          </w:tcPr>
          <w:p>
            <w:pPr>
              <w:jc w:val="right"/>
              <w:ind w:right="420"/>
              <w:spacing w:after="0" w:line="164" w:lineRule="exact"/>
              <w:rPr>
                <w:sz w:val="20"/>
                <w:szCs w:val="20"/>
                <w:color w:val="auto"/>
              </w:rPr>
            </w:pPr>
            <w:r>
              <w:rPr>
                <w:rFonts w:ascii="Calibri" w:cs="Calibri" w:eastAsia="Calibri" w:hAnsi="Calibri"/>
                <w:sz w:val="14"/>
                <w:szCs w:val="14"/>
                <w:b w:val="1"/>
                <w:bCs w:val="1"/>
                <w:color w:val="auto"/>
              </w:rPr>
              <w:t>U.S.</w:t>
            </w: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right"/>
              <w:ind w:right="340"/>
              <w:spacing w:after="0" w:line="164" w:lineRule="exact"/>
              <w:rPr>
                <w:sz w:val="20"/>
                <w:szCs w:val="20"/>
                <w:color w:val="auto"/>
              </w:rPr>
            </w:pPr>
            <w:r>
              <w:rPr>
                <w:rFonts w:ascii="Calibri" w:cs="Calibri" w:eastAsia="Calibri" w:hAnsi="Calibri"/>
                <w:sz w:val="14"/>
                <w:szCs w:val="14"/>
                <w:b w:val="1"/>
                <w:bCs w:val="1"/>
                <w:color w:val="auto"/>
                <w:w w:val="96"/>
              </w:rPr>
              <w:t>Foreign</w:t>
            </w: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jc w:val="right"/>
              <w:ind w:right="420"/>
              <w:spacing w:after="0" w:line="164" w:lineRule="exact"/>
              <w:rPr>
                <w:sz w:val="20"/>
                <w:szCs w:val="20"/>
                <w:color w:val="auto"/>
              </w:rPr>
            </w:pPr>
            <w:r>
              <w:rPr>
                <w:rFonts w:ascii="Calibri" w:cs="Calibri" w:eastAsia="Calibri" w:hAnsi="Calibri"/>
                <w:sz w:val="14"/>
                <w:szCs w:val="14"/>
                <w:b w:val="1"/>
                <w:bCs w:val="1"/>
                <w:color w:val="auto"/>
              </w:rPr>
              <w:t>U.S.</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55"/>
              <w:spacing w:after="0" w:line="164" w:lineRule="exact"/>
              <w:rPr>
                <w:sz w:val="20"/>
                <w:szCs w:val="20"/>
                <w:color w:val="auto"/>
              </w:rPr>
            </w:pPr>
            <w:r>
              <w:rPr>
                <w:rFonts w:ascii="Calibri" w:cs="Calibri" w:eastAsia="Calibri" w:hAnsi="Calibri"/>
                <w:sz w:val="14"/>
                <w:szCs w:val="14"/>
                <w:b w:val="1"/>
                <w:bCs w:val="1"/>
                <w:color w:val="auto"/>
              </w:rPr>
              <w:t>Foreign</w:t>
            </w:r>
          </w:p>
        </w:tc>
        <w:tc>
          <w:tcPr>
            <w:tcW w:w="100" w:type="dxa"/>
            <w:vAlign w:val="bottom"/>
          </w:tcPr>
          <w:p>
            <w:pPr>
              <w:spacing w:after="0"/>
              <w:rPr>
                <w:sz w:val="14"/>
                <w:szCs w:val="14"/>
                <w:color w:val="auto"/>
              </w:rPr>
            </w:pPr>
          </w:p>
        </w:tc>
      </w:tr>
      <w:tr>
        <w:trPr>
          <w:trHeight w:val="33"/>
        </w:trPr>
        <w:tc>
          <w:tcPr>
            <w:tcW w:w="40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3"/>
        </w:trPr>
        <w:tc>
          <w:tcPr>
            <w:tcW w:w="4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0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assets</w:t>
            </w:r>
          </w:p>
        </w:tc>
        <w:tc>
          <w:tcPr>
            <w:tcW w:w="500" w:type="dxa"/>
            <w:vAlign w:val="bottom"/>
            <w:tcBorders>
              <w:bottom w:val="single" w:sz="8" w:color="CFF0FC"/>
            </w:tcBorders>
            <w:shd w:val="clear" w:color="auto" w:fill="CFF0FC"/>
          </w:tcPr>
          <w:p>
            <w:pPr>
              <w:jc w:val="right"/>
              <w:ind w:right="315"/>
              <w:spacing w:after="0" w:line="215" w:lineRule="exact"/>
              <w:rPr>
                <w:sz w:val="20"/>
                <w:szCs w:val="20"/>
                <w:color w:val="auto"/>
              </w:rPr>
            </w:pPr>
            <w:r>
              <w:rPr>
                <w:rFonts w:ascii="Calibri" w:cs="Calibri" w:eastAsia="Calibri" w:hAnsi="Calibri"/>
                <w:sz w:val="18"/>
                <w:szCs w:val="18"/>
                <w:color w:val="auto"/>
                <w:w w:val="87"/>
              </w:rPr>
              <w:t>$</w:t>
            </w:r>
          </w:p>
        </w:tc>
        <w:tc>
          <w:tcPr>
            <w:tcW w:w="44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w:t>
            </w: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jc w:val="right"/>
              <w:ind w:right="315"/>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tcBorders>
              <w:bottom w:val="single" w:sz="8" w:color="CFF0FC"/>
            </w:tcBorders>
            <w:gridSpan w:val="3"/>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68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4040" w:type="dxa"/>
            <w:vAlign w:val="bottom"/>
          </w:tcPr>
          <w:p>
            <w:pPr>
              <w:ind w:left="20"/>
              <w:spacing w:after="0" w:line="215" w:lineRule="exact"/>
              <w:rPr>
                <w:sz w:val="20"/>
                <w:szCs w:val="20"/>
                <w:color w:val="auto"/>
              </w:rPr>
            </w:pPr>
            <w:r>
              <w:rPr>
                <w:rFonts w:ascii="Calibri" w:cs="Calibri" w:eastAsia="Calibri" w:hAnsi="Calibri"/>
                <w:sz w:val="18"/>
                <w:szCs w:val="18"/>
                <w:color w:val="auto"/>
              </w:rPr>
              <w:t>Accounts payable and accrued liabilites</w:t>
            </w:r>
          </w:p>
        </w:tc>
        <w:tc>
          <w:tcPr>
            <w:tcW w:w="500" w:type="dxa"/>
            <w:vAlign w:val="bottom"/>
          </w:tcPr>
          <w:p>
            <w:pPr>
              <w:jc w:val="right"/>
              <w:ind w:right="315"/>
              <w:spacing w:after="0" w:line="215" w:lineRule="exact"/>
              <w:rPr>
                <w:sz w:val="20"/>
                <w:szCs w:val="20"/>
                <w:color w:val="auto"/>
              </w:rPr>
            </w:pPr>
            <w:r>
              <w:rPr>
                <w:rFonts w:ascii="Calibri" w:cs="Calibri" w:eastAsia="Calibri" w:hAnsi="Calibri"/>
                <w:sz w:val="18"/>
                <w:szCs w:val="18"/>
                <w:color w:val="auto"/>
                <w:w w:val="87"/>
              </w:rPr>
              <w:t>$</w:t>
            </w:r>
          </w:p>
        </w:tc>
        <w:tc>
          <w:tcPr>
            <w:tcW w:w="4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(1 )</w:t>
            </w:r>
          </w:p>
        </w:tc>
        <w:tc>
          <w:tcPr>
            <w:tcW w:w="500" w:type="dxa"/>
            <w:vAlign w:val="bottom"/>
          </w:tcPr>
          <w:p>
            <w:pPr>
              <w:jc w:val="right"/>
              <w:ind w:right="315"/>
              <w:spacing w:after="0" w:line="215" w:lineRule="exact"/>
              <w:rPr>
                <w:sz w:val="20"/>
                <w:szCs w:val="20"/>
                <w:color w:val="auto"/>
              </w:rPr>
            </w:pPr>
            <w:r>
              <w:rPr>
                <w:rFonts w:ascii="Calibri" w:cs="Calibri" w:eastAsia="Calibri" w:hAnsi="Calibri"/>
                <w:sz w:val="18"/>
                <w:szCs w:val="18"/>
                <w:color w:val="auto"/>
                <w:w w:val="87"/>
              </w:rPr>
              <w:t>$</w:t>
            </w:r>
          </w:p>
        </w:tc>
        <w:tc>
          <w:tcPr>
            <w:tcW w:w="460" w:type="dxa"/>
            <w:vAlign w:val="bottom"/>
            <w:gridSpan w:val="3"/>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(1 )</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6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(2 )</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(1 )</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(2 )</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7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(1 )</w:t>
            </w:r>
          </w:p>
        </w:tc>
      </w:tr>
      <w:tr>
        <w:trPr>
          <w:trHeight w:val="28"/>
        </w:trPr>
        <w:tc>
          <w:tcPr>
            <w:tcW w:w="4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40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liabilites</w:t>
            </w:r>
          </w:p>
        </w:tc>
        <w:tc>
          <w:tcPr>
            <w:tcW w:w="500" w:type="dxa"/>
            <w:vAlign w:val="bottom"/>
            <w:shd w:val="clear" w:color="auto" w:fill="CFF0FC"/>
          </w:tcPr>
          <w:p>
            <w:pPr>
              <w:jc w:val="right"/>
              <w:ind w:right="315"/>
              <w:spacing w:after="0" w:line="215" w:lineRule="exact"/>
              <w:rPr>
                <w:sz w:val="20"/>
                <w:szCs w:val="20"/>
                <w:color w:val="auto"/>
              </w:rPr>
            </w:pPr>
            <w:r>
              <w:rPr>
                <w:rFonts w:ascii="Calibri" w:cs="Calibri" w:eastAsia="Calibri" w:hAnsi="Calibri"/>
                <w:sz w:val="18"/>
                <w:szCs w:val="18"/>
                <w:color w:val="auto"/>
                <w:w w:val="87"/>
              </w:rPr>
              <w:t>$</w:t>
            </w:r>
          </w:p>
        </w:tc>
        <w:tc>
          <w:tcPr>
            <w:tcW w:w="440" w:type="dxa"/>
            <w:vAlign w:val="bottom"/>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w w:val="99"/>
              </w:rPr>
              <w:t>(2 )</w:t>
            </w: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gridSpan w:val="2"/>
            <w:shd w:val="clear" w:color="auto" w:fill="CFF0FC"/>
          </w:tcPr>
          <w:p>
            <w:pPr>
              <w:jc w:val="right"/>
              <w:ind w:right="108"/>
              <w:spacing w:after="0" w:line="215" w:lineRule="exact"/>
              <w:rPr>
                <w:sz w:val="20"/>
                <w:szCs w:val="20"/>
                <w:color w:val="auto"/>
              </w:rPr>
            </w:pPr>
            <w:r>
              <w:rPr>
                <w:rFonts w:ascii="Calibri" w:cs="Calibri" w:eastAsia="Calibri" w:hAnsi="Calibri"/>
                <w:sz w:val="18"/>
                <w:szCs w:val="18"/>
                <w:color w:val="auto"/>
              </w:rPr>
              <w:t>(24 )</w:t>
            </w:r>
          </w:p>
        </w:tc>
        <w:tc>
          <w:tcPr>
            <w:tcW w:w="500" w:type="dxa"/>
            <w:vAlign w:val="bottom"/>
            <w:shd w:val="clear" w:color="auto" w:fill="CFF0FC"/>
          </w:tcPr>
          <w:p>
            <w:pPr>
              <w:jc w:val="right"/>
              <w:ind w:right="315"/>
              <w:spacing w:after="0" w:line="215" w:lineRule="exact"/>
              <w:rPr>
                <w:sz w:val="20"/>
                <w:szCs w:val="20"/>
                <w:color w:val="auto"/>
              </w:rPr>
            </w:pPr>
            <w:r>
              <w:rPr>
                <w:rFonts w:ascii="Calibri" w:cs="Calibri" w:eastAsia="Calibri" w:hAnsi="Calibri"/>
                <w:sz w:val="18"/>
                <w:szCs w:val="18"/>
                <w:color w:val="auto"/>
                <w:w w:val="87"/>
              </w:rPr>
              <w:t>$</w:t>
            </w:r>
          </w:p>
        </w:tc>
        <w:tc>
          <w:tcPr>
            <w:tcW w:w="44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(2 )</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(23 )</w:t>
            </w:r>
          </w:p>
        </w:tc>
        <w:tc>
          <w:tcPr>
            <w:tcW w:w="200" w:type="dxa"/>
            <w:vAlign w:val="bottom"/>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68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(12 )</w:t>
            </w: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(10 )</w:t>
            </w:r>
          </w:p>
        </w:tc>
        <w:tc>
          <w:tcPr>
            <w:tcW w:w="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(14 )</w:t>
            </w: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0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(12 )</w:t>
            </w:r>
          </w:p>
        </w:tc>
      </w:tr>
      <w:tr>
        <w:trPr>
          <w:trHeight w:val="28"/>
        </w:trPr>
        <w:tc>
          <w:tcPr>
            <w:tcW w:w="404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180"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color w:val="auto"/>
        </w:rPr>
        <w:t>Amounts recognized in AOCI at September 30, 2023 and 2022 related to the Company's defned beneft pension and postretrement beneft plans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right"/>
              <w:ind w:right="176"/>
              <w:spacing w:after="0"/>
              <w:rPr>
                <w:sz w:val="20"/>
                <w:szCs w:val="20"/>
                <w:color w:val="auto"/>
              </w:rPr>
            </w:pPr>
            <w:r>
              <w:rPr>
                <w:rFonts w:ascii="Calibri" w:cs="Calibri" w:eastAsia="Calibri" w:hAnsi="Calibri"/>
                <w:sz w:val="14"/>
                <w:szCs w:val="14"/>
                <w:b w:val="1"/>
                <w:bCs w:val="1"/>
                <w:color w:val="auto"/>
              </w:rPr>
              <w:t>September 30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gridSpan w:val="3"/>
          </w:tcPr>
          <w:p>
            <w:pPr>
              <w:jc w:val="right"/>
              <w:ind w:right="10"/>
              <w:spacing w:after="0" w:line="164" w:lineRule="exact"/>
              <w:rPr>
                <w:sz w:val="20"/>
                <w:szCs w:val="20"/>
                <w:color w:val="auto"/>
              </w:rPr>
            </w:pPr>
            <w:r>
              <w:rPr>
                <w:rFonts w:ascii="Calibri" w:cs="Calibri" w:eastAsia="Calibri" w:hAnsi="Calibri"/>
                <w:sz w:val="14"/>
                <w:szCs w:val="14"/>
                <w:b w:val="1"/>
                <w:bCs w:val="1"/>
                <w:color w:val="auto"/>
              </w:rPr>
              <w:t>2022</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Pension</w:t>
            </w:r>
          </w:p>
        </w:tc>
        <w:tc>
          <w:tcPr>
            <w:tcW w:w="240" w:type="dxa"/>
            <w:vAlign w:val="bottom"/>
          </w:tcPr>
          <w:p>
            <w:pPr>
              <w:spacing w:after="0"/>
              <w:rPr>
                <w:sz w:val="14"/>
                <w:szCs w:val="14"/>
                <w:color w:val="auto"/>
              </w:rPr>
            </w:pPr>
          </w:p>
        </w:tc>
        <w:tc>
          <w:tcPr>
            <w:tcW w:w="500" w:type="dxa"/>
            <w:vAlign w:val="bottom"/>
          </w:tcPr>
          <w:p>
            <w:pPr>
              <w:spacing w:after="0" w:line="164" w:lineRule="exact"/>
              <w:rPr>
                <w:sz w:val="20"/>
                <w:szCs w:val="20"/>
                <w:color w:val="auto"/>
              </w:rPr>
            </w:pPr>
            <w:r>
              <w:rPr>
                <w:rFonts w:ascii="Calibri" w:cs="Calibri" w:eastAsia="Calibri" w:hAnsi="Calibri"/>
                <w:sz w:val="14"/>
                <w:szCs w:val="14"/>
                <w:b w:val="1"/>
                <w:bCs w:val="1"/>
                <w:color w:val="auto"/>
              </w:rPr>
              <w:t>Benefts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6"/>
          </w:tcPr>
          <w:p>
            <w:pPr>
              <w:jc w:val="right"/>
              <w:ind w:right="260"/>
              <w:spacing w:after="0" w:line="164" w:lineRule="exact"/>
              <w:rPr>
                <w:sz w:val="20"/>
                <w:szCs w:val="20"/>
                <w:color w:val="auto"/>
              </w:rPr>
            </w:pPr>
            <w:r>
              <w:rPr>
                <w:rFonts w:ascii="Calibri" w:cs="Calibri" w:eastAsia="Calibri" w:hAnsi="Calibri"/>
                <w:sz w:val="14"/>
                <w:szCs w:val="14"/>
                <w:b w:val="1"/>
                <w:bCs w:val="1"/>
                <w:color w:val="auto"/>
              </w:rPr>
              <w:t>Postretrement Benefts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5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U.S.</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jc w:val="right"/>
              <w:ind w:right="380"/>
              <w:spacing w:after="0" w:line="164" w:lineRule="exact"/>
              <w:rPr>
                <w:sz w:val="20"/>
                <w:szCs w:val="20"/>
                <w:color w:val="auto"/>
              </w:rPr>
            </w:pPr>
            <w:r>
              <w:rPr>
                <w:rFonts w:ascii="Calibri" w:cs="Calibri" w:eastAsia="Calibri" w:hAnsi="Calibri"/>
                <w:sz w:val="14"/>
                <w:szCs w:val="14"/>
                <w:b w:val="1"/>
                <w:bCs w:val="1"/>
                <w:color w:val="auto"/>
              </w:rPr>
              <w:t>Foreign</w:t>
            </w:r>
          </w:p>
        </w:tc>
        <w:tc>
          <w:tcPr>
            <w:tcW w:w="500" w:type="dxa"/>
            <w:vAlign w:val="bottom"/>
            <w:tcBorders>
              <w:top w:val="single" w:sz="8" w:color="auto"/>
            </w:tcBorders>
          </w:tcPr>
          <w:p>
            <w:pPr>
              <w:ind w:left="220"/>
              <w:spacing w:after="0" w:line="164" w:lineRule="exact"/>
              <w:rPr>
                <w:sz w:val="20"/>
                <w:szCs w:val="20"/>
                <w:color w:val="auto"/>
              </w:rPr>
            </w:pPr>
            <w:r>
              <w:rPr>
                <w:rFonts w:ascii="Calibri" w:cs="Calibri" w:eastAsia="Calibri" w:hAnsi="Calibri"/>
                <w:sz w:val="14"/>
                <w:szCs w:val="14"/>
                <w:b w:val="1"/>
                <w:bCs w:val="1"/>
                <w:color w:val="auto"/>
              </w:rPr>
              <w:t>U.S.</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39"/>
              <w:spacing w:after="0" w:line="164" w:lineRule="exact"/>
              <w:rPr>
                <w:sz w:val="20"/>
                <w:szCs w:val="20"/>
                <w:color w:val="auto"/>
              </w:rPr>
            </w:pPr>
            <w:r>
              <w:rPr>
                <w:rFonts w:ascii="Calibri" w:cs="Calibri" w:eastAsia="Calibri" w:hAnsi="Calibri"/>
                <w:sz w:val="14"/>
                <w:szCs w:val="14"/>
                <w:b w:val="1"/>
                <w:bCs w:val="1"/>
                <w:color w:val="auto"/>
              </w:rPr>
              <w:t>Foreign</w:t>
            </w:r>
          </w:p>
        </w:tc>
        <w:tc>
          <w:tcPr>
            <w:tcW w:w="220" w:type="dxa"/>
            <w:vAlign w:val="bottom"/>
          </w:tcPr>
          <w:p>
            <w:pPr>
              <w:spacing w:after="0"/>
              <w:rPr>
                <w:sz w:val="14"/>
                <w:szCs w:val="14"/>
                <w:color w:val="auto"/>
              </w:rPr>
            </w:pPr>
          </w:p>
        </w:tc>
        <w:tc>
          <w:tcPr>
            <w:tcW w:w="4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U.S.</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right"/>
              <w:ind w:right="340"/>
              <w:spacing w:after="0" w:line="164" w:lineRule="exact"/>
              <w:rPr>
                <w:sz w:val="20"/>
                <w:szCs w:val="20"/>
                <w:color w:val="auto"/>
              </w:rPr>
            </w:pPr>
            <w:r>
              <w:rPr>
                <w:rFonts w:ascii="Calibri" w:cs="Calibri" w:eastAsia="Calibri" w:hAnsi="Calibri"/>
                <w:sz w:val="14"/>
                <w:szCs w:val="14"/>
                <w:b w:val="1"/>
                <w:bCs w:val="1"/>
                <w:color w:val="auto"/>
                <w:w w:val="96"/>
              </w:rPr>
              <w:t>Foreign</w:t>
            </w:r>
          </w:p>
        </w:tc>
        <w:tc>
          <w:tcPr>
            <w:tcW w:w="4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U.S.</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55"/>
              <w:spacing w:after="0" w:line="164" w:lineRule="exact"/>
              <w:rPr>
                <w:sz w:val="20"/>
                <w:szCs w:val="20"/>
                <w:color w:val="auto"/>
              </w:rPr>
            </w:pPr>
            <w:r>
              <w:rPr>
                <w:rFonts w:ascii="Calibri" w:cs="Calibri" w:eastAsia="Calibri" w:hAnsi="Calibri"/>
                <w:sz w:val="14"/>
                <w:szCs w:val="14"/>
                <w:b w:val="1"/>
                <w:bCs w:val="1"/>
                <w:color w:val="auto"/>
              </w:rPr>
              <w:t>Foreign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right"/>
              <w:ind w:right="236"/>
              <w:spacing w:after="0"/>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actuarial (gain) loss</w:t>
            </w:r>
          </w:p>
        </w:tc>
        <w:tc>
          <w:tcPr>
            <w:tcW w:w="500" w:type="dxa"/>
            <w:vAlign w:val="bottom"/>
            <w:tcBorders>
              <w:bottom w:val="single" w:sz="8" w:color="CFF0FC"/>
            </w:tcBorders>
            <w:shd w:val="clear" w:color="auto" w:fill="CFF0FC"/>
          </w:tcPr>
          <w:p>
            <w:pPr>
              <w:jc w:val="right"/>
              <w:ind w:right="316"/>
              <w:spacing w:after="0" w:line="215" w:lineRule="exact"/>
              <w:rPr>
                <w:sz w:val="20"/>
                <w:szCs w:val="20"/>
                <w:color w:val="auto"/>
              </w:rPr>
            </w:pPr>
            <w:r>
              <w:rPr>
                <w:rFonts w:ascii="Calibri" w:cs="Calibri" w:eastAsia="Calibri" w:hAnsi="Calibri"/>
                <w:sz w:val="18"/>
                <w:szCs w:val="18"/>
                <w:color w:val="auto"/>
                <w:w w:val="87"/>
              </w:rPr>
              <w:t>$</w:t>
            </w:r>
          </w:p>
        </w:tc>
        <w:tc>
          <w:tcPr>
            <w:tcW w:w="200" w:type="dxa"/>
            <w:vAlign w:val="bottom"/>
            <w:tcBorders>
              <w:bottom w:val="single" w:sz="8" w:color="CFF0FC"/>
            </w:tcBorders>
            <w:shd w:val="clear" w:color="auto" w:fill="CFF0FC"/>
          </w:tcPr>
          <w:p>
            <w:pPr>
              <w:ind w:left="40"/>
              <w:spacing w:after="0" w:line="215" w:lineRule="exact"/>
              <w:rPr>
                <w:sz w:val="20"/>
                <w:szCs w:val="20"/>
                <w:color w:val="auto"/>
              </w:rPr>
            </w:pPr>
            <w:r>
              <w:rPr>
                <w:rFonts w:ascii="Calibri" w:cs="Calibri" w:eastAsia="Calibri" w:hAnsi="Calibri"/>
                <w:sz w:val="18"/>
                <w:szCs w:val="18"/>
                <w:color w:val="auto"/>
                <w:w w:val="85"/>
              </w:rPr>
              <w:t>—</w:t>
            </w:r>
          </w:p>
        </w:tc>
        <w:tc>
          <w:tcPr>
            <w:tcW w:w="3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w:t>
            </w: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w w:val="97"/>
              </w:rPr>
              <w:t>—</w:t>
            </w:r>
          </w:p>
        </w:tc>
        <w:tc>
          <w:tcPr>
            <w:tcW w:w="3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w:t>
            </w:r>
          </w:p>
        </w:tc>
        <w:tc>
          <w:tcPr>
            <w:tcW w:w="2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ind w:right="296"/>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w w:val="99"/>
              </w:rPr>
              <w:t>(6 )</w:t>
            </w:r>
          </w:p>
        </w:tc>
        <w:tc>
          <w:tcPr>
            <w:tcW w:w="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(7 )</w:t>
            </w:r>
          </w:p>
        </w:tc>
        <w:tc>
          <w:tcPr>
            <w:tcW w:w="480" w:type="dxa"/>
            <w:vAlign w:val="bottom"/>
            <w:tcBorders>
              <w:bottom w:val="single" w:sz="8" w:color="CFF0FC"/>
            </w:tcBorders>
            <w:shd w:val="clear" w:color="auto" w:fill="CFF0FC"/>
          </w:tcPr>
          <w:p>
            <w:pPr>
              <w:jc w:val="right"/>
              <w:ind w:right="296"/>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w w:val="99"/>
              </w:rPr>
              <w:t>(6 )</w:t>
            </w:r>
          </w:p>
        </w:tc>
        <w:tc>
          <w:tcPr>
            <w:tcW w:w="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(4 )</w:t>
            </w:r>
          </w:p>
        </w:tc>
        <w:tc>
          <w:tcPr>
            <w:tcW w:w="0" w:type="dxa"/>
            <w:vAlign w:val="bottom"/>
          </w:tcPr>
          <w:p>
            <w:pPr>
              <w:spacing w:after="0"/>
              <w:rPr>
                <w:sz w:val="1"/>
                <w:szCs w:val="1"/>
                <w:color w:val="auto"/>
              </w:rPr>
            </w:pPr>
          </w:p>
        </w:tc>
      </w:tr>
      <w:tr>
        <w:trPr>
          <w:trHeight w:val="220"/>
        </w:trPr>
        <w:tc>
          <w:tcPr>
            <w:tcW w:w="4000" w:type="dxa"/>
            <w:vAlign w:val="bottom"/>
          </w:tcPr>
          <w:p>
            <w:pPr>
              <w:ind w:left="20"/>
              <w:spacing w:after="0"/>
              <w:rPr>
                <w:sz w:val="20"/>
                <w:szCs w:val="20"/>
                <w:color w:val="auto"/>
              </w:rPr>
            </w:pPr>
            <w:r>
              <w:rPr>
                <w:rFonts w:ascii="Calibri" w:cs="Calibri" w:eastAsia="Calibri" w:hAnsi="Calibri"/>
                <w:sz w:val="18"/>
                <w:szCs w:val="18"/>
                <w:color w:val="auto"/>
              </w:rPr>
              <w:t>Net prior service credit</w:t>
            </w:r>
          </w:p>
        </w:tc>
        <w:tc>
          <w:tcPr>
            <w:tcW w:w="500" w:type="dxa"/>
            <w:vAlign w:val="bottom"/>
          </w:tcPr>
          <w:p>
            <w:pPr>
              <w:spacing w:after="0"/>
              <w:rPr>
                <w:sz w:val="19"/>
                <w:szCs w:val="19"/>
                <w:color w:val="auto"/>
              </w:rPr>
            </w:pPr>
          </w:p>
        </w:tc>
        <w:tc>
          <w:tcPr>
            <w:tcW w:w="200" w:type="dxa"/>
            <w:vAlign w:val="bottom"/>
          </w:tcPr>
          <w:p>
            <w:pPr>
              <w:ind w:left="40"/>
              <w:spacing w:after="0" w:line="215" w:lineRule="exact"/>
              <w:rPr>
                <w:sz w:val="20"/>
                <w:szCs w:val="20"/>
                <w:color w:val="auto"/>
              </w:rPr>
            </w:pPr>
            <w:r>
              <w:rPr>
                <w:rFonts w:ascii="Calibri" w:cs="Calibri" w:eastAsia="Calibri" w:hAnsi="Calibri"/>
                <w:sz w:val="18"/>
                <w:szCs w:val="18"/>
                <w:color w:val="auto"/>
                <w:w w:val="85"/>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(1 )</w:t>
            </w:r>
          </w:p>
        </w:tc>
        <w:tc>
          <w:tcPr>
            <w:tcW w:w="500" w:type="dxa"/>
            <w:vAlign w:val="bottom"/>
          </w:tcPr>
          <w:p>
            <w:pPr>
              <w:spacing w:after="0"/>
              <w:rPr>
                <w:sz w:val="19"/>
                <w:szCs w:val="19"/>
                <w:color w:val="auto"/>
              </w:rPr>
            </w:pPr>
          </w:p>
        </w:tc>
        <w:tc>
          <w:tcPr>
            <w:tcW w:w="200" w:type="dxa"/>
            <w:vAlign w:val="bottom"/>
          </w:tcPr>
          <w:p>
            <w:pPr>
              <w:ind w:left="2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(1 )</w:t>
            </w:r>
          </w:p>
        </w:tc>
        <w:tc>
          <w:tcPr>
            <w:tcW w:w="480" w:type="dxa"/>
            <w:vAlign w:val="bottom"/>
          </w:tcPr>
          <w:p>
            <w:pPr>
              <w:spacing w:after="0"/>
              <w:rPr>
                <w:sz w:val="19"/>
                <w:szCs w:val="19"/>
                <w:color w:val="auto"/>
              </w:rPr>
            </w:pPr>
          </w:p>
        </w:tc>
        <w:tc>
          <w:tcPr>
            <w:tcW w:w="4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spacing w:after="0"/>
              <w:rPr>
                <w:sz w:val="19"/>
                <w:szCs w:val="19"/>
                <w:color w:val="auto"/>
              </w:rPr>
            </w:pPr>
          </w:p>
        </w:tc>
        <w:tc>
          <w:tcPr>
            <w:tcW w:w="7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Pr>
          <w:p>
            <w:pPr>
              <w:spacing w:after="0"/>
              <w:rPr>
                <w:sz w:val="19"/>
                <w:szCs w:val="19"/>
                <w:color w:val="auto"/>
              </w:rPr>
            </w:pPr>
          </w:p>
        </w:tc>
        <w:tc>
          <w:tcPr>
            <w:tcW w:w="4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spacing w:after="0"/>
              <w:rPr>
                <w:sz w:val="19"/>
                <w:szCs w:val="19"/>
                <w:color w:val="auto"/>
              </w:rPr>
            </w:pPr>
          </w:p>
        </w:tc>
        <w:tc>
          <w:tcPr>
            <w:tcW w:w="7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0" w:type="dxa"/>
            <w:vAlign w:val="bottom"/>
            <w:shd w:val="clear" w:color="auto" w:fill="CFF0FC"/>
          </w:tcPr>
          <w:p>
            <w:pPr>
              <w:ind w:left="20"/>
              <w:spacing w:after="0" w:line="201" w:lineRule="exact"/>
              <w:rPr>
                <w:sz w:val="20"/>
                <w:szCs w:val="20"/>
                <w:color w:val="auto"/>
              </w:rPr>
            </w:pPr>
            <w:r>
              <w:rPr>
                <w:rFonts w:ascii="Calibri" w:cs="Calibri" w:eastAsia="Calibri" w:hAnsi="Calibri"/>
                <w:sz w:val="18"/>
                <w:szCs w:val="18"/>
                <w:color w:val="auto"/>
              </w:rPr>
              <w:t>Balance in accumulated other</w:t>
            </w:r>
          </w:p>
        </w:tc>
        <w:tc>
          <w:tcPr>
            <w:tcW w:w="500" w:type="dxa"/>
            <w:vAlign w:val="bottom"/>
            <w:vMerge w:val="restart"/>
            <w:shd w:val="clear" w:color="auto" w:fill="CFF0FC"/>
          </w:tcPr>
          <w:p>
            <w:pPr>
              <w:jc w:val="right"/>
              <w:ind w:right="316"/>
              <w:spacing w:after="0"/>
              <w:rPr>
                <w:sz w:val="20"/>
                <w:szCs w:val="20"/>
                <w:color w:val="auto"/>
              </w:rPr>
            </w:pPr>
            <w:r>
              <w:rPr>
                <w:rFonts w:ascii="Calibri" w:cs="Calibri" w:eastAsia="Calibri" w:hAnsi="Calibri"/>
                <w:sz w:val="18"/>
                <w:szCs w:val="18"/>
                <w:color w:val="auto"/>
                <w:w w:val="87"/>
              </w:rPr>
              <w:t>$</w:t>
            </w:r>
          </w:p>
        </w:tc>
        <w:tc>
          <w:tcPr>
            <w:tcW w:w="200" w:type="dxa"/>
            <w:vAlign w:val="bottom"/>
            <w:vMerge w:val="restart"/>
            <w:shd w:val="clear" w:color="auto" w:fill="CFF0FC"/>
          </w:tcPr>
          <w:p>
            <w:pPr>
              <w:ind w:left="40"/>
              <w:spacing w:after="0"/>
              <w:rPr>
                <w:sz w:val="20"/>
                <w:szCs w:val="20"/>
                <w:color w:val="auto"/>
              </w:rPr>
            </w:pPr>
            <w:r>
              <w:rPr>
                <w:rFonts w:ascii="Calibri" w:cs="Calibri" w:eastAsia="Calibri" w:hAnsi="Calibri"/>
                <w:sz w:val="18"/>
                <w:szCs w:val="18"/>
                <w:color w:val="auto"/>
                <w:w w:val="85"/>
              </w:rPr>
              <w:t>—</w:t>
            </w:r>
          </w:p>
        </w:tc>
        <w:tc>
          <w:tcPr>
            <w:tcW w:w="24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6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23</w:t>
            </w:r>
          </w:p>
        </w:tc>
        <w:tc>
          <w:tcPr>
            <w:tcW w:w="240" w:type="dxa"/>
            <w:vAlign w:val="bottom"/>
            <w:shd w:val="clear" w:color="auto" w:fill="CFF0FC"/>
          </w:tcPr>
          <w:p>
            <w:pPr>
              <w:spacing w:after="0"/>
              <w:rPr>
                <w:sz w:val="17"/>
                <w:szCs w:val="17"/>
                <w:color w:val="auto"/>
              </w:rPr>
            </w:pPr>
          </w:p>
        </w:tc>
        <w:tc>
          <w:tcPr>
            <w:tcW w:w="500" w:type="dxa"/>
            <w:vAlign w:val="bottom"/>
            <w:vMerge w:val="restart"/>
            <w:shd w:val="clear" w:color="auto" w:fill="CFF0FC"/>
          </w:tcPr>
          <w:p>
            <w:pPr>
              <w:spacing w:after="0"/>
              <w:rPr>
                <w:sz w:val="20"/>
                <w:szCs w:val="20"/>
                <w:color w:val="auto"/>
              </w:rPr>
            </w:pPr>
            <w:r>
              <w:rPr>
                <w:rFonts w:ascii="Calibri" w:cs="Calibri" w:eastAsia="Calibri" w:hAnsi="Calibri"/>
                <w:sz w:val="18"/>
                <w:szCs w:val="18"/>
                <w:color w:val="auto"/>
              </w:rPr>
              <w:t>$</w:t>
            </w:r>
          </w:p>
        </w:tc>
        <w:tc>
          <w:tcPr>
            <w:tcW w:w="200" w:type="dxa"/>
            <w:vAlign w:val="bottom"/>
            <w:vMerge w:val="restart"/>
            <w:shd w:val="clear" w:color="auto" w:fill="CFF0FC"/>
          </w:tcPr>
          <w:p>
            <w:pPr>
              <w:ind w:left="20"/>
              <w:spacing w:after="0"/>
              <w:rPr>
                <w:sz w:val="20"/>
                <w:szCs w:val="20"/>
                <w:color w:val="auto"/>
              </w:rPr>
            </w:pPr>
            <w:r>
              <w:rPr>
                <w:rFonts w:ascii="Calibri" w:cs="Calibri" w:eastAsia="Calibri" w:hAnsi="Calibri"/>
                <w:sz w:val="18"/>
                <w:szCs w:val="18"/>
                <w:color w:val="auto"/>
                <w:w w:val="97"/>
              </w:rPr>
              <w:t>—</w:t>
            </w:r>
          </w:p>
        </w:tc>
        <w:tc>
          <w:tcPr>
            <w:tcW w:w="24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w w:val="87"/>
              </w:rPr>
              <w:t>$</w:t>
            </w:r>
          </w:p>
        </w:tc>
        <w:tc>
          <w:tcPr>
            <w:tcW w:w="5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22</w:t>
            </w:r>
          </w:p>
        </w:tc>
        <w:tc>
          <w:tcPr>
            <w:tcW w:w="220" w:type="dxa"/>
            <w:vAlign w:val="bottom"/>
            <w:shd w:val="clear" w:color="auto" w:fill="CFF0FC"/>
          </w:tcPr>
          <w:p>
            <w:pPr>
              <w:spacing w:after="0"/>
              <w:rPr>
                <w:sz w:val="17"/>
                <w:szCs w:val="17"/>
                <w:color w:val="auto"/>
              </w:rPr>
            </w:pPr>
          </w:p>
        </w:tc>
        <w:tc>
          <w:tcPr>
            <w:tcW w:w="480" w:type="dxa"/>
            <w:vAlign w:val="bottom"/>
            <w:vMerge w:val="restart"/>
            <w:shd w:val="clear" w:color="auto" w:fill="CFF0FC"/>
          </w:tcPr>
          <w:p>
            <w:pPr>
              <w:jc w:val="right"/>
              <w:ind w:right="296"/>
              <w:spacing w:after="0"/>
              <w:rPr>
                <w:sz w:val="20"/>
                <w:szCs w:val="20"/>
                <w:color w:val="auto"/>
              </w:rPr>
            </w:pPr>
            <w:r>
              <w:rPr>
                <w:rFonts w:ascii="Calibri" w:cs="Calibri" w:eastAsia="Calibri" w:hAnsi="Calibri"/>
                <w:sz w:val="18"/>
                <w:szCs w:val="18"/>
                <w:color w:val="auto"/>
                <w:w w:val="87"/>
              </w:rPr>
              <w:t>$</w:t>
            </w:r>
          </w:p>
        </w:tc>
        <w:tc>
          <w:tcPr>
            <w:tcW w:w="400" w:type="dxa"/>
            <w:vAlign w:val="bottom"/>
            <w:gridSpan w:val="2"/>
            <w:vMerge w:val="restart"/>
            <w:shd w:val="clear" w:color="auto" w:fill="CFF0FC"/>
          </w:tcPr>
          <w:p>
            <w:pPr>
              <w:jc w:val="right"/>
              <w:ind w:right="140"/>
              <w:spacing w:after="0"/>
              <w:rPr>
                <w:sz w:val="20"/>
                <w:szCs w:val="20"/>
                <w:color w:val="auto"/>
              </w:rPr>
            </w:pPr>
            <w:r>
              <w:rPr>
                <w:rFonts w:ascii="Calibri" w:cs="Calibri" w:eastAsia="Calibri" w:hAnsi="Calibri"/>
                <w:sz w:val="18"/>
                <w:szCs w:val="18"/>
                <w:color w:val="auto"/>
                <w:w w:val="99"/>
              </w:rPr>
              <w:t>(6 )</w:t>
            </w:r>
          </w:p>
        </w:tc>
        <w:tc>
          <w:tcPr>
            <w:tcW w:w="1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780" w:type="dxa"/>
            <w:vAlign w:val="bottom"/>
            <w:gridSpan w:val="2"/>
            <w:vMerge w:val="restart"/>
            <w:shd w:val="clear" w:color="auto" w:fill="CFF0FC"/>
          </w:tcPr>
          <w:p>
            <w:pPr>
              <w:jc w:val="right"/>
              <w:ind w:right="140"/>
              <w:spacing w:after="0"/>
              <w:rPr>
                <w:sz w:val="20"/>
                <w:szCs w:val="20"/>
                <w:color w:val="auto"/>
              </w:rPr>
            </w:pPr>
            <w:r>
              <w:rPr>
                <w:rFonts w:ascii="Calibri" w:cs="Calibri" w:eastAsia="Calibri" w:hAnsi="Calibri"/>
                <w:sz w:val="18"/>
                <w:szCs w:val="18"/>
                <w:color w:val="auto"/>
              </w:rPr>
              <w:t>(7 )</w:t>
            </w:r>
          </w:p>
        </w:tc>
        <w:tc>
          <w:tcPr>
            <w:tcW w:w="480" w:type="dxa"/>
            <w:vAlign w:val="bottom"/>
            <w:vMerge w:val="restart"/>
            <w:shd w:val="clear" w:color="auto" w:fill="CFF0FC"/>
          </w:tcPr>
          <w:p>
            <w:pPr>
              <w:jc w:val="right"/>
              <w:ind w:right="296"/>
              <w:spacing w:after="0"/>
              <w:rPr>
                <w:sz w:val="20"/>
                <w:szCs w:val="20"/>
                <w:color w:val="auto"/>
              </w:rPr>
            </w:pPr>
            <w:r>
              <w:rPr>
                <w:rFonts w:ascii="Calibri" w:cs="Calibri" w:eastAsia="Calibri" w:hAnsi="Calibri"/>
                <w:sz w:val="18"/>
                <w:szCs w:val="18"/>
                <w:color w:val="auto"/>
                <w:w w:val="87"/>
              </w:rPr>
              <w:t>$</w:t>
            </w:r>
          </w:p>
        </w:tc>
        <w:tc>
          <w:tcPr>
            <w:tcW w:w="400" w:type="dxa"/>
            <w:vAlign w:val="bottom"/>
            <w:gridSpan w:val="2"/>
            <w:vMerge w:val="restart"/>
            <w:shd w:val="clear" w:color="auto" w:fill="CFF0FC"/>
          </w:tcPr>
          <w:p>
            <w:pPr>
              <w:jc w:val="right"/>
              <w:ind w:right="140"/>
              <w:spacing w:after="0"/>
              <w:rPr>
                <w:sz w:val="20"/>
                <w:szCs w:val="20"/>
                <w:color w:val="auto"/>
              </w:rPr>
            </w:pPr>
            <w:r>
              <w:rPr>
                <w:rFonts w:ascii="Calibri" w:cs="Calibri" w:eastAsia="Calibri" w:hAnsi="Calibri"/>
                <w:sz w:val="18"/>
                <w:szCs w:val="18"/>
                <w:color w:val="auto"/>
                <w:w w:val="99"/>
              </w:rPr>
              <w:t>(6 )</w:t>
            </w:r>
          </w:p>
        </w:tc>
        <w:tc>
          <w:tcPr>
            <w:tcW w:w="1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700" w:type="dxa"/>
            <w:vAlign w:val="bottom"/>
            <w:gridSpan w:val="2"/>
            <w:vMerge w:val="restart"/>
            <w:shd w:val="clear" w:color="auto" w:fill="CFF0FC"/>
          </w:tcPr>
          <w:p>
            <w:pPr>
              <w:jc w:val="right"/>
              <w:ind w:right="40"/>
              <w:spacing w:after="0"/>
              <w:rPr>
                <w:sz w:val="20"/>
                <w:szCs w:val="20"/>
                <w:color w:val="auto"/>
              </w:rPr>
            </w:pPr>
            <w:r>
              <w:rPr>
                <w:rFonts w:ascii="Calibri" w:cs="Calibri" w:eastAsia="Calibri" w:hAnsi="Calibri"/>
                <w:sz w:val="18"/>
                <w:szCs w:val="18"/>
                <w:color w:val="auto"/>
              </w:rPr>
              <w:t>(4 )</w:t>
            </w:r>
          </w:p>
        </w:tc>
        <w:tc>
          <w:tcPr>
            <w:tcW w:w="0" w:type="dxa"/>
            <w:vAlign w:val="bottom"/>
          </w:tcPr>
          <w:p>
            <w:pPr>
              <w:spacing w:after="0"/>
              <w:rPr>
                <w:sz w:val="1"/>
                <w:szCs w:val="1"/>
                <w:color w:val="auto"/>
              </w:rPr>
            </w:pPr>
          </w:p>
        </w:tc>
      </w:tr>
      <w:tr>
        <w:trPr>
          <w:trHeight w:val="231"/>
        </w:trPr>
        <w:tc>
          <w:tcPr>
            <w:tcW w:w="4000" w:type="dxa"/>
            <w:vAlign w:val="bottom"/>
            <w:shd w:val="clear" w:color="auto" w:fill="CFF0FC"/>
          </w:tcPr>
          <w:p>
            <w:pPr>
              <w:ind w:left="140"/>
              <w:spacing w:after="0" w:line="211" w:lineRule="exact"/>
              <w:rPr>
                <w:sz w:val="20"/>
                <w:szCs w:val="20"/>
                <w:color w:val="auto"/>
              </w:rPr>
            </w:pPr>
            <w:r>
              <w:rPr>
                <w:rFonts w:ascii="Calibri" w:cs="Calibri" w:eastAsia="Calibri" w:hAnsi="Calibri"/>
                <w:sz w:val="18"/>
                <w:szCs w:val="18"/>
                <w:color w:val="auto"/>
              </w:rPr>
              <w:t>comprehensive (income) loss, pretax</w:t>
            </w:r>
          </w:p>
        </w:tc>
        <w:tc>
          <w:tcPr>
            <w:tcW w:w="500" w:type="dxa"/>
            <w:vAlign w:val="bottom"/>
            <w:vMerge w:val="continue"/>
            <w:shd w:val="clear" w:color="auto" w:fill="CFF0FC"/>
          </w:tcPr>
          <w:p>
            <w:pPr>
              <w:spacing w:after="0"/>
              <w:rPr>
                <w:sz w:val="20"/>
                <w:szCs w:val="20"/>
                <w:color w:val="auto"/>
              </w:rPr>
            </w:pPr>
          </w:p>
        </w:tc>
        <w:tc>
          <w:tcPr>
            <w:tcW w:w="200" w:type="dxa"/>
            <w:vAlign w:val="bottom"/>
            <w:vMerge w:val="continue"/>
            <w:shd w:val="clear" w:color="auto" w:fill="CFF0FC"/>
          </w:tcPr>
          <w:p>
            <w:pPr>
              <w:spacing w:after="0"/>
              <w:rPr>
                <w:sz w:val="20"/>
                <w:szCs w:val="20"/>
                <w:color w:val="auto"/>
              </w:rPr>
            </w:pPr>
          </w:p>
        </w:tc>
        <w:tc>
          <w:tcPr>
            <w:tcW w:w="240" w:type="dxa"/>
            <w:vAlign w:val="bottom"/>
            <w:vMerge w:val="continue"/>
            <w:shd w:val="clear" w:color="auto" w:fill="CFF0FC"/>
          </w:tcPr>
          <w:p>
            <w:pPr>
              <w:spacing w:after="0"/>
              <w:rPr>
                <w:sz w:val="20"/>
                <w:szCs w:val="20"/>
                <w:color w:val="auto"/>
              </w:rPr>
            </w:pPr>
          </w:p>
        </w:tc>
        <w:tc>
          <w:tcPr>
            <w:tcW w:w="12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00" w:type="dxa"/>
            <w:vAlign w:val="bottom"/>
            <w:vMerge w:val="continue"/>
            <w:shd w:val="clear" w:color="auto" w:fill="CFF0FC"/>
          </w:tcPr>
          <w:p>
            <w:pPr>
              <w:spacing w:after="0"/>
              <w:rPr>
                <w:sz w:val="20"/>
                <w:szCs w:val="20"/>
                <w:color w:val="auto"/>
              </w:rPr>
            </w:pPr>
          </w:p>
        </w:tc>
        <w:tc>
          <w:tcPr>
            <w:tcW w:w="200" w:type="dxa"/>
            <w:vAlign w:val="bottom"/>
            <w:vMerge w:val="continue"/>
            <w:shd w:val="clear" w:color="auto" w:fill="CFF0FC"/>
          </w:tcPr>
          <w:p>
            <w:pPr>
              <w:spacing w:after="0"/>
              <w:rPr>
                <w:sz w:val="20"/>
                <w:szCs w:val="20"/>
                <w:color w:val="auto"/>
              </w:rPr>
            </w:pPr>
          </w:p>
        </w:tc>
        <w:tc>
          <w:tcPr>
            <w:tcW w:w="240" w:type="dxa"/>
            <w:vAlign w:val="bottom"/>
            <w:vMerge w:val="continue"/>
            <w:shd w:val="clear" w:color="auto" w:fill="CFF0FC"/>
          </w:tcPr>
          <w:p>
            <w:pPr>
              <w:spacing w:after="0"/>
              <w:rPr>
                <w:sz w:val="20"/>
                <w:szCs w:val="20"/>
                <w:color w:val="auto"/>
              </w:rPr>
            </w:pPr>
          </w:p>
        </w:tc>
        <w:tc>
          <w:tcPr>
            <w:tcW w:w="120" w:type="dxa"/>
            <w:vAlign w:val="bottom"/>
            <w:vMerge w:val="continue"/>
            <w:shd w:val="clear" w:color="auto" w:fill="CFF0FC"/>
          </w:tcPr>
          <w:p>
            <w:pPr>
              <w:spacing w:after="0"/>
              <w:rPr>
                <w:sz w:val="20"/>
                <w:szCs w:val="20"/>
                <w:color w:val="auto"/>
              </w:rPr>
            </w:pPr>
          </w:p>
        </w:tc>
        <w:tc>
          <w:tcPr>
            <w:tcW w:w="58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80" w:type="dxa"/>
            <w:vAlign w:val="bottom"/>
            <w:vMerge w:val="continue"/>
            <w:shd w:val="clear" w:color="auto" w:fill="CFF0FC"/>
          </w:tcPr>
          <w:p>
            <w:pPr>
              <w:spacing w:after="0"/>
              <w:rPr>
                <w:sz w:val="20"/>
                <w:szCs w:val="20"/>
                <w:color w:val="auto"/>
              </w:rPr>
            </w:pPr>
          </w:p>
        </w:tc>
        <w:tc>
          <w:tcPr>
            <w:tcW w:w="400" w:type="dxa"/>
            <w:vAlign w:val="bottom"/>
            <w:gridSpan w:val="2"/>
            <w:vMerge w:val="continue"/>
            <w:shd w:val="clear" w:color="auto" w:fill="CFF0FC"/>
          </w:tcPr>
          <w:p>
            <w:pPr>
              <w:spacing w:after="0"/>
              <w:rPr>
                <w:sz w:val="20"/>
                <w:szCs w:val="20"/>
                <w:color w:val="auto"/>
              </w:rPr>
            </w:pPr>
          </w:p>
        </w:tc>
        <w:tc>
          <w:tcPr>
            <w:tcW w:w="120" w:type="dxa"/>
            <w:vAlign w:val="bottom"/>
            <w:vMerge w:val="continue"/>
            <w:shd w:val="clear" w:color="auto" w:fill="CFF0FC"/>
          </w:tcPr>
          <w:p>
            <w:pPr>
              <w:spacing w:after="0"/>
              <w:rPr>
                <w:sz w:val="20"/>
                <w:szCs w:val="20"/>
                <w:color w:val="auto"/>
              </w:rPr>
            </w:pPr>
          </w:p>
        </w:tc>
        <w:tc>
          <w:tcPr>
            <w:tcW w:w="780" w:type="dxa"/>
            <w:vAlign w:val="bottom"/>
            <w:gridSpan w:val="2"/>
            <w:vMerge w:val="continue"/>
            <w:shd w:val="clear" w:color="auto" w:fill="CFF0FC"/>
          </w:tcPr>
          <w:p>
            <w:pPr>
              <w:spacing w:after="0"/>
              <w:rPr>
                <w:sz w:val="20"/>
                <w:szCs w:val="20"/>
                <w:color w:val="auto"/>
              </w:rPr>
            </w:pPr>
          </w:p>
        </w:tc>
        <w:tc>
          <w:tcPr>
            <w:tcW w:w="480" w:type="dxa"/>
            <w:vAlign w:val="bottom"/>
            <w:vMerge w:val="continue"/>
            <w:shd w:val="clear" w:color="auto" w:fill="CFF0FC"/>
          </w:tcPr>
          <w:p>
            <w:pPr>
              <w:spacing w:after="0"/>
              <w:rPr>
                <w:sz w:val="20"/>
                <w:szCs w:val="20"/>
                <w:color w:val="auto"/>
              </w:rPr>
            </w:pPr>
          </w:p>
        </w:tc>
        <w:tc>
          <w:tcPr>
            <w:tcW w:w="400" w:type="dxa"/>
            <w:vAlign w:val="bottom"/>
            <w:gridSpan w:val="2"/>
            <w:vMerge w:val="continue"/>
            <w:shd w:val="clear" w:color="auto" w:fill="CFF0FC"/>
          </w:tcPr>
          <w:p>
            <w:pPr>
              <w:spacing w:after="0"/>
              <w:rPr>
                <w:sz w:val="20"/>
                <w:szCs w:val="20"/>
                <w:color w:val="auto"/>
              </w:rPr>
            </w:pPr>
          </w:p>
        </w:tc>
        <w:tc>
          <w:tcPr>
            <w:tcW w:w="120" w:type="dxa"/>
            <w:vAlign w:val="bottom"/>
            <w:vMerge w:val="continue"/>
            <w:shd w:val="clear" w:color="auto" w:fill="CFF0FC"/>
          </w:tcPr>
          <w:p>
            <w:pPr>
              <w:spacing w:after="0"/>
              <w:rPr>
                <w:sz w:val="20"/>
                <w:szCs w:val="20"/>
                <w:color w:val="auto"/>
              </w:rPr>
            </w:pPr>
          </w:p>
        </w:tc>
        <w:tc>
          <w:tcPr>
            <w:tcW w:w="7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4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59</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-504825</wp:posOffset>
            </wp:positionV>
            <wp:extent cx="768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-487680</wp:posOffset>
            </wp:positionV>
            <wp:extent cx="768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-504825</wp:posOffset>
            </wp:positionV>
            <wp:extent cx="774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-487680</wp:posOffset>
            </wp:positionV>
            <wp:extent cx="774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-504825</wp:posOffset>
            </wp:positionV>
            <wp:extent cx="774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-487680</wp:posOffset>
            </wp:positionV>
            <wp:extent cx="774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-504825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-487680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-504825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-487680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-504825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-487680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-504825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-487680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328" w:right="299" w:bottom="1440" w:gutter="0" w:footer="0" w:header="0"/>
        </w:sectPr>
      </w:pPr>
    </w:p>
    <w:bookmarkStart w:id="59" w:name="page60"/>
    <w:bookmarkEnd w:id="59"/>
    <w:p>
      <w:pPr>
        <w:ind w:left="280"/>
        <w:spacing w:after="0"/>
        <w:rPr>
          <w:sz w:val="20"/>
          <w:szCs w:val="20"/>
          <w:color w:val="auto"/>
        </w:rPr>
      </w:pPr>
      <w:r>
        <w:rPr>
          <w:rFonts w:ascii="Calibri" w:cs="Calibri" w:eastAsia="Calibri" w:hAnsi="Calibri"/>
          <w:sz w:val="18"/>
          <w:szCs w:val="18"/>
          <w:b w:val="1"/>
          <w:bCs w:val="1"/>
          <w:i w:val="1"/>
          <w:iCs w:val="1"/>
          <w:color w:val="auto"/>
        </w:rPr>
        <w:t>Estmated Future Beneft Payments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Company expects that the following beneft payments will be made to plan partcipants in the years from 2024 to 2033:</w:t>
      </w:r>
    </w:p>
    <w:p>
      <w:pPr>
        <w:spacing w:after="0" w:line="130"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4"/>
          </w:tcPr>
          <w:p>
            <w:pPr>
              <w:jc w:val="right"/>
              <w:ind w:right="495"/>
              <w:spacing w:after="0"/>
              <w:rPr>
                <w:sz w:val="20"/>
                <w:szCs w:val="20"/>
                <w:color w:val="auto"/>
              </w:rPr>
            </w:pPr>
            <w:r>
              <w:rPr>
                <w:rFonts w:ascii="Calibri" w:cs="Calibri" w:eastAsia="Calibri" w:hAnsi="Calibri"/>
                <w:sz w:val="14"/>
                <w:szCs w:val="14"/>
                <w:b w:val="1"/>
                <w:bCs w:val="1"/>
                <w:color w:val="auto"/>
              </w:rPr>
              <w:t>Pension Benefts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5"/>
          </w:tcPr>
          <w:p>
            <w:pPr>
              <w:ind w:left="60"/>
              <w:spacing w:after="0"/>
              <w:rPr>
                <w:sz w:val="20"/>
                <w:szCs w:val="20"/>
                <w:color w:val="auto"/>
              </w:rPr>
            </w:pPr>
            <w:r>
              <w:rPr>
                <w:rFonts w:ascii="Calibri" w:cs="Calibri" w:eastAsia="Calibri" w:hAnsi="Calibri"/>
                <w:sz w:val="14"/>
                <w:szCs w:val="14"/>
                <w:b w:val="1"/>
                <w:bCs w:val="1"/>
                <w:color w:val="auto"/>
              </w:rPr>
              <w:t>Postretrement Benefts</w:t>
            </w:r>
          </w:p>
        </w:tc>
        <w:tc>
          <w:tcPr>
            <w:tcW w:w="0" w:type="dxa"/>
            <w:vAlign w:val="bottom"/>
          </w:tcPr>
          <w:p>
            <w:pPr>
              <w:spacing w:after="0"/>
              <w:rPr>
                <w:sz w:val="1"/>
                <w:szCs w:val="1"/>
                <w:color w:val="auto"/>
              </w:rPr>
            </w:pPr>
          </w:p>
        </w:tc>
      </w:tr>
      <w:tr>
        <w:trPr>
          <w:trHeight w:val="33"/>
        </w:trPr>
        <w:tc>
          <w:tcPr>
            <w:tcW w:w="2240" w:type="dxa"/>
            <w:vAlign w:val="bottom"/>
            <w:gridSpan w:val="2"/>
            <w:vMerge w:val="restart"/>
          </w:tcPr>
          <w:p>
            <w:pPr>
              <w:ind w:left="240"/>
              <w:spacing w:after="0"/>
              <w:rPr>
                <w:sz w:val="20"/>
                <w:szCs w:val="20"/>
                <w:color w:val="auto"/>
              </w:rPr>
            </w:pPr>
            <w:r>
              <w:rPr>
                <w:rFonts w:ascii="Calibri" w:cs="Calibri" w:eastAsia="Calibri" w:hAnsi="Calibri"/>
                <w:sz w:val="14"/>
                <w:szCs w:val="14"/>
                <w:b w:val="1"/>
                <w:bCs w:val="1"/>
                <w:color w:val="auto"/>
              </w:rPr>
              <w:t>Years Ending September 30</w:t>
            </w: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295"/>
              <w:spacing w:after="0" w:line="164" w:lineRule="exact"/>
              <w:rPr>
                <w:sz w:val="20"/>
                <w:szCs w:val="20"/>
                <w:color w:val="auto"/>
              </w:rPr>
            </w:pPr>
            <w:r>
              <w:rPr>
                <w:rFonts w:ascii="Calibri" w:cs="Calibri" w:eastAsia="Calibri" w:hAnsi="Calibri"/>
                <w:sz w:val="14"/>
                <w:szCs w:val="14"/>
                <w:b w:val="1"/>
                <w:bCs w:val="1"/>
                <w:color w:val="auto"/>
              </w:rPr>
              <w:t>U.S.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75"/>
              <w:spacing w:after="0" w:line="164" w:lineRule="exact"/>
              <w:rPr>
                <w:sz w:val="20"/>
                <w:szCs w:val="20"/>
                <w:color w:val="auto"/>
              </w:rPr>
            </w:pPr>
            <w:r>
              <w:rPr>
                <w:rFonts w:ascii="Calibri" w:cs="Calibri" w:eastAsia="Calibri" w:hAnsi="Calibri"/>
                <w:sz w:val="14"/>
                <w:szCs w:val="14"/>
                <w:b w:val="1"/>
                <w:bCs w:val="1"/>
                <w:color w:val="auto"/>
              </w:rPr>
              <w:t>Foreign</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95"/>
              <w:spacing w:after="0" w:line="164" w:lineRule="exact"/>
              <w:rPr>
                <w:sz w:val="20"/>
                <w:szCs w:val="20"/>
                <w:color w:val="auto"/>
              </w:rPr>
            </w:pPr>
            <w:r>
              <w:rPr>
                <w:rFonts w:ascii="Calibri" w:cs="Calibri" w:eastAsia="Calibri" w:hAnsi="Calibri"/>
                <w:sz w:val="14"/>
                <w:szCs w:val="14"/>
                <w:b w:val="1"/>
                <w:bCs w:val="1"/>
                <w:color w:val="auto"/>
              </w:rPr>
              <w:t>U.S.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73"/>
              <w:spacing w:after="0" w:line="164" w:lineRule="exact"/>
              <w:rPr>
                <w:sz w:val="20"/>
                <w:szCs w:val="20"/>
                <w:color w:val="auto"/>
              </w:rPr>
            </w:pPr>
            <w:r>
              <w:rPr>
                <w:rFonts w:ascii="Calibri" w:cs="Calibri" w:eastAsia="Calibri" w:hAnsi="Calibri"/>
                <w:sz w:val="14"/>
                <w:szCs w:val="14"/>
                <w:b w:val="1"/>
                <w:bCs w:val="1"/>
                <w:color w:val="auto"/>
              </w:rPr>
              <w:t>Foreign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35"/>
              <w:spacing w:after="0" w:line="164" w:lineRule="exact"/>
              <w:rPr>
                <w:sz w:val="20"/>
                <w:szCs w:val="20"/>
                <w:color w:val="auto"/>
              </w:rPr>
            </w:pPr>
            <w:r>
              <w:rPr>
                <w:rFonts w:ascii="Calibri" w:cs="Calibri" w:eastAsia="Calibri" w:hAnsi="Calibri"/>
                <w:sz w:val="14"/>
                <w:szCs w:val="14"/>
                <w:b w:val="1"/>
                <w:bCs w:val="1"/>
                <w:color w:val="auto"/>
              </w:rPr>
              <w:t>(In</w:t>
            </w:r>
          </w:p>
        </w:tc>
        <w:tc>
          <w:tcPr>
            <w:tcW w:w="480" w:type="dxa"/>
            <w:vAlign w:val="bottom"/>
            <w:gridSpan w:val="2"/>
          </w:tcPr>
          <w:p>
            <w:pPr>
              <w:jc w:val="right"/>
              <w:ind w:right="40"/>
              <w:spacing w:after="0" w:line="164" w:lineRule="exact"/>
              <w:rPr>
                <w:sz w:val="20"/>
                <w:szCs w:val="20"/>
                <w:color w:val="auto"/>
              </w:rPr>
            </w:pPr>
            <w:r>
              <w:rPr>
                <w:rFonts w:ascii="Calibri" w:cs="Calibri" w:eastAsia="Calibri" w:hAnsi="Calibri"/>
                <w:sz w:val="14"/>
                <w:szCs w:val="14"/>
                <w:b w:val="1"/>
                <w:bCs w:val="1"/>
                <w:color w:val="auto"/>
                <w:w w:val="83"/>
              </w:rPr>
              <w:t>millions)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2024</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w:t>
            </w:r>
          </w:p>
        </w:tc>
        <w:tc>
          <w:tcPr>
            <w:tcW w:w="4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340" w:type="dxa"/>
            <w:vAlign w:val="bottom"/>
            <w:tcBorders>
              <w:bottom w:val="single" w:sz="8" w:color="CFF0FC"/>
            </w:tcBorders>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20" w:type="dxa"/>
            <w:vAlign w:val="bottom"/>
          </w:tcPr>
          <w:p>
            <w:pPr>
              <w:ind w:left="180"/>
              <w:spacing w:after="0" w:line="215" w:lineRule="exact"/>
              <w:rPr>
                <w:sz w:val="20"/>
                <w:szCs w:val="20"/>
                <w:color w:val="auto"/>
              </w:rPr>
            </w:pPr>
            <w:r>
              <w:rPr>
                <w:rFonts w:ascii="Calibri" w:cs="Calibri" w:eastAsia="Calibri" w:hAnsi="Calibri"/>
                <w:sz w:val="18"/>
                <w:szCs w:val="18"/>
                <w:color w:val="auto"/>
              </w:rPr>
              <w:t>2025</w:t>
            </w:r>
          </w:p>
        </w:tc>
        <w:tc>
          <w:tcPr>
            <w:tcW w:w="120" w:type="dxa"/>
            <w:vAlign w:val="bottom"/>
          </w:tcPr>
          <w:p>
            <w:pPr>
              <w:spacing w:after="0"/>
              <w:rPr>
                <w:sz w:val="18"/>
                <w:szCs w:val="18"/>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4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3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2026</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w:t>
            </w:r>
          </w:p>
        </w:tc>
        <w:tc>
          <w:tcPr>
            <w:tcW w:w="4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340" w:type="dxa"/>
            <w:vAlign w:val="bottom"/>
            <w:tcBorders>
              <w:bottom w:val="single" w:sz="8" w:color="CFF0FC"/>
            </w:tcBorders>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20" w:type="dxa"/>
            <w:vAlign w:val="bottom"/>
          </w:tcPr>
          <w:p>
            <w:pPr>
              <w:ind w:left="180"/>
              <w:spacing w:after="0" w:line="215" w:lineRule="exact"/>
              <w:rPr>
                <w:sz w:val="20"/>
                <w:szCs w:val="20"/>
                <w:color w:val="auto"/>
              </w:rPr>
            </w:pPr>
            <w:r>
              <w:rPr>
                <w:rFonts w:ascii="Calibri" w:cs="Calibri" w:eastAsia="Calibri" w:hAnsi="Calibri"/>
                <w:sz w:val="18"/>
                <w:szCs w:val="18"/>
                <w:color w:val="auto"/>
              </w:rPr>
              <w:t>2027</w:t>
            </w:r>
          </w:p>
        </w:tc>
        <w:tc>
          <w:tcPr>
            <w:tcW w:w="120" w:type="dxa"/>
            <w:vAlign w:val="bottom"/>
          </w:tcPr>
          <w:p>
            <w:pPr>
              <w:spacing w:after="0"/>
              <w:rPr>
                <w:sz w:val="18"/>
                <w:szCs w:val="18"/>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4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3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2028</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w:t>
            </w:r>
          </w:p>
        </w:tc>
        <w:tc>
          <w:tcPr>
            <w:tcW w:w="4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340" w:type="dxa"/>
            <w:vAlign w:val="bottom"/>
            <w:tcBorders>
              <w:bottom w:val="single" w:sz="8" w:color="CFF0FC"/>
            </w:tcBorders>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20" w:type="dxa"/>
            <w:vAlign w:val="bottom"/>
          </w:tcPr>
          <w:p>
            <w:pPr>
              <w:ind w:left="180"/>
              <w:spacing w:after="0" w:line="215" w:lineRule="exact"/>
              <w:rPr>
                <w:sz w:val="20"/>
                <w:szCs w:val="20"/>
                <w:color w:val="auto"/>
              </w:rPr>
            </w:pPr>
            <w:r>
              <w:rPr>
                <w:rFonts w:ascii="Calibri" w:cs="Calibri" w:eastAsia="Calibri" w:hAnsi="Calibri"/>
                <w:sz w:val="18"/>
                <w:szCs w:val="18"/>
                <w:color w:val="auto"/>
              </w:rPr>
              <w:t>2029 - 2033</w:t>
            </w:r>
          </w:p>
        </w:tc>
        <w:tc>
          <w:tcPr>
            <w:tcW w:w="120" w:type="dxa"/>
            <w:vAlign w:val="bottom"/>
          </w:tcPr>
          <w:p>
            <w:pPr>
              <w:spacing w:after="0"/>
              <w:rPr>
                <w:sz w:val="18"/>
                <w:szCs w:val="18"/>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3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49</w:t>
            </w:r>
          </w:p>
        </w:tc>
        <w:tc>
          <w:tcPr>
            <w:tcW w:w="4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3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Postretrement medical benefts are unfunded and impact Cabot’s cash fows as benefts become due, which is expected to be $3 million in fscal 2024.</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 expects to contribute $4 million to its pension plans in fscal 2024.</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Net periodic defned beneft pension and other postretrement beneft costs include the following components: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8"/>
          </w:tcPr>
          <w:p>
            <w:pPr>
              <w:ind w:left="380"/>
              <w:spacing w:after="0"/>
              <w:rPr>
                <w:sz w:val="20"/>
                <w:szCs w:val="20"/>
                <w:color w:val="auto"/>
              </w:rPr>
            </w:pPr>
            <w:r>
              <w:rPr>
                <w:rFonts w:ascii="Calibri" w:cs="Calibri" w:eastAsia="Calibri" w:hAnsi="Calibri"/>
                <w:sz w:val="14"/>
                <w:szCs w:val="14"/>
                <w:b w:val="1"/>
                <w:bCs w:val="1"/>
                <w:color w:val="auto"/>
              </w:rPr>
              <w:t>Years Ended September 30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2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2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3"/>
          </w:tcPr>
          <w:p>
            <w:pPr>
              <w:ind w:left="140"/>
              <w:spacing w:after="0" w:line="164" w:lineRule="exact"/>
              <w:rPr>
                <w:sz w:val="20"/>
                <w:szCs w:val="20"/>
                <w:color w:val="auto"/>
              </w:rPr>
            </w:pPr>
            <w:r>
              <w:rPr>
                <w:rFonts w:ascii="Calibri" w:cs="Calibri" w:eastAsia="Calibri" w:hAnsi="Calibri"/>
                <w:sz w:val="14"/>
                <w:szCs w:val="14"/>
                <w:b w:val="1"/>
                <w:bCs w:val="1"/>
                <w:color w:val="auto"/>
              </w:rPr>
              <w:t>2023</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ind w:left="400"/>
              <w:spacing w:after="0" w:line="164" w:lineRule="exact"/>
              <w:rPr>
                <w:sz w:val="20"/>
                <w:szCs w:val="20"/>
                <w:color w:val="auto"/>
              </w:rPr>
            </w:pPr>
            <w:r>
              <w:rPr>
                <w:rFonts w:ascii="Calibri" w:cs="Calibri" w:eastAsia="Calibri" w:hAnsi="Calibri"/>
                <w:sz w:val="14"/>
                <w:szCs w:val="14"/>
                <w:b w:val="1"/>
                <w:bCs w:val="1"/>
                <w:color w:val="auto"/>
              </w:rPr>
              <w:t>2022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ind w:left="380"/>
              <w:spacing w:after="0" w:line="164" w:lineRule="exact"/>
              <w:rPr>
                <w:sz w:val="20"/>
                <w:szCs w:val="20"/>
                <w:color w:val="auto"/>
              </w:rPr>
            </w:pPr>
            <w:r>
              <w:rPr>
                <w:rFonts w:ascii="Calibri" w:cs="Calibri" w:eastAsia="Calibri" w:hAnsi="Calibri"/>
                <w:sz w:val="14"/>
                <w:szCs w:val="14"/>
                <w:b w:val="1"/>
                <w:bCs w:val="1"/>
                <w:color w:val="auto"/>
              </w:rPr>
              <w:t>2021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128"/>
              <w:spacing w:after="0" w:line="164" w:lineRule="exact"/>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108"/>
              <w:spacing w:after="0" w:line="164" w:lineRule="exact"/>
              <w:rPr>
                <w:sz w:val="20"/>
                <w:szCs w:val="20"/>
                <w:color w:val="auto"/>
              </w:rPr>
            </w:pPr>
            <w:r>
              <w:rPr>
                <w:rFonts w:ascii="Calibri" w:cs="Calibri" w:eastAsia="Calibri" w:hAnsi="Calibri"/>
                <w:sz w:val="14"/>
                <w:szCs w:val="14"/>
                <w:b w:val="1"/>
                <w:bCs w:val="1"/>
                <w:color w:val="auto"/>
              </w:rPr>
              <w:t>2022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08"/>
              <w:spacing w:after="0" w:line="164" w:lineRule="exact"/>
              <w:rPr>
                <w:sz w:val="20"/>
                <w:szCs w:val="20"/>
                <w:color w:val="auto"/>
              </w:rPr>
            </w:pPr>
            <w:r>
              <w:rPr>
                <w:rFonts w:ascii="Calibri" w:cs="Calibri" w:eastAsia="Calibri" w:hAnsi="Calibri"/>
                <w:sz w:val="14"/>
                <w:szCs w:val="14"/>
                <w:b w:val="1"/>
                <w:bCs w:val="1"/>
                <w:color w:val="auto"/>
              </w:rPr>
              <w:t>2021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2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2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ind w:left="20"/>
              <w:spacing w:after="0" w:line="164" w:lineRule="exact"/>
              <w:rPr>
                <w:sz w:val="20"/>
                <w:szCs w:val="20"/>
                <w:color w:val="auto"/>
              </w:rPr>
            </w:pPr>
            <w:r>
              <w:rPr>
                <w:rFonts w:ascii="Calibri" w:cs="Calibri" w:eastAsia="Calibri" w:hAnsi="Calibri"/>
                <w:sz w:val="14"/>
                <w:szCs w:val="14"/>
                <w:b w:val="1"/>
                <w:bCs w:val="1"/>
                <w:color w:val="auto"/>
              </w:rPr>
              <w:t>Pension Benefts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5"/>
          </w:tcPr>
          <w:p>
            <w:pPr>
              <w:spacing w:after="0" w:line="164" w:lineRule="exact"/>
              <w:rPr>
                <w:sz w:val="20"/>
                <w:szCs w:val="20"/>
                <w:color w:val="auto"/>
              </w:rPr>
            </w:pPr>
            <w:r>
              <w:rPr>
                <w:rFonts w:ascii="Calibri" w:cs="Calibri" w:eastAsia="Calibri" w:hAnsi="Calibri"/>
                <w:sz w:val="14"/>
                <w:szCs w:val="14"/>
                <w:b w:val="1"/>
                <w:bCs w:val="1"/>
                <w:color w:val="auto"/>
                <w:w w:val="91"/>
              </w:rPr>
              <w:t>Postretrement Benefts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2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gridSpan w:val="3"/>
          </w:tcPr>
          <w:p>
            <w:pPr>
              <w:spacing w:after="0"/>
              <w:rPr>
                <w:sz w:val="2"/>
                <w:szCs w:val="2"/>
                <w:color w:val="auto"/>
              </w:rPr>
            </w:pPr>
          </w:p>
        </w:tc>
      </w:tr>
      <w:tr>
        <w:trPr>
          <w:trHeight w:val="163"/>
        </w:trPr>
        <w:tc>
          <w:tcPr>
            <w:tcW w:w="2320" w:type="dxa"/>
            <w:vAlign w:val="bottom"/>
          </w:tcPr>
          <w:p>
            <w:pPr>
              <w:spacing w:after="0"/>
              <w:rPr>
                <w:sz w:val="14"/>
                <w:szCs w:val="14"/>
                <w:color w:val="auto"/>
              </w:rPr>
            </w:pPr>
          </w:p>
        </w:tc>
        <w:tc>
          <w:tcPr>
            <w:tcW w:w="3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U.S.</w:t>
            </w: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3"/>
          </w:tcPr>
          <w:p>
            <w:pPr>
              <w:jc w:val="right"/>
              <w:ind w:right="280"/>
              <w:spacing w:after="0" w:line="164" w:lineRule="exact"/>
              <w:rPr>
                <w:sz w:val="20"/>
                <w:szCs w:val="20"/>
                <w:color w:val="auto"/>
              </w:rPr>
            </w:pPr>
            <w:r>
              <w:rPr>
                <w:rFonts w:ascii="Calibri" w:cs="Calibri" w:eastAsia="Calibri" w:hAnsi="Calibri"/>
                <w:sz w:val="14"/>
                <w:szCs w:val="14"/>
                <w:b w:val="1"/>
                <w:bCs w:val="1"/>
                <w:color w:val="auto"/>
              </w:rPr>
              <w:t>Foreign</w:t>
            </w: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ind w:left="40"/>
              <w:spacing w:after="0" w:line="164" w:lineRule="exact"/>
              <w:rPr>
                <w:sz w:val="20"/>
                <w:szCs w:val="20"/>
                <w:color w:val="auto"/>
              </w:rPr>
            </w:pPr>
            <w:r>
              <w:rPr>
                <w:rFonts w:ascii="Calibri" w:cs="Calibri" w:eastAsia="Calibri" w:hAnsi="Calibri"/>
                <w:sz w:val="14"/>
                <w:szCs w:val="14"/>
                <w:b w:val="1"/>
                <w:bCs w:val="1"/>
                <w:color w:val="auto"/>
              </w:rPr>
              <w:t>U.S.</w:t>
            </w: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3"/>
          </w:tcPr>
          <w:p>
            <w:pPr>
              <w:jc w:val="right"/>
              <w:ind w:right="280"/>
              <w:spacing w:after="0" w:line="164" w:lineRule="exact"/>
              <w:rPr>
                <w:sz w:val="20"/>
                <w:szCs w:val="20"/>
                <w:color w:val="auto"/>
              </w:rPr>
            </w:pPr>
            <w:r>
              <w:rPr>
                <w:rFonts w:ascii="Calibri" w:cs="Calibri" w:eastAsia="Calibri" w:hAnsi="Calibri"/>
                <w:sz w:val="14"/>
                <w:szCs w:val="14"/>
                <w:b w:val="1"/>
                <w:bCs w:val="1"/>
                <w:color w:val="auto"/>
              </w:rPr>
              <w:t>Foreign</w:t>
            </w: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b w:val="1"/>
                <w:bCs w:val="1"/>
                <w:color w:val="auto"/>
              </w:rPr>
              <w:t>U.S.</w:t>
            </w: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2"/>
          </w:tcPr>
          <w:p>
            <w:pPr>
              <w:ind w:left="40"/>
              <w:spacing w:after="0" w:line="164" w:lineRule="exact"/>
              <w:rPr>
                <w:sz w:val="20"/>
                <w:szCs w:val="20"/>
                <w:color w:val="auto"/>
              </w:rPr>
            </w:pPr>
            <w:r>
              <w:rPr>
                <w:rFonts w:ascii="Calibri" w:cs="Calibri" w:eastAsia="Calibri" w:hAnsi="Calibri"/>
                <w:sz w:val="14"/>
                <w:szCs w:val="14"/>
                <w:b w:val="1"/>
                <w:bCs w:val="1"/>
                <w:color w:val="auto"/>
              </w:rPr>
              <w:t>Foreign</w:t>
            </w: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ind w:right="360"/>
              <w:spacing w:after="0" w:line="164" w:lineRule="exact"/>
              <w:rPr>
                <w:sz w:val="20"/>
                <w:szCs w:val="20"/>
                <w:color w:val="auto"/>
              </w:rPr>
            </w:pPr>
            <w:r>
              <w:rPr>
                <w:rFonts w:ascii="Calibri" w:cs="Calibri" w:eastAsia="Calibri" w:hAnsi="Calibri"/>
                <w:sz w:val="14"/>
                <w:szCs w:val="14"/>
                <w:b w:val="1"/>
                <w:bCs w:val="1"/>
                <w:color w:val="auto"/>
              </w:rPr>
              <w:t>U.S.</w:t>
            </w:r>
          </w:p>
        </w:tc>
        <w:tc>
          <w:tcPr>
            <w:tcW w:w="520" w:type="dxa"/>
            <w:vAlign w:val="bottom"/>
            <w:tcBorders>
              <w:top w:val="single" w:sz="8" w:color="auto"/>
            </w:tcBorders>
            <w:gridSpan w:val="2"/>
          </w:tcPr>
          <w:p>
            <w:pPr>
              <w:ind w:left="40"/>
              <w:spacing w:after="0" w:line="164" w:lineRule="exact"/>
              <w:rPr>
                <w:sz w:val="20"/>
                <w:szCs w:val="20"/>
                <w:color w:val="auto"/>
              </w:rPr>
            </w:pPr>
            <w:r>
              <w:rPr>
                <w:rFonts w:ascii="Calibri" w:cs="Calibri" w:eastAsia="Calibri" w:hAnsi="Calibri"/>
                <w:sz w:val="14"/>
                <w:szCs w:val="14"/>
                <w:b w:val="1"/>
                <w:bCs w:val="1"/>
                <w:color w:val="auto"/>
              </w:rPr>
              <w:t>Foreign</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ind w:right="360"/>
              <w:spacing w:after="0" w:line="164" w:lineRule="exact"/>
              <w:rPr>
                <w:sz w:val="20"/>
                <w:szCs w:val="20"/>
                <w:color w:val="auto"/>
              </w:rPr>
            </w:pPr>
            <w:r>
              <w:rPr>
                <w:rFonts w:ascii="Calibri" w:cs="Calibri" w:eastAsia="Calibri" w:hAnsi="Calibri"/>
                <w:sz w:val="14"/>
                <w:szCs w:val="14"/>
                <w:b w:val="1"/>
                <w:bCs w:val="1"/>
                <w:color w:val="auto"/>
              </w:rPr>
              <w:t>U.S.</w:t>
            </w:r>
          </w:p>
        </w:tc>
        <w:tc>
          <w:tcPr>
            <w:tcW w:w="720" w:type="dxa"/>
            <w:vAlign w:val="bottom"/>
            <w:tcBorders>
              <w:top w:val="single" w:sz="8" w:color="auto"/>
            </w:tcBorders>
            <w:gridSpan w:val="3"/>
          </w:tcPr>
          <w:p>
            <w:pPr>
              <w:ind w:left="40"/>
              <w:spacing w:after="0" w:line="164" w:lineRule="exact"/>
              <w:rPr>
                <w:sz w:val="20"/>
                <w:szCs w:val="20"/>
                <w:color w:val="auto"/>
              </w:rPr>
            </w:pPr>
            <w:r>
              <w:rPr>
                <w:rFonts w:ascii="Calibri" w:cs="Calibri" w:eastAsia="Calibri" w:hAnsi="Calibri"/>
                <w:sz w:val="14"/>
                <w:szCs w:val="14"/>
                <w:b w:val="1"/>
                <w:bCs w:val="1"/>
                <w:color w:val="auto"/>
              </w:rPr>
              <w:t>Foreign</w:t>
            </w: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rPr>
              <w:t>U.S.</w:t>
            </w: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Foreign</w:t>
            </w:r>
          </w:p>
        </w:tc>
        <w:tc>
          <w:tcPr>
            <w:tcW w:w="100" w:type="dxa"/>
            <w:vAlign w:val="bottom"/>
          </w:tcPr>
          <w:p>
            <w:pPr>
              <w:spacing w:after="0"/>
              <w:rPr>
                <w:sz w:val="14"/>
                <w:szCs w:val="14"/>
                <w:color w:val="auto"/>
              </w:rPr>
            </w:pPr>
          </w:p>
        </w:tc>
      </w:tr>
      <w:tr>
        <w:trPr>
          <w:trHeight w:val="33"/>
        </w:trPr>
        <w:tc>
          <w:tcPr>
            <w:tcW w:w="2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2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5"/>
          </w:tcPr>
          <w:p>
            <w:pPr>
              <w:jc w:val="right"/>
              <w:ind w:right="580"/>
              <w:spacing w:after="0" w:line="164" w:lineRule="exact"/>
              <w:rPr>
                <w:sz w:val="20"/>
                <w:szCs w:val="20"/>
                <w:color w:val="auto"/>
              </w:rPr>
            </w:pPr>
            <w:r>
              <w:rPr>
                <w:rFonts w:ascii="Calibri" w:cs="Calibri" w:eastAsia="Calibri" w:hAnsi="Calibri"/>
                <w:sz w:val="14"/>
                <w:szCs w:val="14"/>
                <w:b w:val="1"/>
                <w:bCs w:val="1"/>
                <w:color w:val="auto"/>
              </w:rPr>
              <w:t>(In millions)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2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2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Service cost</w:t>
            </w:r>
          </w:p>
        </w:tc>
        <w:tc>
          <w:tcPr>
            <w:tcW w:w="380" w:type="dxa"/>
            <w:vAlign w:val="bottom"/>
            <w:tcBorders>
              <w:bottom w:val="single" w:sz="8" w:color="CFF0FC"/>
            </w:tcBorders>
            <w:shd w:val="clear" w:color="auto" w:fill="CFF0FC"/>
          </w:tcPr>
          <w:p>
            <w:pPr>
              <w:jc w:val="right"/>
              <w:ind w:right="228"/>
              <w:spacing w:after="0"/>
              <w:rPr>
                <w:sz w:val="20"/>
                <w:szCs w:val="20"/>
                <w:color w:val="auto"/>
              </w:rPr>
            </w:pPr>
            <w:r>
              <w:rPr>
                <w:rFonts w:ascii="Calibri" w:cs="Calibri" w:eastAsia="Calibri" w:hAnsi="Calibri"/>
                <w:sz w:val="14"/>
                <w:szCs w:val="14"/>
                <w:color w:val="auto"/>
                <w:w w:val="83"/>
              </w:rPr>
              <w:t>$</w:t>
            </w:r>
          </w:p>
        </w:tc>
        <w:tc>
          <w:tcPr>
            <w:tcW w:w="1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w w:val="94"/>
              </w:rPr>
              <w:t>—</w:t>
            </w:r>
          </w:p>
        </w:tc>
        <w:tc>
          <w:tcPr>
            <w:tcW w:w="480" w:type="dxa"/>
            <w:vAlign w:val="bottom"/>
            <w:tcBorders>
              <w:bottom w:val="single" w:sz="8" w:color="CFF0FC"/>
            </w:tcBorders>
            <w:gridSpan w:val="2"/>
            <w:shd w:val="clear" w:color="auto" w:fill="CFF0FC"/>
          </w:tcPr>
          <w:p>
            <w:pPr>
              <w:jc w:val="right"/>
              <w:ind w:right="88"/>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w w:val="83"/>
              </w:rPr>
              <w:t>$</w:t>
            </w:r>
          </w:p>
        </w:tc>
        <w:tc>
          <w:tcPr>
            <w:tcW w:w="420" w:type="dxa"/>
            <w:vAlign w:val="bottom"/>
            <w:tcBorders>
              <w:bottom w:val="single" w:sz="8" w:color="CFF0FC"/>
            </w:tcBorders>
            <w:shd w:val="clear" w:color="auto" w:fill="CFF0FC"/>
          </w:tcPr>
          <w:p>
            <w:pPr>
              <w:ind w:left="280"/>
              <w:spacing w:after="0"/>
              <w:rPr>
                <w:sz w:val="20"/>
                <w:szCs w:val="20"/>
                <w:color w:val="auto"/>
              </w:rPr>
            </w:pPr>
            <w:r>
              <w:rPr>
                <w:rFonts w:ascii="Calibri" w:cs="Calibri" w:eastAsia="Calibri" w:hAnsi="Calibri"/>
                <w:sz w:val="14"/>
                <w:szCs w:val="14"/>
                <w:color w:val="auto"/>
                <w:w w:val="94"/>
              </w:rPr>
              <w:t>—</w:t>
            </w:r>
          </w:p>
        </w:tc>
        <w:tc>
          <w:tcPr>
            <w:tcW w:w="620" w:type="dxa"/>
            <w:vAlign w:val="bottom"/>
            <w:tcBorders>
              <w:bottom w:val="single" w:sz="8" w:color="CFF0FC"/>
            </w:tcBorders>
            <w:gridSpan w:val="2"/>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360" w:type="dxa"/>
            <w:vAlign w:val="bottom"/>
            <w:tcBorders>
              <w:bottom w:val="single" w:sz="8" w:color="CFF0FC"/>
            </w:tcBorders>
            <w:gridSpan w:val="2"/>
            <w:shd w:val="clear" w:color="auto" w:fill="CFF0FC"/>
          </w:tcPr>
          <w:p>
            <w:pPr>
              <w:ind w:left="240"/>
              <w:spacing w:after="0"/>
              <w:rPr>
                <w:sz w:val="20"/>
                <w:szCs w:val="20"/>
                <w:color w:val="auto"/>
              </w:rPr>
            </w:pPr>
            <w:r>
              <w:rPr>
                <w:rFonts w:ascii="Calibri" w:cs="Calibri" w:eastAsia="Calibri" w:hAnsi="Calibri"/>
                <w:sz w:val="14"/>
                <w:szCs w:val="14"/>
                <w:color w:val="auto"/>
              </w:rPr>
              <w:t>$</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6</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w w:val="83"/>
              </w:rPr>
              <w:t>$</w:t>
            </w:r>
          </w:p>
        </w:tc>
        <w:tc>
          <w:tcPr>
            <w:tcW w:w="6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320" w:type="dxa"/>
            <w:vAlign w:val="bottom"/>
            <w:tcBorders>
              <w:bottom w:val="single" w:sz="8" w:color="CFF0FC"/>
            </w:tcBorders>
            <w:gridSpan w:val="2"/>
            <w:shd w:val="clear" w:color="auto" w:fill="CFF0FC"/>
          </w:tcPr>
          <w:p>
            <w:pPr>
              <w:ind w:left="220"/>
              <w:spacing w:after="0"/>
              <w:rPr>
                <w:sz w:val="20"/>
                <w:szCs w:val="20"/>
                <w:color w:val="auto"/>
              </w:rPr>
            </w:pPr>
            <w:r>
              <w:rPr>
                <w:rFonts w:ascii="Calibri" w:cs="Calibri" w:eastAsia="Calibri" w:hAnsi="Calibri"/>
                <w:sz w:val="14"/>
                <w:szCs w:val="14"/>
                <w:color w:val="auto"/>
              </w:rPr>
              <w:t>$</w:t>
            </w:r>
          </w:p>
        </w:tc>
        <w:tc>
          <w:tcPr>
            <w:tcW w:w="6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w:t>
            </w:r>
          </w:p>
        </w:tc>
        <w:tc>
          <w:tcPr>
            <w:tcW w:w="5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tcBorders>
              <w:bottom w:val="single" w:sz="8" w:color="CFF0FC"/>
            </w:tcBorders>
            <w:shd w:val="clear" w:color="auto" w:fill="CFF0FC"/>
          </w:tcPr>
          <w:p>
            <w:pPr>
              <w:ind w:left="260"/>
              <w:spacing w:after="0"/>
              <w:rPr>
                <w:sz w:val="20"/>
                <w:szCs w:val="20"/>
                <w:color w:val="auto"/>
              </w:rPr>
            </w:pPr>
            <w:r>
              <w:rPr>
                <w:rFonts w:ascii="Calibri" w:cs="Calibri" w:eastAsia="Calibri" w:hAnsi="Calibri"/>
                <w:sz w:val="14"/>
                <w:szCs w:val="14"/>
                <w:color w:val="auto"/>
                <w:w w:val="94"/>
              </w:rPr>
              <w:t>—</w:t>
            </w:r>
          </w:p>
        </w:tc>
        <w:tc>
          <w:tcPr>
            <w:tcW w:w="460" w:type="dxa"/>
            <w:vAlign w:val="bottom"/>
            <w:tcBorders>
              <w:bottom w:val="single" w:sz="8" w:color="CFF0FC"/>
            </w:tcBorders>
            <w:gridSpan w:val="2"/>
            <w:shd w:val="clear" w:color="auto" w:fill="CFF0FC"/>
          </w:tcPr>
          <w:p>
            <w:pPr>
              <w:jc w:val="right"/>
              <w:ind w:right="88"/>
              <w:spacing w:after="0"/>
              <w:rPr>
                <w:sz w:val="20"/>
                <w:szCs w:val="20"/>
                <w:color w:val="auto"/>
              </w:rPr>
            </w:pPr>
            <w:r>
              <w:rPr>
                <w:rFonts w:ascii="Calibri" w:cs="Calibri" w:eastAsia="Calibri" w:hAnsi="Calibri"/>
                <w:sz w:val="14"/>
                <w:szCs w:val="14"/>
                <w:color w:val="auto"/>
              </w:rPr>
              <w:t>$</w:t>
            </w:r>
          </w:p>
        </w:tc>
        <w:tc>
          <w:tcPr>
            <w:tcW w:w="4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r>
      <w:tr>
        <w:trPr>
          <w:trHeight w:val="170"/>
        </w:trPr>
        <w:tc>
          <w:tcPr>
            <w:tcW w:w="2320" w:type="dxa"/>
            <w:vAlign w:val="bottom"/>
          </w:tcPr>
          <w:p>
            <w:pPr>
              <w:ind w:left="20"/>
              <w:spacing w:after="0"/>
              <w:rPr>
                <w:sz w:val="20"/>
                <w:szCs w:val="20"/>
                <w:color w:val="auto"/>
              </w:rPr>
            </w:pPr>
            <w:r>
              <w:rPr>
                <w:rFonts w:ascii="Calibri" w:cs="Calibri" w:eastAsia="Calibri" w:hAnsi="Calibri"/>
                <w:sz w:val="14"/>
                <w:szCs w:val="14"/>
                <w:color w:val="auto"/>
              </w:rPr>
              <w:t>Interest cost</w:t>
            </w:r>
          </w:p>
        </w:tc>
        <w:tc>
          <w:tcPr>
            <w:tcW w:w="3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Calibri" w:cs="Calibri" w:eastAsia="Calibri" w:hAnsi="Calibri"/>
                <w:sz w:val="14"/>
                <w:szCs w:val="14"/>
                <w:color w:val="auto"/>
                <w:w w:val="94"/>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alibri" w:cs="Calibri" w:eastAsia="Calibri" w:hAnsi="Calibri"/>
                <w:sz w:val="14"/>
                <w:szCs w:val="14"/>
                <w:color w:val="auto"/>
              </w:rPr>
              <w:t>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280"/>
              <w:spacing w:after="0"/>
              <w:rPr>
                <w:sz w:val="20"/>
                <w:szCs w:val="20"/>
                <w:color w:val="auto"/>
              </w:rPr>
            </w:pPr>
            <w:r>
              <w:rPr>
                <w:rFonts w:ascii="Calibri" w:cs="Calibri" w:eastAsia="Calibri" w:hAnsi="Calibri"/>
                <w:sz w:val="14"/>
                <w:szCs w:val="14"/>
                <w:color w:val="auto"/>
                <w:w w:val="94"/>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color w:val="auto"/>
              </w:rPr>
              <w:t>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alibri" w:cs="Calibri" w:eastAsia="Calibri" w:hAnsi="Calibri"/>
                <w:sz w:val="14"/>
                <w:szCs w:val="14"/>
                <w:color w:val="auto"/>
              </w:rPr>
              <w:t>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ind w:left="260"/>
              <w:spacing w:after="0"/>
              <w:rPr>
                <w:sz w:val="20"/>
                <w:szCs w:val="20"/>
                <w:color w:val="auto"/>
              </w:rPr>
            </w:pPr>
            <w:r>
              <w:rPr>
                <w:rFonts w:ascii="Calibri" w:cs="Calibri" w:eastAsia="Calibri" w:hAnsi="Calibri"/>
                <w:sz w:val="14"/>
                <w:szCs w:val="14"/>
                <w:color w:val="auto"/>
                <w:w w:val="94"/>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100" w:type="dxa"/>
            <w:vAlign w:val="bottom"/>
          </w:tcPr>
          <w:p>
            <w:pPr>
              <w:spacing w:after="0"/>
              <w:rPr>
                <w:sz w:val="14"/>
                <w:szCs w:val="14"/>
                <w:color w:val="auto"/>
              </w:rPr>
            </w:pPr>
          </w:p>
        </w:tc>
      </w:tr>
      <w:tr>
        <w:trPr>
          <w:trHeight w:val="33"/>
        </w:trPr>
        <w:tc>
          <w:tcPr>
            <w:tcW w:w="2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0"/>
        </w:trPr>
        <w:tc>
          <w:tcPr>
            <w:tcW w:w="23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Expected return on plan</w:t>
            </w: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8"/>
        </w:trPr>
        <w:tc>
          <w:tcPr>
            <w:tcW w:w="232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4"/>
                <w:szCs w:val="14"/>
                <w:color w:val="auto"/>
              </w:rPr>
              <w:t>assets</w:t>
            </w:r>
          </w:p>
        </w:tc>
        <w:tc>
          <w:tcPr>
            <w:tcW w:w="3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w w:val="94"/>
              </w:rPr>
              <w:t>—</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(7 )</w:t>
            </w:r>
          </w:p>
        </w:tc>
        <w:tc>
          <w:tcPr>
            <w:tcW w:w="1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ind w:left="280"/>
              <w:spacing w:after="0"/>
              <w:rPr>
                <w:sz w:val="20"/>
                <w:szCs w:val="20"/>
                <w:color w:val="auto"/>
              </w:rPr>
            </w:pPr>
            <w:r>
              <w:rPr>
                <w:rFonts w:ascii="Calibri" w:cs="Calibri" w:eastAsia="Calibri" w:hAnsi="Calibri"/>
                <w:sz w:val="14"/>
                <w:szCs w:val="14"/>
                <w:color w:val="auto"/>
                <w:w w:val="94"/>
              </w:rPr>
              <w:t>—</w:t>
            </w:r>
          </w:p>
        </w:tc>
        <w:tc>
          <w:tcPr>
            <w:tcW w:w="2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(6 )</w:t>
            </w:r>
          </w:p>
        </w:tc>
        <w:tc>
          <w:tcPr>
            <w:tcW w:w="1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(10 )</w:t>
            </w:r>
          </w:p>
        </w:tc>
        <w:tc>
          <w:tcPr>
            <w:tcW w:w="10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ind w:left="260"/>
              <w:spacing w:after="0"/>
              <w:rPr>
                <w:sz w:val="20"/>
                <w:szCs w:val="20"/>
                <w:color w:val="auto"/>
              </w:rPr>
            </w:pPr>
            <w:r>
              <w:rPr>
                <w:rFonts w:ascii="Calibri" w:cs="Calibri" w:eastAsia="Calibri" w:hAnsi="Calibri"/>
                <w:sz w:val="14"/>
                <w:szCs w:val="14"/>
                <w:color w:val="auto"/>
                <w:w w:val="94"/>
              </w:rPr>
              <w:t>—</w:t>
            </w: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r>
      <w:tr>
        <w:trPr>
          <w:trHeight w:val="170"/>
        </w:trPr>
        <w:tc>
          <w:tcPr>
            <w:tcW w:w="2320" w:type="dxa"/>
            <w:vAlign w:val="bottom"/>
          </w:tcPr>
          <w:p>
            <w:pPr>
              <w:ind w:left="20"/>
              <w:spacing w:after="0"/>
              <w:rPr>
                <w:sz w:val="20"/>
                <w:szCs w:val="20"/>
                <w:color w:val="auto"/>
              </w:rPr>
            </w:pPr>
            <w:r>
              <w:rPr>
                <w:rFonts w:ascii="Calibri" w:cs="Calibri" w:eastAsia="Calibri" w:hAnsi="Calibri"/>
                <w:sz w:val="14"/>
                <w:szCs w:val="14"/>
                <w:color w:val="auto"/>
              </w:rPr>
              <w:t>Amortzaton of net losses</w:t>
            </w:r>
          </w:p>
        </w:tc>
        <w:tc>
          <w:tcPr>
            <w:tcW w:w="3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Calibri" w:cs="Calibri" w:eastAsia="Calibri" w:hAnsi="Calibri"/>
                <w:sz w:val="14"/>
                <w:szCs w:val="14"/>
                <w:color w:val="auto"/>
                <w:w w:val="94"/>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(1 )</w:t>
            </w:r>
          </w:p>
        </w:tc>
        <w:tc>
          <w:tcPr>
            <w:tcW w:w="120" w:type="dxa"/>
            <w:vAlign w:val="bottom"/>
          </w:tcPr>
          <w:p>
            <w:pPr>
              <w:spacing w:after="0"/>
              <w:rPr>
                <w:sz w:val="14"/>
                <w:szCs w:val="14"/>
                <w:color w:val="auto"/>
              </w:rPr>
            </w:pPr>
          </w:p>
        </w:tc>
        <w:tc>
          <w:tcPr>
            <w:tcW w:w="420" w:type="dxa"/>
            <w:vAlign w:val="bottom"/>
          </w:tcPr>
          <w:p>
            <w:pPr>
              <w:ind w:left="280"/>
              <w:spacing w:after="0"/>
              <w:rPr>
                <w:sz w:val="20"/>
                <w:szCs w:val="20"/>
                <w:color w:val="auto"/>
              </w:rPr>
            </w:pPr>
            <w:r>
              <w:rPr>
                <w:rFonts w:ascii="Calibri" w:cs="Calibri" w:eastAsia="Calibri" w:hAnsi="Calibri"/>
                <w:sz w:val="14"/>
                <w:szCs w:val="14"/>
                <w:color w:val="auto"/>
                <w:w w:val="94"/>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alibri" w:cs="Calibri" w:eastAsia="Calibri" w:hAnsi="Calibri"/>
                <w:sz w:val="14"/>
                <w:szCs w:val="14"/>
                <w:color w:val="auto"/>
              </w:rPr>
              <w:t>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(1 )</w:t>
            </w:r>
          </w:p>
        </w:tc>
        <w:tc>
          <w:tcPr>
            <w:tcW w:w="2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400" w:type="dxa"/>
            <w:vAlign w:val="bottom"/>
          </w:tcPr>
          <w:p>
            <w:pPr>
              <w:ind w:left="260"/>
              <w:spacing w:after="0"/>
              <w:rPr>
                <w:sz w:val="20"/>
                <w:szCs w:val="20"/>
                <w:color w:val="auto"/>
              </w:rPr>
            </w:pPr>
            <w:r>
              <w:rPr>
                <w:rFonts w:ascii="Calibri" w:cs="Calibri" w:eastAsia="Calibri" w:hAnsi="Calibri"/>
                <w:sz w:val="14"/>
                <w:szCs w:val="14"/>
                <w:color w:val="auto"/>
                <w:w w:val="94"/>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r>
      <w:tr>
        <w:trPr>
          <w:trHeight w:val="33"/>
        </w:trPr>
        <w:tc>
          <w:tcPr>
            <w:tcW w:w="2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0"/>
        </w:trPr>
        <w:tc>
          <w:tcPr>
            <w:tcW w:w="23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Setlements or</w:t>
            </w: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8"/>
        </w:trPr>
        <w:tc>
          <w:tcPr>
            <w:tcW w:w="232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4"/>
                <w:szCs w:val="14"/>
                <w:color w:val="auto"/>
              </w:rPr>
              <w:t>Curtailments cost</w:t>
            </w:r>
          </w:p>
        </w:tc>
        <w:tc>
          <w:tcPr>
            <w:tcW w:w="3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w w:val="94"/>
              </w:rPr>
              <w:t>—</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ind w:left="280"/>
              <w:spacing w:after="0"/>
              <w:rPr>
                <w:sz w:val="20"/>
                <w:szCs w:val="20"/>
                <w:color w:val="auto"/>
              </w:rPr>
            </w:pPr>
            <w:r>
              <w:rPr>
                <w:rFonts w:ascii="Calibri" w:cs="Calibri" w:eastAsia="Calibri" w:hAnsi="Calibri"/>
                <w:sz w:val="14"/>
                <w:szCs w:val="14"/>
                <w:color w:val="auto"/>
                <w:w w:val="94"/>
              </w:rPr>
              <w:t>—</w:t>
            </w:r>
          </w:p>
        </w:tc>
        <w:tc>
          <w:tcPr>
            <w:tcW w:w="2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(1 )</w:t>
            </w:r>
          </w:p>
        </w:tc>
        <w:tc>
          <w:tcPr>
            <w:tcW w:w="22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ind w:left="260"/>
              <w:spacing w:after="0"/>
              <w:rPr>
                <w:sz w:val="20"/>
                <w:szCs w:val="20"/>
                <w:color w:val="auto"/>
              </w:rPr>
            </w:pPr>
            <w:r>
              <w:rPr>
                <w:rFonts w:ascii="Calibri" w:cs="Calibri" w:eastAsia="Calibri" w:hAnsi="Calibri"/>
                <w:sz w:val="14"/>
                <w:szCs w:val="14"/>
                <w:color w:val="auto"/>
                <w:w w:val="94"/>
              </w:rPr>
              <w:t>—</w:t>
            </w: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r>
      <w:tr>
        <w:trPr>
          <w:trHeight w:val="196"/>
        </w:trPr>
        <w:tc>
          <w:tcPr>
            <w:tcW w:w="2320" w:type="dxa"/>
            <w:vAlign w:val="bottom"/>
          </w:tcPr>
          <w:p>
            <w:pPr>
              <w:ind w:left="20"/>
              <w:spacing w:after="0"/>
              <w:rPr>
                <w:sz w:val="20"/>
                <w:szCs w:val="20"/>
                <w:color w:val="auto"/>
              </w:rPr>
            </w:pPr>
            <w:r>
              <w:rPr>
                <w:rFonts w:ascii="Calibri" w:cs="Calibri" w:eastAsia="Calibri" w:hAnsi="Calibri"/>
                <w:sz w:val="14"/>
                <w:szCs w:val="14"/>
                <w:color w:val="auto"/>
              </w:rPr>
              <w:t>Other</w:t>
            </w: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color w:val="auto"/>
                <w:w w:val="94"/>
              </w:rPr>
              <w:t>—</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280"/>
              <w:spacing w:after="0"/>
              <w:rPr>
                <w:sz w:val="20"/>
                <w:szCs w:val="20"/>
                <w:color w:val="auto"/>
              </w:rPr>
            </w:pPr>
            <w:r>
              <w:rPr>
                <w:rFonts w:ascii="Calibri" w:cs="Calibri" w:eastAsia="Calibri" w:hAnsi="Calibri"/>
                <w:sz w:val="14"/>
                <w:szCs w:val="14"/>
                <w:color w:val="auto"/>
                <w:w w:val="94"/>
              </w:rPr>
              <w:t>—</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2</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260"/>
              <w:spacing w:after="0"/>
              <w:rPr>
                <w:sz w:val="20"/>
                <w:szCs w:val="20"/>
                <w:color w:val="auto"/>
              </w:rPr>
            </w:pPr>
            <w:r>
              <w:rPr>
                <w:rFonts w:ascii="Calibri" w:cs="Calibri" w:eastAsia="Calibri" w:hAnsi="Calibri"/>
                <w:sz w:val="14"/>
                <w:szCs w:val="14"/>
                <w:color w:val="auto"/>
                <w:w w:val="94"/>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7"/>
                <w:szCs w:val="17"/>
                <w:color w:val="auto"/>
              </w:rPr>
            </w:pPr>
          </w:p>
        </w:tc>
      </w:tr>
      <w:tr>
        <w:trPr>
          <w:trHeight w:val="223"/>
        </w:trPr>
        <w:tc>
          <w:tcPr>
            <w:tcW w:w="23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Net periodic (beneft) cost</w:t>
            </w:r>
          </w:p>
        </w:tc>
        <w:tc>
          <w:tcPr>
            <w:tcW w:w="380" w:type="dxa"/>
            <w:vAlign w:val="bottom"/>
            <w:shd w:val="clear" w:color="auto" w:fill="CFF0FC"/>
          </w:tcPr>
          <w:p>
            <w:pPr>
              <w:jc w:val="right"/>
              <w:ind w:right="228"/>
              <w:spacing w:after="0"/>
              <w:rPr>
                <w:sz w:val="20"/>
                <w:szCs w:val="20"/>
                <w:color w:val="auto"/>
              </w:rPr>
            </w:pPr>
            <w:r>
              <w:rPr>
                <w:rFonts w:ascii="Calibri" w:cs="Calibri" w:eastAsia="Calibri" w:hAnsi="Calibri"/>
                <w:sz w:val="14"/>
                <w:szCs w:val="14"/>
                <w:color w:val="auto"/>
                <w:w w:val="83"/>
              </w:rPr>
              <w:t>$</w:t>
            </w:r>
          </w:p>
        </w:tc>
        <w:tc>
          <w:tcPr>
            <w:tcW w:w="1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w w:val="94"/>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Calibri" w:cs="Calibri" w:eastAsia="Calibri" w:hAnsi="Calibri"/>
                <w:sz w:val="14"/>
                <w:szCs w:val="14"/>
                <w:color w:val="auto"/>
                <w:w w:val="83"/>
              </w:rPr>
              <w:t>$</w:t>
            </w:r>
          </w:p>
        </w:tc>
        <w:tc>
          <w:tcPr>
            <w:tcW w:w="3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w w:val="83"/>
              </w:rPr>
              <w:t>$</w:t>
            </w:r>
          </w:p>
        </w:tc>
        <w:tc>
          <w:tcPr>
            <w:tcW w:w="420" w:type="dxa"/>
            <w:vAlign w:val="bottom"/>
            <w:shd w:val="clear" w:color="auto" w:fill="CFF0FC"/>
          </w:tcPr>
          <w:p>
            <w:pPr>
              <w:ind w:left="280"/>
              <w:spacing w:after="0"/>
              <w:rPr>
                <w:sz w:val="20"/>
                <w:szCs w:val="20"/>
                <w:color w:val="auto"/>
              </w:rPr>
            </w:pPr>
            <w:r>
              <w:rPr>
                <w:rFonts w:ascii="Calibri" w:cs="Calibri" w:eastAsia="Calibri" w:hAnsi="Calibri"/>
                <w:sz w:val="14"/>
                <w:szCs w:val="14"/>
                <w:color w:val="auto"/>
                <w:w w:val="94"/>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1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4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w:t>
            </w:r>
          </w:p>
        </w:tc>
        <w:tc>
          <w:tcPr>
            <w:tcW w:w="3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w w:val="83"/>
              </w:rPr>
              <w:t>$</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w:t>
            </w:r>
          </w:p>
        </w:tc>
        <w:tc>
          <w:tcPr>
            <w:tcW w:w="2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Calibri" w:cs="Calibri" w:eastAsia="Calibri" w:hAnsi="Calibri"/>
                <w:sz w:val="14"/>
                <w:szCs w:val="14"/>
                <w:color w:val="auto"/>
              </w:rPr>
              <w:t>$</w:t>
            </w:r>
          </w:p>
        </w:tc>
        <w:tc>
          <w:tcPr>
            <w:tcW w:w="62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(1 )</w:t>
            </w:r>
          </w:p>
        </w:tc>
        <w:tc>
          <w:tcPr>
            <w:tcW w:w="2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w:t>
            </w:r>
          </w:p>
        </w:tc>
        <w:tc>
          <w:tcPr>
            <w:tcW w:w="3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shd w:val="clear" w:color="auto" w:fill="CFF0FC"/>
          </w:tcPr>
          <w:p>
            <w:pPr>
              <w:ind w:left="260"/>
              <w:spacing w:after="0"/>
              <w:rPr>
                <w:sz w:val="20"/>
                <w:szCs w:val="20"/>
                <w:color w:val="auto"/>
              </w:rPr>
            </w:pPr>
            <w:r>
              <w:rPr>
                <w:rFonts w:ascii="Calibri" w:cs="Calibri" w:eastAsia="Calibri" w:hAnsi="Calibri"/>
                <w:sz w:val="14"/>
                <w:szCs w:val="14"/>
                <w:color w:val="auto"/>
                <w:w w:val="94"/>
              </w:rPr>
              <w:t>—</w:t>
            </w:r>
          </w:p>
        </w:tc>
        <w:tc>
          <w:tcPr>
            <w:tcW w:w="460" w:type="dxa"/>
            <w:vAlign w:val="bottom"/>
            <w:gridSpan w:val="2"/>
            <w:shd w:val="clear" w:color="auto" w:fill="CFF0FC"/>
          </w:tcPr>
          <w:p>
            <w:pPr>
              <w:jc w:val="right"/>
              <w:ind w:right="88"/>
              <w:spacing w:after="0"/>
              <w:rPr>
                <w:sz w:val="20"/>
                <w:szCs w:val="20"/>
                <w:color w:val="auto"/>
              </w:rPr>
            </w:pPr>
            <w:r>
              <w:rPr>
                <w:rFonts w:ascii="Calibri" w:cs="Calibri" w:eastAsia="Calibri" w:hAnsi="Calibri"/>
                <w:sz w:val="14"/>
                <w:szCs w:val="14"/>
                <w:color w:val="auto"/>
              </w:rPr>
              <w:t>$</w:t>
            </w:r>
          </w:p>
        </w:tc>
        <w:tc>
          <w:tcPr>
            <w:tcW w:w="3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w:t>
            </w:r>
          </w:p>
        </w:tc>
        <w:tc>
          <w:tcPr>
            <w:tcW w:w="100" w:type="dxa"/>
            <w:vAlign w:val="bottom"/>
            <w:shd w:val="clear" w:color="auto" w:fill="CFF0FC"/>
          </w:tcPr>
          <w:p>
            <w:pPr>
              <w:spacing w:after="0"/>
              <w:rPr>
                <w:sz w:val="19"/>
                <w:szCs w:val="19"/>
                <w:color w:val="auto"/>
              </w:rPr>
            </w:pPr>
          </w:p>
        </w:tc>
      </w:tr>
      <w:tr>
        <w:trPr>
          <w:trHeight w:val="20"/>
        </w:trPr>
        <w:tc>
          <w:tcPr>
            <w:tcW w:w="23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-24765</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-8255</wp:posOffset>
            </wp:positionV>
            <wp:extent cx="768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-24765</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-8255</wp:posOffset>
            </wp:positionV>
            <wp:extent cx="768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-24765</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-8255</wp:posOffset>
            </wp:positionV>
            <wp:extent cx="768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774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-8255</wp:posOffset>
            </wp:positionV>
            <wp:extent cx="7747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-8255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-8255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-8255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Other changes in plan assets and beneft obligatons recognized in Other comprehensive income (loss)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8"/>
          </w:tcPr>
          <w:p>
            <w:pPr>
              <w:ind w:left="360"/>
              <w:spacing w:after="0"/>
              <w:rPr>
                <w:sz w:val="20"/>
                <w:szCs w:val="20"/>
                <w:color w:val="auto"/>
              </w:rPr>
            </w:pPr>
            <w:r>
              <w:rPr>
                <w:rFonts w:ascii="Calibri" w:cs="Calibri" w:eastAsia="Calibri" w:hAnsi="Calibri"/>
                <w:sz w:val="14"/>
                <w:szCs w:val="14"/>
                <w:b w:val="1"/>
                <w:bCs w:val="1"/>
                <w:color w:val="auto"/>
              </w:rPr>
              <w:t>Years Ended September 30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gridSpan w:val="3"/>
          </w:tcPr>
          <w:p>
            <w:pPr>
              <w:ind w:left="120"/>
              <w:spacing w:after="0" w:line="164" w:lineRule="exact"/>
              <w:rPr>
                <w:sz w:val="20"/>
                <w:szCs w:val="20"/>
                <w:color w:val="auto"/>
              </w:rPr>
            </w:pPr>
            <w:r>
              <w:rPr>
                <w:rFonts w:ascii="Calibri" w:cs="Calibri" w:eastAsia="Calibri" w:hAnsi="Calibri"/>
                <w:sz w:val="14"/>
                <w:szCs w:val="14"/>
                <w:b w:val="1"/>
                <w:bCs w:val="1"/>
                <w:color w:val="auto"/>
              </w:rPr>
              <w:t>2023</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420"/>
              <w:spacing w:after="0" w:line="164" w:lineRule="exact"/>
              <w:rPr>
                <w:sz w:val="20"/>
                <w:szCs w:val="20"/>
                <w:color w:val="auto"/>
              </w:rPr>
            </w:pPr>
            <w:r>
              <w:rPr>
                <w:rFonts w:ascii="Calibri" w:cs="Calibri" w:eastAsia="Calibri" w:hAnsi="Calibri"/>
                <w:sz w:val="14"/>
                <w:szCs w:val="14"/>
                <w:b w:val="1"/>
                <w:bCs w:val="1"/>
                <w:color w:val="auto"/>
              </w:rPr>
              <w:t>2022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360"/>
              <w:spacing w:after="0" w:line="164" w:lineRule="exact"/>
              <w:rPr>
                <w:sz w:val="20"/>
                <w:szCs w:val="20"/>
                <w:color w:val="auto"/>
              </w:rPr>
            </w:pPr>
            <w:r>
              <w:rPr>
                <w:rFonts w:ascii="Calibri" w:cs="Calibri" w:eastAsia="Calibri" w:hAnsi="Calibri"/>
                <w:sz w:val="14"/>
                <w:szCs w:val="14"/>
                <w:b w:val="1"/>
                <w:bCs w:val="1"/>
                <w:color w:val="auto"/>
              </w:rPr>
              <w:t>2021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128"/>
              <w:spacing w:after="0" w:line="164" w:lineRule="exact"/>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108"/>
              <w:spacing w:after="0" w:line="164" w:lineRule="exact"/>
              <w:rPr>
                <w:sz w:val="20"/>
                <w:szCs w:val="20"/>
                <w:color w:val="auto"/>
              </w:rPr>
            </w:pPr>
            <w:r>
              <w:rPr>
                <w:rFonts w:ascii="Calibri" w:cs="Calibri" w:eastAsia="Calibri" w:hAnsi="Calibri"/>
                <w:sz w:val="14"/>
                <w:szCs w:val="14"/>
                <w:b w:val="1"/>
                <w:bCs w:val="1"/>
                <w:color w:val="auto"/>
              </w:rPr>
              <w:t>2022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ind w:left="380"/>
              <w:spacing w:after="0" w:line="164" w:lineRule="exact"/>
              <w:rPr>
                <w:sz w:val="20"/>
                <w:szCs w:val="20"/>
                <w:color w:val="auto"/>
              </w:rPr>
            </w:pPr>
            <w:r>
              <w:rPr>
                <w:rFonts w:ascii="Calibri" w:cs="Calibri" w:eastAsia="Calibri" w:hAnsi="Calibri"/>
                <w:sz w:val="14"/>
                <w:szCs w:val="14"/>
                <w:b w:val="1"/>
                <w:bCs w:val="1"/>
                <w:color w:val="auto"/>
              </w:rPr>
              <w:t>2021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20"/>
              <w:spacing w:after="0" w:line="164" w:lineRule="exact"/>
              <w:rPr>
                <w:sz w:val="20"/>
                <w:szCs w:val="20"/>
                <w:color w:val="auto"/>
              </w:rPr>
            </w:pPr>
            <w:r>
              <w:rPr>
                <w:rFonts w:ascii="Calibri" w:cs="Calibri" w:eastAsia="Calibri" w:hAnsi="Calibri"/>
                <w:sz w:val="14"/>
                <w:szCs w:val="14"/>
                <w:b w:val="1"/>
                <w:bCs w:val="1"/>
                <w:color w:val="auto"/>
              </w:rPr>
              <w:t>Pension Benefts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5"/>
          </w:tcPr>
          <w:p>
            <w:pPr>
              <w:spacing w:after="0" w:line="164" w:lineRule="exact"/>
              <w:rPr>
                <w:sz w:val="20"/>
                <w:szCs w:val="20"/>
                <w:color w:val="auto"/>
              </w:rPr>
            </w:pPr>
            <w:r>
              <w:rPr>
                <w:rFonts w:ascii="Calibri" w:cs="Calibri" w:eastAsia="Calibri" w:hAnsi="Calibri"/>
                <w:sz w:val="14"/>
                <w:szCs w:val="14"/>
                <w:b w:val="1"/>
                <w:bCs w:val="1"/>
                <w:color w:val="auto"/>
                <w:w w:val="91"/>
              </w:rPr>
              <w:t>Postretrement Benefts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320" w:type="dxa"/>
            <w:vAlign w:val="bottom"/>
          </w:tcPr>
          <w:p>
            <w:pPr>
              <w:spacing w:after="0"/>
              <w:rPr>
                <w:sz w:val="14"/>
                <w:szCs w:val="14"/>
                <w:color w:val="auto"/>
              </w:rPr>
            </w:pPr>
          </w:p>
        </w:tc>
        <w:tc>
          <w:tcPr>
            <w:tcW w:w="4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U.S.</w:t>
            </w: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Foreign</w:t>
            </w: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ind w:left="40"/>
              <w:spacing w:after="0" w:line="164" w:lineRule="exact"/>
              <w:rPr>
                <w:sz w:val="20"/>
                <w:szCs w:val="20"/>
                <w:color w:val="auto"/>
              </w:rPr>
            </w:pPr>
            <w:r>
              <w:rPr>
                <w:rFonts w:ascii="Calibri" w:cs="Calibri" w:eastAsia="Calibri" w:hAnsi="Calibri"/>
                <w:sz w:val="14"/>
                <w:szCs w:val="14"/>
                <w:b w:val="1"/>
                <w:bCs w:val="1"/>
                <w:color w:val="auto"/>
              </w:rPr>
              <w:t>U.S.</w:t>
            </w: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3"/>
          </w:tcPr>
          <w:p>
            <w:pPr>
              <w:jc w:val="right"/>
              <w:ind w:right="280"/>
              <w:spacing w:after="0" w:line="164" w:lineRule="exact"/>
              <w:rPr>
                <w:sz w:val="20"/>
                <w:szCs w:val="20"/>
                <w:color w:val="auto"/>
              </w:rPr>
            </w:pPr>
            <w:r>
              <w:rPr>
                <w:rFonts w:ascii="Calibri" w:cs="Calibri" w:eastAsia="Calibri" w:hAnsi="Calibri"/>
                <w:sz w:val="14"/>
                <w:szCs w:val="14"/>
                <w:b w:val="1"/>
                <w:bCs w:val="1"/>
                <w:color w:val="auto"/>
              </w:rPr>
              <w:t>Foreign</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ind w:right="360"/>
              <w:spacing w:after="0" w:line="164" w:lineRule="exact"/>
              <w:rPr>
                <w:sz w:val="20"/>
                <w:szCs w:val="20"/>
                <w:color w:val="auto"/>
              </w:rPr>
            </w:pPr>
            <w:r>
              <w:rPr>
                <w:rFonts w:ascii="Calibri" w:cs="Calibri" w:eastAsia="Calibri" w:hAnsi="Calibri"/>
                <w:sz w:val="14"/>
                <w:szCs w:val="14"/>
                <w:b w:val="1"/>
                <w:bCs w:val="1"/>
                <w:color w:val="auto"/>
              </w:rPr>
              <w:t>U.S.</w:t>
            </w:r>
          </w:p>
        </w:tc>
        <w:tc>
          <w:tcPr>
            <w:tcW w:w="520" w:type="dxa"/>
            <w:vAlign w:val="bottom"/>
            <w:tcBorders>
              <w:top w:val="single" w:sz="8" w:color="auto"/>
            </w:tcBorders>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Foreign</w:t>
            </w: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ind w:right="360"/>
              <w:spacing w:after="0" w:line="164" w:lineRule="exact"/>
              <w:rPr>
                <w:sz w:val="20"/>
                <w:szCs w:val="20"/>
                <w:color w:val="auto"/>
              </w:rPr>
            </w:pPr>
            <w:r>
              <w:rPr>
                <w:rFonts w:ascii="Calibri" w:cs="Calibri" w:eastAsia="Calibri" w:hAnsi="Calibri"/>
                <w:sz w:val="14"/>
                <w:szCs w:val="14"/>
                <w:b w:val="1"/>
                <w:bCs w:val="1"/>
                <w:color w:val="auto"/>
              </w:rPr>
              <w:t>U.S.</w:t>
            </w:r>
          </w:p>
        </w:tc>
        <w:tc>
          <w:tcPr>
            <w:tcW w:w="620" w:type="dxa"/>
            <w:vAlign w:val="bottom"/>
            <w:tcBorders>
              <w:top w:val="single" w:sz="8" w:color="auto"/>
            </w:tcBorders>
            <w:gridSpan w:val="3"/>
          </w:tcPr>
          <w:p>
            <w:pPr>
              <w:jc w:val="right"/>
              <w:ind w:right="140"/>
              <w:spacing w:after="0" w:line="164" w:lineRule="exact"/>
              <w:rPr>
                <w:sz w:val="20"/>
                <w:szCs w:val="20"/>
                <w:color w:val="auto"/>
              </w:rPr>
            </w:pPr>
            <w:r>
              <w:rPr>
                <w:rFonts w:ascii="Calibri" w:cs="Calibri" w:eastAsia="Calibri" w:hAnsi="Calibri"/>
                <w:sz w:val="14"/>
                <w:szCs w:val="14"/>
                <w:b w:val="1"/>
                <w:bCs w:val="1"/>
                <w:color w:val="auto"/>
              </w:rPr>
              <w:t>Foreign</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ind w:right="360"/>
              <w:spacing w:after="0" w:line="164" w:lineRule="exact"/>
              <w:rPr>
                <w:sz w:val="20"/>
                <w:szCs w:val="20"/>
                <w:color w:val="auto"/>
              </w:rPr>
            </w:pPr>
            <w:r>
              <w:rPr>
                <w:rFonts w:ascii="Calibri" w:cs="Calibri" w:eastAsia="Calibri" w:hAnsi="Calibri"/>
                <w:sz w:val="14"/>
                <w:szCs w:val="14"/>
                <w:b w:val="1"/>
                <w:bCs w:val="1"/>
                <w:color w:val="auto"/>
              </w:rPr>
              <w:t>U.S.</w:t>
            </w:r>
          </w:p>
        </w:tc>
        <w:tc>
          <w:tcPr>
            <w:tcW w:w="720" w:type="dxa"/>
            <w:vAlign w:val="bottom"/>
            <w:tcBorders>
              <w:top w:val="single" w:sz="8" w:color="auto"/>
            </w:tcBorders>
            <w:gridSpan w:val="3"/>
          </w:tcPr>
          <w:p>
            <w:pPr>
              <w:jc w:val="right"/>
              <w:ind w:right="240"/>
              <w:spacing w:after="0" w:line="164" w:lineRule="exact"/>
              <w:rPr>
                <w:sz w:val="20"/>
                <w:szCs w:val="20"/>
                <w:color w:val="auto"/>
              </w:rPr>
            </w:pPr>
            <w:r>
              <w:rPr>
                <w:rFonts w:ascii="Calibri" w:cs="Calibri" w:eastAsia="Calibri" w:hAnsi="Calibri"/>
                <w:sz w:val="14"/>
                <w:szCs w:val="14"/>
                <w:b w:val="1"/>
                <w:bCs w:val="1"/>
                <w:color w:val="auto"/>
              </w:rPr>
              <w:t>Foreign</w:t>
            </w: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rPr>
              <w:t>U.S.</w:t>
            </w: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Foreign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5"/>
          </w:tcPr>
          <w:p>
            <w:pPr>
              <w:jc w:val="right"/>
              <w:ind w:right="580"/>
              <w:spacing w:after="0" w:line="164" w:lineRule="exact"/>
              <w:rPr>
                <w:sz w:val="20"/>
                <w:szCs w:val="20"/>
                <w:color w:val="auto"/>
              </w:rPr>
            </w:pPr>
            <w:r>
              <w:rPr>
                <w:rFonts w:ascii="Calibri" w:cs="Calibri" w:eastAsia="Calibri" w:hAnsi="Calibri"/>
                <w:sz w:val="14"/>
                <w:szCs w:val="14"/>
                <w:b w:val="1"/>
                <w:bCs w:val="1"/>
                <w:color w:val="auto"/>
              </w:rPr>
              <w:t>(In millions)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3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Net (gains) losses</w:t>
            </w:r>
          </w:p>
        </w:tc>
        <w:tc>
          <w:tcPr>
            <w:tcW w:w="400" w:type="dxa"/>
            <w:vAlign w:val="bottom"/>
            <w:tcBorders>
              <w:bottom w:val="single" w:sz="8" w:color="CFF0FC"/>
            </w:tcBorders>
            <w:shd w:val="clear" w:color="auto" w:fill="CFF0FC"/>
          </w:tcPr>
          <w:p>
            <w:pPr>
              <w:jc w:val="right"/>
              <w:ind w:right="2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4"/>
                <w:szCs w:val="14"/>
                <w:color w:val="auto"/>
                <w:w w:val="94"/>
              </w:rPr>
              <w:t>—</w:t>
            </w:r>
          </w:p>
        </w:tc>
        <w:tc>
          <w:tcPr>
            <w:tcW w:w="500" w:type="dxa"/>
            <w:vAlign w:val="bottom"/>
            <w:tcBorders>
              <w:bottom w:val="single" w:sz="8" w:color="CFF0FC"/>
            </w:tcBorders>
            <w:gridSpan w:val="2"/>
            <w:shd w:val="clear" w:color="auto" w:fill="CFF0FC"/>
          </w:tcPr>
          <w:p>
            <w:pPr>
              <w:jc w:val="right"/>
              <w:ind w:right="88"/>
              <w:spacing w:after="0"/>
              <w:rPr>
                <w:sz w:val="20"/>
                <w:szCs w:val="20"/>
                <w:color w:val="auto"/>
              </w:rPr>
            </w:pPr>
            <w:r>
              <w:rPr>
                <w:rFonts w:ascii="Calibri" w:cs="Calibri" w:eastAsia="Calibri" w:hAnsi="Calibri"/>
                <w:sz w:val="14"/>
                <w:szCs w:val="14"/>
                <w:color w:val="auto"/>
              </w:rPr>
              <w:t>$</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w:t>
            </w:r>
          </w:p>
        </w:tc>
        <w:tc>
          <w:tcPr>
            <w:tcW w:w="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4"/>
                <w:szCs w:val="14"/>
                <w:color w:val="auto"/>
              </w:rPr>
              <w:t>$</w:t>
            </w:r>
          </w:p>
        </w:tc>
        <w:tc>
          <w:tcPr>
            <w:tcW w:w="44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4"/>
                <w:szCs w:val="14"/>
                <w:color w:val="auto"/>
                <w:w w:val="94"/>
              </w:rPr>
              <w:t>—</w:t>
            </w:r>
          </w:p>
        </w:tc>
        <w:tc>
          <w:tcPr>
            <w:tcW w:w="600" w:type="dxa"/>
            <w:vAlign w:val="bottom"/>
            <w:tcBorders>
              <w:bottom w:val="single" w:sz="8" w:color="CFF0FC"/>
            </w:tcBorders>
            <w:gridSpan w:val="2"/>
            <w:shd w:val="clear" w:color="auto" w:fill="CFF0FC"/>
          </w:tcPr>
          <w:p>
            <w:pPr>
              <w:jc w:val="right"/>
              <w:ind w:right="208"/>
              <w:spacing w:after="0"/>
              <w:rPr>
                <w:sz w:val="20"/>
                <w:szCs w:val="20"/>
                <w:color w:val="auto"/>
              </w:rPr>
            </w:pPr>
            <w:r>
              <w:rPr>
                <w:rFonts w:ascii="Calibri" w:cs="Calibri" w:eastAsia="Calibri" w:hAnsi="Calibri"/>
                <w:sz w:val="14"/>
                <w:szCs w:val="14"/>
                <w:color w:val="auto"/>
              </w:rPr>
              <w:t>$</w:t>
            </w:r>
          </w:p>
        </w:tc>
        <w:tc>
          <w:tcPr>
            <w:tcW w:w="4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(2 )</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w w:val="83"/>
              </w:rPr>
              <w:t>$</w:t>
            </w:r>
          </w:p>
        </w:tc>
        <w:tc>
          <w:tcPr>
            <w:tcW w:w="6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(2 )</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6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(15 )</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w w:val="83"/>
              </w:rPr>
              <w:t>$</w:t>
            </w:r>
          </w:p>
        </w:tc>
        <w:tc>
          <w:tcPr>
            <w:tcW w:w="6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(1 )</w:t>
            </w:r>
          </w:p>
        </w:tc>
        <w:tc>
          <w:tcPr>
            <w:tcW w:w="240" w:type="dxa"/>
            <w:vAlign w:val="bottom"/>
            <w:tcBorders>
              <w:bottom w:val="single" w:sz="8" w:color="CFF0FC"/>
            </w:tcBorders>
            <w:shd w:val="clear" w:color="auto" w:fill="CFF0FC"/>
          </w:tcPr>
          <w:p>
            <w:pPr>
              <w:jc w:val="right"/>
              <w:ind w:right="88"/>
              <w:spacing w:after="0"/>
              <w:rPr>
                <w:sz w:val="20"/>
                <w:szCs w:val="20"/>
                <w:color w:val="auto"/>
              </w:rPr>
            </w:pPr>
            <w:r>
              <w:rPr>
                <w:rFonts w:ascii="Calibri" w:cs="Calibri" w:eastAsia="Calibri" w:hAnsi="Calibri"/>
                <w:sz w:val="14"/>
                <w:szCs w:val="14"/>
                <w:color w:val="auto"/>
                <w:w w:val="83"/>
              </w:rPr>
              <w:t>$</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4"/>
                <w:szCs w:val="14"/>
                <w:color w:val="auto"/>
              </w:rPr>
              <w:t>(3 )</w:t>
            </w:r>
          </w:p>
        </w:tc>
        <w:tc>
          <w:tcPr>
            <w:tcW w:w="220" w:type="dxa"/>
            <w:vAlign w:val="bottom"/>
            <w:tcBorders>
              <w:bottom w:val="single" w:sz="8" w:color="CFF0FC"/>
            </w:tcBorders>
            <w:gridSpan w:val="2"/>
            <w:shd w:val="clear" w:color="auto" w:fill="CFF0FC"/>
          </w:tcPr>
          <w:p>
            <w:pPr>
              <w:ind w:left="120"/>
              <w:spacing w:after="0"/>
              <w:rPr>
                <w:sz w:val="20"/>
                <w:szCs w:val="20"/>
                <w:color w:val="auto"/>
              </w:rPr>
            </w:pPr>
            <w:r>
              <w:rPr>
                <w:rFonts w:ascii="Calibri" w:cs="Calibri" w:eastAsia="Calibri" w:hAnsi="Calibri"/>
                <w:sz w:val="14"/>
                <w:szCs w:val="14"/>
                <w:color w:val="auto"/>
              </w:rPr>
              <w:t>$</w:t>
            </w:r>
          </w:p>
        </w:tc>
        <w:tc>
          <w:tcPr>
            <w:tcW w:w="6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(4 )</w:t>
            </w: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Calibri" w:cs="Calibri" w:eastAsia="Calibri" w:hAnsi="Calibri"/>
                <w:sz w:val="14"/>
                <w:szCs w:val="14"/>
                <w:color w:val="auto"/>
                <w:w w:val="83"/>
              </w:rPr>
              <w:t>$</w:t>
            </w:r>
          </w:p>
        </w:tc>
        <w:tc>
          <w:tcPr>
            <w:tcW w:w="5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Calibri" w:cs="Calibri" w:eastAsia="Calibri" w:hAnsi="Calibri"/>
                <w:sz w:val="14"/>
                <w:szCs w:val="14"/>
                <w:color w:val="auto"/>
              </w:rPr>
              <w:t>(4 )</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tcBorders>
              <w:bottom w:val="single" w:sz="8" w:color="CFF0FC"/>
            </w:tcBorders>
            <w:shd w:val="clear" w:color="auto" w:fill="CFF0FC"/>
          </w:tcPr>
          <w:p>
            <w:pPr>
              <w:ind w:left="260"/>
              <w:spacing w:after="0"/>
              <w:rPr>
                <w:sz w:val="20"/>
                <w:szCs w:val="20"/>
                <w:color w:val="auto"/>
              </w:rPr>
            </w:pPr>
            <w:r>
              <w:rPr>
                <w:rFonts w:ascii="Calibri" w:cs="Calibri" w:eastAsia="Calibri" w:hAnsi="Calibri"/>
                <w:sz w:val="14"/>
                <w:szCs w:val="14"/>
                <w:color w:val="auto"/>
                <w:w w:val="94"/>
              </w:rPr>
              <w:t>—</w:t>
            </w:r>
          </w:p>
        </w:tc>
        <w:tc>
          <w:tcPr>
            <w:tcW w:w="460" w:type="dxa"/>
            <w:vAlign w:val="bottom"/>
            <w:tcBorders>
              <w:bottom w:val="single" w:sz="8" w:color="CFF0FC"/>
            </w:tcBorders>
            <w:gridSpan w:val="2"/>
            <w:shd w:val="clear" w:color="auto" w:fill="CFF0FC"/>
          </w:tcPr>
          <w:p>
            <w:pPr>
              <w:jc w:val="right"/>
              <w:ind w:right="88"/>
              <w:spacing w:after="0"/>
              <w:rPr>
                <w:sz w:val="20"/>
                <w:szCs w:val="20"/>
                <w:color w:val="auto"/>
              </w:rPr>
            </w:pPr>
            <w:r>
              <w:rPr>
                <w:rFonts w:ascii="Calibri" w:cs="Calibri" w:eastAsia="Calibri" w:hAnsi="Calibri"/>
                <w:sz w:val="14"/>
                <w:szCs w:val="14"/>
                <w:color w:val="auto"/>
              </w:rPr>
              <w:t>$</w:t>
            </w:r>
          </w:p>
        </w:tc>
        <w:tc>
          <w:tcPr>
            <w:tcW w:w="4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4"/>
                <w:szCs w:val="14"/>
                <w:color w:val="auto"/>
              </w:rPr>
              <w:t>(2 )</w:t>
            </w:r>
          </w:p>
        </w:tc>
        <w:tc>
          <w:tcPr>
            <w:tcW w:w="0" w:type="dxa"/>
            <w:vAlign w:val="bottom"/>
          </w:tcPr>
          <w:p>
            <w:pPr>
              <w:spacing w:after="0"/>
              <w:rPr>
                <w:sz w:val="1"/>
                <w:szCs w:val="1"/>
                <w:color w:val="auto"/>
              </w:rPr>
            </w:pPr>
          </w:p>
        </w:tc>
      </w:tr>
      <w:tr>
        <w:trPr>
          <w:trHeight w:val="170"/>
        </w:trPr>
        <w:tc>
          <w:tcPr>
            <w:tcW w:w="2320" w:type="dxa"/>
            <w:vAlign w:val="bottom"/>
          </w:tcPr>
          <w:p>
            <w:pPr>
              <w:ind w:left="20"/>
              <w:spacing w:after="0"/>
              <w:rPr>
                <w:sz w:val="20"/>
                <w:szCs w:val="20"/>
                <w:color w:val="auto"/>
              </w:rPr>
            </w:pPr>
            <w:r>
              <w:rPr>
                <w:rFonts w:ascii="Calibri" w:cs="Calibri" w:eastAsia="Calibri" w:hAnsi="Calibri"/>
                <w:sz w:val="14"/>
                <w:szCs w:val="14"/>
                <w:color w:val="auto"/>
              </w:rPr>
              <w:t>Prior service (credit) cost</w:t>
            </w:r>
          </w:p>
        </w:tc>
        <w:tc>
          <w:tcPr>
            <w:tcW w:w="4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Calibri" w:cs="Calibri" w:eastAsia="Calibri" w:hAnsi="Calibri"/>
                <w:sz w:val="14"/>
                <w:szCs w:val="14"/>
                <w:color w:val="auto"/>
                <w:w w:val="94"/>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300"/>
              <w:spacing w:after="0"/>
              <w:rPr>
                <w:sz w:val="20"/>
                <w:szCs w:val="20"/>
                <w:color w:val="auto"/>
              </w:rPr>
            </w:pPr>
            <w:r>
              <w:rPr>
                <w:rFonts w:ascii="Calibri" w:cs="Calibri" w:eastAsia="Calibri" w:hAnsi="Calibri"/>
                <w:sz w:val="14"/>
                <w:szCs w:val="14"/>
                <w:color w:val="auto"/>
                <w:w w:val="94"/>
              </w:rPr>
              <w: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400" w:type="dxa"/>
            <w:vAlign w:val="bottom"/>
          </w:tcPr>
          <w:p>
            <w:pPr>
              <w:ind w:left="260"/>
              <w:spacing w:after="0"/>
              <w:rPr>
                <w:sz w:val="20"/>
                <w:szCs w:val="20"/>
                <w:color w:val="auto"/>
              </w:rPr>
            </w:pPr>
            <w:r>
              <w:rPr>
                <w:rFonts w:ascii="Calibri" w:cs="Calibri" w:eastAsia="Calibri" w:hAnsi="Calibri"/>
                <w:sz w:val="14"/>
                <w:szCs w:val="14"/>
                <w:color w:val="auto"/>
                <w:w w:val="94"/>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3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Amortzaton of prior</w:t>
            </w: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2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4"/>
                <w:szCs w:val="14"/>
                <w:color w:val="auto"/>
              </w:rPr>
              <w:t>unrecognized loss</w:t>
            </w:r>
          </w:p>
        </w:tc>
        <w:tc>
          <w:tcPr>
            <w:tcW w:w="4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4"/>
                <w:szCs w:val="14"/>
                <w:color w:val="auto"/>
                <w:w w:val="94"/>
              </w:rPr>
              <w:t>—</w:t>
            </w: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ind w:left="300"/>
              <w:spacing w:after="0"/>
              <w:rPr>
                <w:sz w:val="20"/>
                <w:szCs w:val="20"/>
                <w:color w:val="auto"/>
              </w:rPr>
            </w:pPr>
            <w:r>
              <w:rPr>
                <w:rFonts w:ascii="Calibri" w:cs="Calibri" w:eastAsia="Calibri" w:hAnsi="Calibri"/>
                <w:sz w:val="14"/>
                <w:szCs w:val="14"/>
                <w:color w:val="auto"/>
                <w:w w:val="94"/>
              </w:rPr>
              <w:t>—</w:t>
            </w:r>
          </w:p>
        </w:tc>
        <w:tc>
          <w:tcPr>
            <w:tcW w:w="2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(1 )</w:t>
            </w: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(3 )</w:t>
            </w:r>
          </w:p>
        </w:tc>
        <w:tc>
          <w:tcPr>
            <w:tcW w:w="10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w:t>
            </w: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ind w:left="260"/>
              <w:spacing w:after="0"/>
              <w:rPr>
                <w:sz w:val="20"/>
                <w:szCs w:val="20"/>
                <w:color w:val="auto"/>
              </w:rPr>
            </w:pPr>
            <w:r>
              <w:rPr>
                <w:rFonts w:ascii="Calibri" w:cs="Calibri" w:eastAsia="Calibri" w:hAnsi="Calibri"/>
                <w:sz w:val="14"/>
                <w:szCs w:val="14"/>
                <w:color w:val="auto"/>
                <w:w w:val="94"/>
              </w:rPr>
              <w:t>—</w:t>
            </w: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0"/>
        </w:trPr>
        <w:tc>
          <w:tcPr>
            <w:tcW w:w="2320" w:type="dxa"/>
            <w:vAlign w:val="bottom"/>
          </w:tcPr>
          <w:p>
            <w:pPr>
              <w:ind w:left="20"/>
              <w:spacing w:after="0"/>
              <w:rPr>
                <w:sz w:val="20"/>
                <w:szCs w:val="20"/>
                <w:color w:val="auto"/>
              </w:rPr>
            </w:pPr>
            <w:r>
              <w:rPr>
                <w:rFonts w:ascii="Calibri" w:cs="Calibri" w:eastAsia="Calibri" w:hAnsi="Calibri"/>
                <w:sz w:val="14"/>
                <w:szCs w:val="14"/>
                <w:color w:val="auto"/>
              </w:rPr>
              <w:t>Loss on divestture</w:t>
            </w:r>
          </w:p>
        </w:tc>
        <w:tc>
          <w:tcPr>
            <w:tcW w:w="4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Calibri" w:cs="Calibri" w:eastAsia="Calibri" w:hAnsi="Calibri"/>
                <w:sz w:val="14"/>
                <w:szCs w:val="14"/>
                <w:color w:val="auto"/>
                <w:w w:val="94"/>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300"/>
              <w:spacing w:after="0"/>
              <w:rPr>
                <w:sz w:val="20"/>
                <w:szCs w:val="20"/>
                <w:color w:val="auto"/>
              </w:rPr>
            </w:pPr>
            <w:r>
              <w:rPr>
                <w:rFonts w:ascii="Calibri" w:cs="Calibri" w:eastAsia="Calibri" w:hAnsi="Calibri"/>
                <w:sz w:val="14"/>
                <w:szCs w:val="14"/>
                <w:color w:val="auto"/>
                <w:w w:val="94"/>
              </w:rPr>
              <w: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(2 )</w:t>
            </w:r>
          </w:p>
        </w:tc>
        <w:tc>
          <w:tcPr>
            <w:tcW w:w="12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400" w:type="dxa"/>
            <w:vAlign w:val="bottom"/>
          </w:tcPr>
          <w:p>
            <w:pPr>
              <w:ind w:left="260"/>
              <w:spacing w:after="0"/>
              <w:rPr>
                <w:sz w:val="20"/>
                <w:szCs w:val="20"/>
                <w:color w:val="auto"/>
              </w:rPr>
            </w:pPr>
            <w:r>
              <w:rPr>
                <w:rFonts w:ascii="Calibri" w:cs="Calibri" w:eastAsia="Calibri" w:hAnsi="Calibri"/>
                <w:sz w:val="14"/>
                <w:szCs w:val="14"/>
                <w:color w:val="auto"/>
                <w:w w:val="94"/>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(Loss) gain on setlements</w:t>
            </w: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Calibri" w:cs="Calibri" w:eastAsia="Calibri" w:hAnsi="Calibri"/>
                <w:sz w:val="14"/>
                <w:szCs w:val="14"/>
                <w:color w:val="auto"/>
                <w:w w:val="94"/>
              </w:rPr>
              <w:t>—</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ind w:left="300"/>
              <w:spacing w:after="0"/>
              <w:rPr>
                <w:sz w:val="20"/>
                <w:szCs w:val="20"/>
                <w:color w:val="auto"/>
              </w:rPr>
            </w:pPr>
            <w:r>
              <w:rPr>
                <w:rFonts w:ascii="Calibri" w:cs="Calibri" w:eastAsia="Calibri" w:hAnsi="Calibri"/>
                <w:sz w:val="14"/>
                <w:szCs w:val="14"/>
                <w:color w:val="auto"/>
                <w:w w:val="94"/>
              </w:rPr>
              <w:t>—</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(4 )</w:t>
            </w:r>
          </w:p>
        </w:tc>
        <w:tc>
          <w:tcPr>
            <w:tcW w:w="1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(1 )</w:t>
            </w:r>
          </w:p>
        </w:tc>
        <w:tc>
          <w:tcPr>
            <w:tcW w:w="1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ind w:left="260"/>
              <w:spacing w:after="0"/>
              <w:rPr>
                <w:sz w:val="20"/>
                <w:szCs w:val="20"/>
                <w:color w:val="auto"/>
              </w:rPr>
            </w:pPr>
            <w:r>
              <w:rPr>
                <w:rFonts w:ascii="Calibri" w:cs="Calibri" w:eastAsia="Calibri" w:hAnsi="Calibri"/>
                <w:sz w:val="14"/>
                <w:szCs w:val="14"/>
                <w:color w:val="auto"/>
                <w:w w:val="94"/>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0"/>
        </w:trPr>
        <w:tc>
          <w:tcPr>
            <w:tcW w:w="2320" w:type="dxa"/>
            <w:vAlign w:val="bottom"/>
            <w:tcBorders>
              <w:top w:val="single" w:sz="8" w:color="CFF0FC"/>
            </w:tcBorders>
          </w:tcPr>
          <w:p>
            <w:pPr>
              <w:ind w:left="20"/>
              <w:spacing w:after="0"/>
              <w:rPr>
                <w:sz w:val="20"/>
                <w:szCs w:val="20"/>
                <w:color w:val="auto"/>
              </w:rPr>
            </w:pPr>
            <w:r>
              <w:rPr>
                <w:rFonts w:ascii="Calibri" w:cs="Calibri" w:eastAsia="Calibri" w:hAnsi="Calibri"/>
                <w:sz w:val="14"/>
                <w:szCs w:val="14"/>
                <w:color w:val="auto"/>
              </w:rPr>
              <w:t>Net changes recognized in</w:t>
            </w:r>
          </w:p>
        </w:tc>
        <w:tc>
          <w:tcPr>
            <w:tcW w:w="4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320" w:type="dxa"/>
            <w:vAlign w:val="bottom"/>
          </w:tcPr>
          <w:p>
            <w:pPr>
              <w:ind w:left="120"/>
              <w:spacing w:after="0" w:line="159" w:lineRule="exact"/>
              <w:rPr>
                <w:sz w:val="20"/>
                <w:szCs w:val="20"/>
                <w:color w:val="auto"/>
              </w:rPr>
            </w:pPr>
            <w:r>
              <w:rPr>
                <w:rFonts w:ascii="Calibri" w:cs="Calibri" w:eastAsia="Calibri" w:hAnsi="Calibri"/>
                <w:sz w:val="14"/>
                <w:szCs w:val="14"/>
                <w:color w:val="auto"/>
              </w:rPr>
              <w:t>Total other comprehensive</w:t>
            </w:r>
          </w:p>
        </w:tc>
        <w:tc>
          <w:tcPr>
            <w:tcW w:w="400" w:type="dxa"/>
            <w:vAlign w:val="bottom"/>
            <w:vMerge w:val="restart"/>
          </w:tcPr>
          <w:p>
            <w:pPr>
              <w:jc w:val="right"/>
              <w:ind w:right="228"/>
              <w:spacing w:after="0"/>
              <w:rPr>
                <w:sz w:val="20"/>
                <w:szCs w:val="20"/>
                <w:color w:val="auto"/>
              </w:rPr>
            </w:pPr>
            <w:r>
              <w:rPr>
                <w:rFonts w:ascii="Calibri" w:cs="Calibri" w:eastAsia="Calibri" w:hAnsi="Calibri"/>
                <w:sz w:val="14"/>
                <w:szCs w:val="14"/>
                <w:color w:val="auto"/>
              </w:rPr>
              <w:t>$</w:t>
            </w:r>
          </w:p>
        </w:tc>
        <w:tc>
          <w:tcPr>
            <w:tcW w:w="140" w:type="dxa"/>
            <w:vAlign w:val="bottom"/>
            <w:vMerge w:val="restart"/>
          </w:tcPr>
          <w:p>
            <w:pPr>
              <w:spacing w:after="0"/>
              <w:rPr>
                <w:sz w:val="20"/>
                <w:szCs w:val="20"/>
                <w:color w:val="auto"/>
              </w:rPr>
            </w:pPr>
            <w:r>
              <w:rPr>
                <w:rFonts w:ascii="Calibri" w:cs="Calibri" w:eastAsia="Calibri" w:hAnsi="Calibri"/>
                <w:sz w:val="14"/>
                <w:szCs w:val="14"/>
                <w:color w:val="auto"/>
                <w:w w:val="94"/>
              </w:rPr>
              <w:t>—</w:t>
            </w:r>
          </w:p>
        </w:tc>
        <w:tc>
          <w:tcPr>
            <w:tcW w:w="500" w:type="dxa"/>
            <w:vAlign w:val="bottom"/>
            <w:gridSpan w:val="2"/>
            <w:vMerge w:val="restart"/>
          </w:tcPr>
          <w:p>
            <w:pPr>
              <w:jc w:val="right"/>
              <w:ind w:right="88"/>
              <w:spacing w:after="0"/>
              <w:rPr>
                <w:sz w:val="20"/>
                <w:szCs w:val="20"/>
                <w:color w:val="auto"/>
              </w:rPr>
            </w:pPr>
            <w:r>
              <w:rPr>
                <w:rFonts w:ascii="Calibri" w:cs="Calibri" w:eastAsia="Calibri" w:hAnsi="Calibri"/>
                <w:sz w:val="14"/>
                <w:szCs w:val="14"/>
                <w:color w:val="auto"/>
              </w:rPr>
              <w:t>$</w:t>
            </w:r>
          </w:p>
        </w:tc>
        <w:tc>
          <w:tcPr>
            <w:tcW w:w="300" w:type="dxa"/>
            <w:vAlign w:val="bottom"/>
            <w:vMerge w:val="restart"/>
          </w:tcPr>
          <w:p>
            <w:pPr>
              <w:jc w:val="right"/>
              <w:spacing w:after="0"/>
              <w:rPr>
                <w:sz w:val="20"/>
                <w:szCs w:val="20"/>
                <w:color w:val="auto"/>
              </w:rPr>
            </w:pPr>
            <w:r>
              <w:rPr>
                <w:rFonts w:ascii="Calibri" w:cs="Calibri" w:eastAsia="Calibri" w:hAnsi="Calibri"/>
                <w:sz w:val="14"/>
                <w:szCs w:val="14"/>
                <w:color w:val="auto"/>
              </w:rPr>
              <w:t>2</w:t>
            </w:r>
          </w:p>
        </w:tc>
        <w:tc>
          <w:tcPr>
            <w:tcW w:w="340" w:type="dxa"/>
            <w:vAlign w:val="bottom"/>
            <w:gridSpan w:val="2"/>
            <w:vMerge w:val="restart"/>
          </w:tcPr>
          <w:p>
            <w:pPr>
              <w:jc w:val="right"/>
              <w:ind w:right="20"/>
              <w:spacing w:after="0"/>
              <w:rPr>
                <w:sz w:val="20"/>
                <w:szCs w:val="20"/>
                <w:color w:val="auto"/>
              </w:rPr>
            </w:pPr>
            <w:r>
              <w:rPr>
                <w:rFonts w:ascii="Calibri" w:cs="Calibri" w:eastAsia="Calibri" w:hAnsi="Calibri"/>
                <w:sz w:val="14"/>
                <w:szCs w:val="14"/>
                <w:color w:val="auto"/>
              </w:rPr>
              <w:t>$</w:t>
            </w:r>
          </w:p>
        </w:tc>
        <w:tc>
          <w:tcPr>
            <w:tcW w:w="440" w:type="dxa"/>
            <w:vAlign w:val="bottom"/>
            <w:vMerge w:val="restart"/>
          </w:tcPr>
          <w:p>
            <w:pPr>
              <w:ind w:left="300"/>
              <w:spacing w:after="0"/>
              <w:rPr>
                <w:sz w:val="20"/>
                <w:szCs w:val="20"/>
                <w:color w:val="auto"/>
              </w:rPr>
            </w:pPr>
            <w:r>
              <w:rPr>
                <w:rFonts w:ascii="Calibri" w:cs="Calibri" w:eastAsia="Calibri" w:hAnsi="Calibri"/>
                <w:sz w:val="14"/>
                <w:szCs w:val="14"/>
                <w:color w:val="auto"/>
                <w:w w:val="94"/>
              </w:rPr>
              <w:t>—</w:t>
            </w:r>
          </w:p>
        </w:tc>
        <w:tc>
          <w:tcPr>
            <w:tcW w:w="600" w:type="dxa"/>
            <w:vAlign w:val="bottom"/>
            <w:gridSpan w:val="2"/>
            <w:vMerge w:val="restart"/>
          </w:tcPr>
          <w:p>
            <w:pPr>
              <w:jc w:val="right"/>
              <w:ind w:right="208"/>
              <w:spacing w:after="0"/>
              <w:rPr>
                <w:sz w:val="20"/>
                <w:szCs w:val="20"/>
                <w:color w:val="auto"/>
              </w:rPr>
            </w:pPr>
            <w:r>
              <w:rPr>
                <w:rFonts w:ascii="Calibri" w:cs="Calibri" w:eastAsia="Calibri" w:hAnsi="Calibri"/>
                <w:sz w:val="14"/>
                <w:szCs w:val="14"/>
                <w:color w:val="auto"/>
              </w:rPr>
              <w:t>$</w:t>
            </w:r>
          </w:p>
        </w:tc>
        <w:tc>
          <w:tcPr>
            <w:tcW w:w="420" w:type="dxa"/>
            <w:vAlign w:val="bottom"/>
            <w:gridSpan w:val="2"/>
            <w:vMerge w:val="restart"/>
          </w:tcPr>
          <w:p>
            <w:pPr>
              <w:jc w:val="right"/>
              <w:ind w:right="180"/>
              <w:spacing w:after="0"/>
              <w:rPr>
                <w:sz w:val="20"/>
                <w:szCs w:val="20"/>
                <w:color w:val="auto"/>
              </w:rPr>
            </w:pPr>
            <w:r>
              <w:rPr>
                <w:rFonts w:ascii="Calibri" w:cs="Calibri" w:eastAsia="Calibri" w:hAnsi="Calibri"/>
                <w:sz w:val="14"/>
                <w:szCs w:val="14"/>
                <w:color w:val="auto"/>
              </w:rPr>
              <w:t>(5 )</w:t>
            </w:r>
          </w:p>
        </w:tc>
        <w:tc>
          <w:tcPr>
            <w:tcW w:w="120" w:type="dxa"/>
            <w:vAlign w:val="bottom"/>
            <w:vMerge w:val="restart"/>
          </w:tcPr>
          <w:p>
            <w:pPr>
              <w:jc w:val="right"/>
              <w:spacing w:after="0"/>
              <w:rPr>
                <w:sz w:val="20"/>
                <w:szCs w:val="20"/>
                <w:color w:val="auto"/>
              </w:rPr>
            </w:pPr>
            <w:r>
              <w:rPr>
                <w:rFonts w:ascii="Calibri" w:cs="Calibri" w:eastAsia="Calibri" w:hAnsi="Calibri"/>
                <w:sz w:val="14"/>
                <w:szCs w:val="14"/>
                <w:color w:val="auto"/>
                <w:w w:val="83"/>
              </w:rPr>
              <w:t>$</w:t>
            </w:r>
          </w:p>
        </w:tc>
        <w:tc>
          <w:tcPr>
            <w:tcW w:w="620" w:type="dxa"/>
            <w:vAlign w:val="bottom"/>
            <w:gridSpan w:val="2"/>
            <w:vMerge w:val="restart"/>
          </w:tcPr>
          <w:p>
            <w:pPr>
              <w:jc w:val="right"/>
              <w:ind w:right="160"/>
              <w:spacing w:after="0"/>
              <w:rPr>
                <w:sz w:val="20"/>
                <w:szCs w:val="20"/>
                <w:color w:val="auto"/>
              </w:rPr>
            </w:pPr>
            <w:r>
              <w:rPr>
                <w:rFonts w:ascii="Calibri" w:cs="Calibri" w:eastAsia="Calibri" w:hAnsi="Calibri"/>
                <w:sz w:val="14"/>
                <w:szCs w:val="14"/>
                <w:color w:val="auto"/>
              </w:rPr>
              <w:t>(6 )</w:t>
            </w:r>
          </w:p>
        </w:tc>
        <w:tc>
          <w:tcPr>
            <w:tcW w:w="14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600" w:type="dxa"/>
            <w:vAlign w:val="bottom"/>
            <w:gridSpan w:val="2"/>
            <w:vMerge w:val="restart"/>
          </w:tcPr>
          <w:p>
            <w:pPr>
              <w:jc w:val="right"/>
              <w:ind w:right="160"/>
              <w:spacing w:after="0"/>
              <w:rPr>
                <w:sz w:val="20"/>
                <w:szCs w:val="20"/>
                <w:color w:val="auto"/>
              </w:rPr>
            </w:pPr>
            <w:r>
              <w:rPr>
                <w:rFonts w:ascii="Calibri" w:cs="Calibri" w:eastAsia="Calibri" w:hAnsi="Calibri"/>
                <w:sz w:val="14"/>
                <w:szCs w:val="14"/>
                <w:color w:val="auto"/>
              </w:rPr>
              <w:t>(20 )</w:t>
            </w:r>
          </w:p>
        </w:tc>
        <w:tc>
          <w:tcPr>
            <w:tcW w:w="100" w:type="dxa"/>
            <w:vAlign w:val="bottom"/>
            <w:vMerge w:val="restart"/>
          </w:tcPr>
          <w:p>
            <w:pPr>
              <w:jc w:val="right"/>
              <w:spacing w:after="0"/>
              <w:rPr>
                <w:sz w:val="20"/>
                <w:szCs w:val="20"/>
                <w:color w:val="auto"/>
              </w:rPr>
            </w:pPr>
            <w:r>
              <w:rPr>
                <w:rFonts w:ascii="Calibri" w:cs="Calibri" w:eastAsia="Calibri" w:hAnsi="Calibri"/>
                <w:sz w:val="14"/>
                <w:szCs w:val="14"/>
                <w:color w:val="auto"/>
                <w:w w:val="83"/>
              </w:rPr>
              <w:t>$</w:t>
            </w:r>
          </w:p>
        </w:tc>
        <w:tc>
          <w:tcPr>
            <w:tcW w:w="62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240" w:type="dxa"/>
            <w:vAlign w:val="bottom"/>
            <w:vMerge w:val="restart"/>
          </w:tcPr>
          <w:p>
            <w:pPr>
              <w:jc w:val="right"/>
              <w:ind w:right="88"/>
              <w:spacing w:after="0"/>
              <w:rPr>
                <w:sz w:val="20"/>
                <w:szCs w:val="20"/>
                <w:color w:val="auto"/>
              </w:rPr>
            </w:pPr>
            <w:r>
              <w:rPr>
                <w:rFonts w:ascii="Calibri" w:cs="Calibri" w:eastAsia="Calibri" w:hAnsi="Calibri"/>
                <w:sz w:val="14"/>
                <w:szCs w:val="14"/>
                <w:color w:val="auto"/>
                <w:w w:val="83"/>
              </w:rPr>
              <w:t>$</w:t>
            </w:r>
          </w:p>
        </w:tc>
        <w:tc>
          <w:tcPr>
            <w:tcW w:w="380" w:type="dxa"/>
            <w:vAlign w:val="bottom"/>
            <w:gridSpan w:val="2"/>
            <w:vMerge w:val="restart"/>
          </w:tcPr>
          <w:p>
            <w:pPr>
              <w:jc w:val="right"/>
              <w:ind w:right="40"/>
              <w:spacing w:after="0"/>
              <w:rPr>
                <w:sz w:val="20"/>
                <w:szCs w:val="20"/>
                <w:color w:val="auto"/>
              </w:rPr>
            </w:pPr>
            <w:r>
              <w:rPr>
                <w:rFonts w:ascii="Calibri" w:cs="Calibri" w:eastAsia="Calibri" w:hAnsi="Calibri"/>
                <w:sz w:val="14"/>
                <w:szCs w:val="14"/>
                <w:color w:val="auto"/>
              </w:rPr>
              <w:t>(3 )</w:t>
            </w:r>
          </w:p>
        </w:tc>
        <w:tc>
          <w:tcPr>
            <w:tcW w:w="220" w:type="dxa"/>
            <w:vAlign w:val="bottom"/>
            <w:gridSpan w:val="2"/>
            <w:vMerge w:val="restart"/>
          </w:tcPr>
          <w:p>
            <w:pPr>
              <w:ind w:left="120"/>
              <w:spacing w:after="0"/>
              <w:rPr>
                <w:sz w:val="20"/>
                <w:szCs w:val="20"/>
                <w:color w:val="auto"/>
              </w:rPr>
            </w:pPr>
            <w:r>
              <w:rPr>
                <w:rFonts w:ascii="Calibri" w:cs="Calibri" w:eastAsia="Calibri" w:hAnsi="Calibri"/>
                <w:sz w:val="14"/>
                <w:szCs w:val="14"/>
                <w:color w:val="auto"/>
              </w:rPr>
              <w:t>$</w:t>
            </w:r>
          </w:p>
        </w:tc>
        <w:tc>
          <w:tcPr>
            <w:tcW w:w="620" w:type="dxa"/>
            <w:vAlign w:val="bottom"/>
            <w:gridSpan w:val="2"/>
            <w:vMerge w:val="restart"/>
          </w:tcPr>
          <w:p>
            <w:pPr>
              <w:jc w:val="right"/>
              <w:ind w:right="160"/>
              <w:spacing w:after="0"/>
              <w:rPr>
                <w:sz w:val="20"/>
                <w:szCs w:val="20"/>
                <w:color w:val="auto"/>
              </w:rPr>
            </w:pPr>
            <w:r>
              <w:rPr>
                <w:rFonts w:ascii="Calibri" w:cs="Calibri" w:eastAsia="Calibri" w:hAnsi="Calibri"/>
                <w:sz w:val="14"/>
                <w:szCs w:val="14"/>
                <w:color w:val="auto"/>
              </w:rPr>
              <w:t>(3 )</w:t>
            </w:r>
          </w:p>
        </w:tc>
        <w:tc>
          <w:tcPr>
            <w:tcW w:w="220" w:type="dxa"/>
            <w:vAlign w:val="bottom"/>
            <w:vMerge w:val="restart"/>
          </w:tcPr>
          <w:p>
            <w:pPr>
              <w:jc w:val="right"/>
              <w:ind w:right="68"/>
              <w:spacing w:after="0"/>
              <w:rPr>
                <w:sz w:val="20"/>
                <w:szCs w:val="20"/>
                <w:color w:val="auto"/>
              </w:rPr>
            </w:pPr>
            <w:r>
              <w:rPr>
                <w:rFonts w:ascii="Calibri" w:cs="Calibri" w:eastAsia="Calibri" w:hAnsi="Calibri"/>
                <w:sz w:val="14"/>
                <w:szCs w:val="14"/>
                <w:color w:val="auto"/>
                <w:w w:val="83"/>
              </w:rPr>
              <w:t>$</w:t>
            </w:r>
          </w:p>
        </w:tc>
        <w:tc>
          <w:tcPr>
            <w:tcW w:w="500" w:type="dxa"/>
            <w:vAlign w:val="bottom"/>
            <w:gridSpan w:val="2"/>
            <w:vMerge w:val="restart"/>
          </w:tcPr>
          <w:p>
            <w:pPr>
              <w:jc w:val="right"/>
              <w:ind w:right="140"/>
              <w:spacing w:after="0"/>
              <w:rPr>
                <w:sz w:val="20"/>
                <w:szCs w:val="20"/>
                <w:color w:val="auto"/>
              </w:rPr>
            </w:pPr>
            <w:r>
              <w:rPr>
                <w:rFonts w:ascii="Calibri" w:cs="Calibri" w:eastAsia="Calibri" w:hAnsi="Calibri"/>
                <w:sz w:val="14"/>
                <w:szCs w:val="14"/>
                <w:color w:val="auto"/>
              </w:rPr>
              <w:t>(4 )</w:t>
            </w:r>
          </w:p>
        </w:tc>
        <w:tc>
          <w:tcPr>
            <w:tcW w:w="12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vMerge w:val="restart"/>
          </w:tcPr>
          <w:p>
            <w:pPr>
              <w:ind w:left="260"/>
              <w:spacing w:after="0"/>
              <w:rPr>
                <w:sz w:val="20"/>
                <w:szCs w:val="20"/>
                <w:color w:val="auto"/>
              </w:rPr>
            </w:pPr>
            <w:r>
              <w:rPr>
                <w:rFonts w:ascii="Calibri" w:cs="Calibri" w:eastAsia="Calibri" w:hAnsi="Calibri"/>
                <w:sz w:val="14"/>
                <w:szCs w:val="14"/>
                <w:color w:val="auto"/>
                <w:w w:val="94"/>
              </w:rPr>
              <w:t>—</w:t>
            </w:r>
          </w:p>
        </w:tc>
        <w:tc>
          <w:tcPr>
            <w:tcW w:w="460" w:type="dxa"/>
            <w:vAlign w:val="bottom"/>
            <w:gridSpan w:val="2"/>
            <w:vMerge w:val="restart"/>
          </w:tcPr>
          <w:p>
            <w:pPr>
              <w:jc w:val="right"/>
              <w:ind w:right="88"/>
              <w:spacing w:after="0"/>
              <w:rPr>
                <w:sz w:val="20"/>
                <w:szCs w:val="20"/>
                <w:color w:val="auto"/>
              </w:rPr>
            </w:pPr>
            <w:r>
              <w:rPr>
                <w:rFonts w:ascii="Calibri" w:cs="Calibri" w:eastAsia="Calibri" w:hAnsi="Calibri"/>
                <w:sz w:val="14"/>
                <w:szCs w:val="14"/>
                <w:color w:val="auto"/>
              </w:rPr>
              <w:t>$</w:t>
            </w:r>
          </w:p>
        </w:tc>
        <w:tc>
          <w:tcPr>
            <w:tcW w:w="420" w:type="dxa"/>
            <w:vAlign w:val="bottom"/>
            <w:gridSpan w:val="2"/>
            <w:vMerge w:val="restart"/>
          </w:tcPr>
          <w:p>
            <w:pPr>
              <w:jc w:val="right"/>
              <w:ind w:right="60"/>
              <w:spacing w:after="0"/>
              <w:rPr>
                <w:sz w:val="20"/>
                <w:szCs w:val="20"/>
                <w:color w:val="auto"/>
              </w:rPr>
            </w:pPr>
            <w:r>
              <w:rPr>
                <w:rFonts w:ascii="Calibri" w:cs="Calibri" w:eastAsia="Calibri" w:hAnsi="Calibri"/>
                <w:sz w:val="14"/>
                <w:szCs w:val="14"/>
                <w:color w:val="auto"/>
              </w:rPr>
              <w:t>(2 )</w:t>
            </w:r>
          </w:p>
        </w:tc>
        <w:tc>
          <w:tcPr>
            <w:tcW w:w="0" w:type="dxa"/>
            <w:vAlign w:val="bottom"/>
          </w:tcPr>
          <w:p>
            <w:pPr>
              <w:spacing w:after="0"/>
              <w:rPr>
                <w:sz w:val="1"/>
                <w:szCs w:val="1"/>
                <w:color w:val="auto"/>
              </w:rPr>
            </w:pPr>
          </w:p>
        </w:tc>
      </w:tr>
      <w:tr>
        <w:trPr>
          <w:trHeight w:val="185"/>
        </w:trPr>
        <w:tc>
          <w:tcPr>
            <w:tcW w:w="2320" w:type="dxa"/>
            <w:vAlign w:val="bottom"/>
          </w:tcPr>
          <w:p>
            <w:pPr>
              <w:ind w:left="120"/>
              <w:spacing w:after="0" w:line="185" w:lineRule="exact"/>
              <w:rPr>
                <w:sz w:val="20"/>
                <w:szCs w:val="20"/>
                <w:color w:val="auto"/>
              </w:rPr>
            </w:pPr>
            <w:r>
              <w:rPr>
                <w:rFonts w:ascii="Calibri" w:cs="Calibri" w:eastAsia="Calibri" w:hAnsi="Calibri"/>
                <w:sz w:val="14"/>
                <w:szCs w:val="14"/>
                <w:color w:val="auto"/>
              </w:rPr>
              <w:t xml:space="preserve">(income) loss </w:t>
            </w:r>
            <w:r>
              <w:rPr>
                <w:rFonts w:ascii="Calibri" w:cs="Calibri" w:eastAsia="Calibri" w:hAnsi="Calibri"/>
                <w:sz w:val="19"/>
                <w:szCs w:val="19"/>
                <w:color w:val="auto"/>
                <w:vertAlign w:val="superscript"/>
              </w:rPr>
              <w:t>(1)</w:t>
            </w:r>
          </w:p>
        </w:tc>
        <w:tc>
          <w:tcPr>
            <w:tcW w:w="4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-359410</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-359410</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-359410</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-359410</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-359410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-359410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-359410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-359410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-359410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-359410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-359410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540" w:right="120" w:hanging="532"/>
        <w:spacing w:after="0" w:line="201" w:lineRule="auto"/>
        <w:tabs>
          <w:tab w:leader="none" w:pos="540" w:val="left"/>
        </w:tabs>
        <w:numPr>
          <w:ilvl w:val="0"/>
          <w:numId w:val="20"/>
        </w:numPr>
        <w:rPr>
          <w:rFonts w:ascii="Calibri" w:cs="Calibri" w:eastAsia="Calibri" w:hAnsi="Calibri"/>
          <w:sz w:val="24"/>
          <w:szCs w:val="24"/>
          <w:color w:val="auto"/>
          <w:vertAlign w:val="superscript"/>
        </w:rPr>
      </w:pPr>
      <w:r>
        <w:rPr>
          <w:rFonts w:ascii="Calibri" w:cs="Calibri" w:eastAsia="Calibri" w:hAnsi="Calibri"/>
          <w:sz w:val="18"/>
          <w:szCs w:val="18"/>
          <w:color w:val="auto"/>
        </w:rPr>
        <w:t>The tax impact on pension and other postretrement beneft liability adjustments arising during the period was a tax provision of less than $1 million, a tax beneft of $3 million and a tax beneft of $8 million for fscal 2023, 2022 and 2021, respectvely.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1912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9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0" w:name="page61"/>
    <w:bookmarkEnd w:id="60"/>
    <w:p>
      <w:pPr>
        <w:ind w:left="280"/>
        <w:spacing w:after="0"/>
        <w:rPr>
          <w:sz w:val="20"/>
          <w:szCs w:val="20"/>
          <w:color w:val="auto"/>
        </w:rPr>
      </w:pPr>
      <w:r>
        <w:rPr>
          <w:rFonts w:ascii="Calibri" w:cs="Calibri" w:eastAsia="Calibri" w:hAnsi="Calibri"/>
          <w:sz w:val="18"/>
          <w:szCs w:val="18"/>
          <w:b w:val="1"/>
          <w:bCs w:val="1"/>
          <w:i w:val="1"/>
          <w:iCs w:val="1"/>
          <w:color w:val="auto"/>
        </w:rPr>
        <w:t>U.K. Plans Terminaton</w:t>
      </w:r>
    </w:p>
    <w:p>
      <w:pPr>
        <w:spacing w:after="0" w:line="82" w:lineRule="exact"/>
        <w:rPr>
          <w:sz w:val="20"/>
          <w:szCs w:val="20"/>
          <w:color w:val="auto"/>
        </w:rPr>
      </w:pPr>
    </w:p>
    <w:p>
      <w:pPr>
        <w:ind w:right="220" w:firstLine="281"/>
        <w:spacing w:after="0" w:line="235" w:lineRule="auto"/>
        <w:rPr>
          <w:sz w:val="20"/>
          <w:szCs w:val="20"/>
          <w:color w:val="auto"/>
        </w:rPr>
      </w:pPr>
      <w:r>
        <w:rPr>
          <w:rFonts w:ascii="Calibri" w:cs="Calibri" w:eastAsia="Calibri" w:hAnsi="Calibri"/>
          <w:sz w:val="18"/>
          <w:szCs w:val="18"/>
          <w:color w:val="auto"/>
        </w:rPr>
        <w:t>In fscal 2023, the Company commenced the plan terminaton process for the Cabot Carbon Limited Pension Plan and Carbon Plastcs Pension Plan and expects to complete the transacton in fscal 2024.</w:t>
      </w:r>
    </w:p>
    <w:p>
      <w:pPr>
        <w:spacing w:after="0" w:line="78" w:lineRule="exact"/>
        <w:rPr>
          <w:sz w:val="20"/>
          <w:szCs w:val="20"/>
          <w:color w:val="auto"/>
        </w:rPr>
      </w:pPr>
    </w:p>
    <w:p>
      <w:pPr>
        <w:ind w:left="320"/>
        <w:spacing w:after="0"/>
        <w:rPr>
          <w:sz w:val="20"/>
          <w:szCs w:val="20"/>
          <w:color w:val="auto"/>
        </w:rPr>
      </w:pPr>
      <w:r>
        <w:rPr>
          <w:rFonts w:ascii="Calibri" w:cs="Calibri" w:eastAsia="Calibri" w:hAnsi="Calibri"/>
          <w:sz w:val="18"/>
          <w:szCs w:val="18"/>
          <w:b w:val="1"/>
          <w:bCs w:val="1"/>
          <w:i w:val="1"/>
          <w:iCs w:val="1"/>
          <w:color w:val="auto"/>
        </w:rPr>
        <w:t>Plan Assets</w:t>
      </w:r>
    </w:p>
    <w:p>
      <w:pPr>
        <w:spacing w:after="0" w:line="82"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The Company’s foreign defned beneft pension plans weighted-average asset allocatons at September 30, 2023 and 2022 by asset category, are as follows:</w:t>
      </w:r>
    </w:p>
    <w:p>
      <w:pPr>
        <w:sectPr>
          <w:pgSz w:w="11900" w:h="16838" w:orient="portrait"/>
          <w:cols w:equalWidth="0" w:num="1">
            <w:col w:w="11220"/>
          </w:cols>
          <w:pgMar w:left="320" w:top="409" w:right="35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Equity securites</w:t>
      </w:r>
    </w:p>
    <w:p>
      <w:pPr>
        <w:spacing w:after="0" w:line="23"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Debt securites</w:t>
      </w:r>
    </w:p>
    <w:p>
      <w:pPr>
        <w:spacing w:after="0" w:line="23"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Real estate</w:t>
      </w:r>
    </w:p>
    <w:p>
      <w:pPr>
        <w:spacing w:after="0" w:line="16" w:lineRule="exact"/>
        <w:rPr>
          <w:sz w:val="20"/>
          <w:szCs w:val="20"/>
          <w:color w:val="auto"/>
        </w:rPr>
      </w:pPr>
    </w:p>
    <w:p>
      <w:pPr>
        <w:ind w:left="580"/>
        <w:spacing w:after="0"/>
        <w:rPr>
          <w:sz w:val="20"/>
          <w:szCs w:val="20"/>
          <w:color w:val="auto"/>
        </w:rPr>
      </w:pPr>
      <w:r>
        <w:rPr>
          <w:rFonts w:ascii="Calibri" w:cs="Calibri" w:eastAsia="Calibri" w:hAnsi="Calibri"/>
          <w:sz w:val="17"/>
          <w:szCs w:val="17"/>
          <w:color w:val="auto"/>
        </w:rPr>
        <w:t xml:space="preserve">Cash and other securites </w:t>
      </w:r>
      <w:r>
        <w:rPr>
          <w:rFonts w:ascii="Calibri" w:cs="Calibri" w:eastAsia="Calibri" w:hAnsi="Calibri"/>
          <w:sz w:val="23"/>
          <w:szCs w:val="23"/>
          <w:color w:val="auto"/>
          <w:vertAlign w:val="superscript"/>
        </w:rPr>
        <w:t>(1)</w:t>
      </w:r>
    </w:p>
    <w:p>
      <w:pPr>
        <w:spacing w:after="0" w:line="23"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Total</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580"/>
        <w:spacing w:after="0"/>
        <w:rPr>
          <w:sz w:val="20"/>
          <w:szCs w:val="20"/>
          <w:color w:val="auto"/>
        </w:rPr>
      </w:pPr>
      <w:r>
        <w:rPr>
          <w:rFonts w:ascii="Calibri" w:cs="Calibri" w:eastAsia="Calibri" w:hAnsi="Calibri"/>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20955</wp:posOffset>
            </wp:positionV>
            <wp:extent cx="194564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25" w:lineRule="exact"/>
        <w:rPr>
          <w:sz w:val="20"/>
          <w:szCs w:val="20"/>
          <w:color w:val="auto"/>
        </w:rPr>
      </w:pPr>
    </w:p>
    <w:p>
      <w:pPr>
        <w:spacing w:after="0"/>
        <w:tabs>
          <w:tab w:leader="none" w:pos="1640" w:val="left"/>
        </w:tabs>
        <w:rPr>
          <w:sz w:val="20"/>
          <w:szCs w:val="20"/>
          <w:color w:val="auto"/>
        </w:rPr>
      </w:pPr>
      <w:r>
        <w:rPr>
          <w:rFonts w:ascii="Calibri" w:cs="Calibri" w:eastAsia="Calibri" w:hAnsi="Calibri"/>
          <w:sz w:val="14"/>
          <w:szCs w:val="14"/>
          <w:b w:val="1"/>
          <w:bCs w:val="1"/>
          <w:color w:val="auto"/>
        </w:rPr>
        <w:t>2023</w:t>
      </w:r>
      <w:r>
        <w:rPr>
          <w:sz w:val="20"/>
          <w:szCs w:val="20"/>
          <w:color w:val="auto"/>
        </w:rPr>
        <w:tab/>
      </w:r>
      <w:r>
        <w:rPr>
          <w:rFonts w:ascii="Calibri" w:cs="Calibri" w:eastAsia="Calibri" w:hAnsi="Calibri"/>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20955</wp:posOffset>
            </wp:positionV>
            <wp:extent cx="194564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3" w:lineRule="exact"/>
        <w:rPr>
          <w:sz w:val="20"/>
          <w:szCs w:val="20"/>
          <w:color w:val="auto"/>
        </w:rPr>
      </w:pPr>
    </w:p>
    <w:p>
      <w:pPr>
        <w:jc w:val="right"/>
        <w:ind w:right="500"/>
        <w:spacing w:after="0"/>
        <w:tabs>
          <w:tab w:leader="none" w:pos="320" w:val="left"/>
        </w:tabs>
        <w:rPr>
          <w:sz w:val="20"/>
          <w:szCs w:val="20"/>
          <w:color w:val="auto"/>
        </w:rPr>
      </w:pPr>
      <w:r>
        <w:rPr>
          <w:rFonts w:ascii="Calibri" w:cs="Calibri" w:eastAsia="Calibri" w:hAnsi="Calibri"/>
          <w:sz w:val="18"/>
          <w:szCs w:val="18"/>
          <w:color w:val="auto"/>
        </w:rPr>
        <w:t>19 %</w:t>
      </w:r>
      <w:r>
        <w:rPr>
          <w:sz w:val="20"/>
          <w:szCs w:val="20"/>
          <w:color w:val="auto"/>
        </w:rPr>
        <w:tab/>
      </w:r>
      <w:r>
        <w:rPr>
          <w:rFonts w:ascii="Calibri" w:cs="Calibri" w:eastAsia="Calibri" w:hAnsi="Calibri"/>
          <w:sz w:val="17"/>
          <w:szCs w:val="17"/>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-130175</wp:posOffset>
            </wp:positionV>
            <wp:extent cx="6412230" cy="1543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 w:lineRule="exact"/>
        <w:rPr>
          <w:sz w:val="20"/>
          <w:szCs w:val="20"/>
          <w:color w:val="auto"/>
        </w:rPr>
      </w:pPr>
    </w:p>
    <w:p>
      <w:pPr>
        <w:jc w:val="right"/>
        <w:ind w:right="500"/>
        <w:spacing w:after="0"/>
        <w:tabs>
          <w:tab w:leader="none" w:pos="320" w:val="left"/>
        </w:tabs>
        <w:rPr>
          <w:sz w:val="20"/>
          <w:szCs w:val="20"/>
          <w:color w:val="auto"/>
        </w:rPr>
      </w:pPr>
      <w:r>
        <w:rPr>
          <w:rFonts w:ascii="Calibri" w:cs="Calibri" w:eastAsia="Calibri" w:hAnsi="Calibri"/>
          <w:sz w:val="18"/>
          <w:szCs w:val="18"/>
          <w:color w:val="auto"/>
        </w:rPr>
        <w:t>31 %</w:t>
      </w:r>
      <w:r>
        <w:rPr>
          <w:sz w:val="20"/>
          <w:szCs w:val="20"/>
          <w:color w:val="auto"/>
        </w:rPr>
        <w:tab/>
      </w:r>
      <w:r>
        <w:rPr>
          <w:rFonts w:ascii="Calibri" w:cs="Calibri" w:eastAsia="Calibri" w:hAnsi="Calibri"/>
          <w:sz w:val="17"/>
          <w:szCs w:val="17"/>
          <w:color w:val="auto"/>
        </w:rPr>
        <w:t>68 %</w:t>
      </w:r>
    </w:p>
    <w:p>
      <w:pPr>
        <w:spacing w:after="0" w:line="23" w:lineRule="exact"/>
        <w:rPr>
          <w:sz w:val="20"/>
          <w:szCs w:val="20"/>
          <w:color w:val="auto"/>
        </w:rPr>
      </w:pPr>
    </w:p>
    <w:p>
      <w:pPr>
        <w:jc w:val="right"/>
        <w:ind w:right="500"/>
        <w:spacing w:after="0"/>
        <w:tabs>
          <w:tab w:leader="none" w:pos="220" w:val="left"/>
        </w:tabs>
        <w:rPr>
          <w:sz w:val="20"/>
          <w:szCs w:val="20"/>
          <w:color w:val="auto"/>
        </w:rPr>
      </w:pPr>
      <w:r>
        <w:rPr>
          <w:rFonts w:ascii="Calibri" w:cs="Calibri" w:eastAsia="Calibri" w:hAnsi="Calibri"/>
          <w:sz w:val="18"/>
          <w:szCs w:val="18"/>
          <w:color w:val="auto"/>
        </w:rPr>
        <w:t>10 %</w:t>
      </w:r>
      <w:r>
        <w:rPr>
          <w:sz w:val="20"/>
          <w:szCs w:val="20"/>
          <w:color w:val="auto"/>
        </w:rPr>
        <w:tab/>
      </w:r>
      <w:r>
        <w:rPr>
          <w:rFonts w:ascii="Calibri" w:cs="Calibri" w:eastAsia="Calibri" w:hAnsi="Calibri"/>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-130175</wp:posOffset>
            </wp:positionV>
            <wp:extent cx="6412230" cy="1543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 w:lineRule="exact"/>
        <w:rPr>
          <w:sz w:val="20"/>
          <w:szCs w:val="20"/>
          <w:color w:val="auto"/>
        </w:rPr>
      </w:pPr>
    </w:p>
    <w:p>
      <w:pPr>
        <w:jc w:val="right"/>
        <w:ind w:right="500"/>
        <w:spacing w:after="0"/>
        <w:tabs>
          <w:tab w:leader="none" w:pos="220" w:val="left"/>
        </w:tabs>
        <w:rPr>
          <w:sz w:val="20"/>
          <w:szCs w:val="20"/>
          <w:color w:val="auto"/>
        </w:rPr>
      </w:pPr>
      <w:r>
        <w:rPr>
          <w:rFonts w:ascii="Calibri" w:cs="Calibri" w:eastAsia="Calibri" w:hAnsi="Calibri"/>
          <w:sz w:val="18"/>
          <w:szCs w:val="18"/>
          <w:color w:val="auto"/>
        </w:rPr>
        <w:t>40 %</w:t>
      </w:r>
      <w:r>
        <w:rPr>
          <w:sz w:val="20"/>
          <w:szCs w:val="20"/>
          <w:color w:val="auto"/>
        </w:rPr>
        <w:tab/>
      </w:r>
      <w:r>
        <w:rPr>
          <w:rFonts w:ascii="Calibri" w:cs="Calibri" w:eastAsia="Calibri" w:hAnsi="Calibri"/>
          <w:sz w:val="16"/>
          <w:szCs w:val="16"/>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23495</wp:posOffset>
            </wp:positionV>
            <wp:extent cx="194564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7" w:lineRule="exact"/>
        <w:rPr>
          <w:sz w:val="20"/>
          <w:szCs w:val="20"/>
          <w:color w:val="auto"/>
        </w:rPr>
      </w:pPr>
    </w:p>
    <w:p>
      <w:pPr>
        <w:jc w:val="right"/>
        <w:ind w:right="500"/>
        <w:spacing w:after="0"/>
        <w:tabs>
          <w:tab w:leader="none" w:pos="400" w:val="left"/>
        </w:tabs>
        <w:rPr>
          <w:sz w:val="20"/>
          <w:szCs w:val="20"/>
          <w:color w:val="auto"/>
        </w:rPr>
      </w:pPr>
      <w:r>
        <w:rPr>
          <w:rFonts w:ascii="Calibri" w:cs="Calibri" w:eastAsia="Calibri" w:hAnsi="Calibri"/>
          <w:sz w:val="18"/>
          <w:szCs w:val="18"/>
          <w:color w:val="auto"/>
        </w:rPr>
        <w:t>100 %</w:t>
      </w:r>
      <w:r>
        <w:rPr>
          <w:sz w:val="20"/>
          <w:szCs w:val="20"/>
          <w:color w:val="auto"/>
        </w:rPr>
        <w:tab/>
      </w:r>
      <w:r>
        <w:rPr>
          <w:rFonts w:ascii="Calibri" w:cs="Calibri" w:eastAsia="Calibri" w:hAnsi="Calibri"/>
          <w:sz w:val="17"/>
          <w:szCs w:val="17"/>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-130175</wp:posOffset>
            </wp:positionV>
            <wp:extent cx="6412230" cy="1803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412230" cy="18034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7320" w:space="720"/>
            <w:col w:w="3180"/>
          </w:cols>
          <w:pgMar w:left="320" w:top="409" w:right="359" w:bottom="1440" w:gutter="0" w:footer="0" w:header="0"/>
          <w:type w:val="continuous"/>
        </w:sectPr>
      </w:pPr>
    </w:p>
    <w:p>
      <w:pPr>
        <w:spacing w:after="0" w:line="58" w:lineRule="exact"/>
        <w:rPr>
          <w:sz w:val="20"/>
          <w:szCs w:val="20"/>
          <w:color w:val="auto"/>
        </w:rPr>
      </w:pPr>
    </w:p>
    <w:p>
      <w:pPr>
        <w:ind w:left="540" w:right="60" w:hanging="532"/>
        <w:spacing w:after="0" w:line="201" w:lineRule="auto"/>
        <w:tabs>
          <w:tab w:leader="none" w:pos="540" w:val="left"/>
        </w:tabs>
        <w:numPr>
          <w:ilvl w:val="0"/>
          <w:numId w:val="21"/>
        </w:numPr>
        <w:rPr>
          <w:rFonts w:ascii="Calibri" w:cs="Calibri" w:eastAsia="Calibri" w:hAnsi="Calibri"/>
          <w:sz w:val="24"/>
          <w:szCs w:val="24"/>
          <w:color w:val="auto"/>
          <w:vertAlign w:val="superscript"/>
        </w:rPr>
      </w:pPr>
      <w:r>
        <w:rPr>
          <w:rFonts w:ascii="Calibri" w:cs="Calibri" w:eastAsia="Calibri" w:hAnsi="Calibri"/>
          <w:sz w:val="18"/>
          <w:szCs w:val="18"/>
          <w:color w:val="auto"/>
        </w:rPr>
        <w:t>The asset allocaton is temporarily changed as a result of the insurance contracts Cabot Carbon Limited Pension Plan and Carbon Plastcs Pension Plan purchased with plan assets in antcipaton of the setlement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1912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6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To develop the expected long-term rate of return on plan assets assumpton, the Company used a capital asset pricing model. The model considers the current level of expected returns on risk-free investments comprised of government bonds, the historical level of the risk premium associated with the other asset classes in which the portolio is invested and the expectatons for future returns for each asset class. The expected return for each asset class was then weighted based on the target asset allocaton to develop the expected long-term rate of return for each plan.</w:t>
      </w:r>
    </w:p>
    <w:p>
      <w:pPr>
        <w:spacing w:after="0" w:line="84"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Cabot’s investment strategy for each of its foreign defned beneft plans is generally based on a set of investment objectves and policies that cover tme horizons and risk tolerance levels consistent with plan liabilites. Periodic studies are performed to determine the asset mix that will meet pension obligatons at a reasonable cost to the Company. The assets of the defned beneft plans are comprised principally of investments in equity and high-quality fxed income securites, which are broadly diversifed across the capitalizaton and style spectrum and are managed using both actve and passive strategies. The weighted average target asset allocaton for the foreign plans is 29% in equity, 46% in fxed income, 18% in real estate and 7% in cash and other securites.</w:t>
      </w:r>
    </w:p>
    <w:p>
      <w:pPr>
        <w:spacing w:after="0" w:line="86" w:lineRule="exact"/>
        <w:rPr>
          <w:sz w:val="20"/>
          <w:szCs w:val="20"/>
          <w:color w:val="auto"/>
        </w:rPr>
      </w:pPr>
    </w:p>
    <w:p>
      <w:pPr>
        <w:jc w:val="both"/>
        <w:ind w:right="100" w:firstLine="509"/>
        <w:spacing w:after="0" w:line="235" w:lineRule="auto"/>
        <w:rPr>
          <w:sz w:val="20"/>
          <w:szCs w:val="20"/>
          <w:color w:val="auto"/>
        </w:rPr>
      </w:pPr>
      <w:r>
        <w:rPr>
          <w:rFonts w:ascii="Calibri" w:cs="Calibri" w:eastAsia="Calibri" w:hAnsi="Calibri"/>
          <w:sz w:val="18"/>
          <w:szCs w:val="18"/>
          <w:color w:val="auto"/>
        </w:rPr>
        <w:t>For pension plan assets classifed as Level 1 measurements (measured using quoted prices in actve markets), total fair value is either the price of the most recent trade at the tme of the market close or the ofcial close price, as defned by the exchange on which the asset is most actvely traded on the last trading day of the period, multplied by the number of units held without consideraton of transacton costs.</w:t>
      </w:r>
    </w:p>
    <w:p>
      <w:pPr>
        <w:spacing w:after="0" w:line="84"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For pension plan assets classifed as Level 2 measurements, where the security is frequently traded in less actve markets, fair value is based on the closing price at the end of the period; where the security is less frequently traded, fair value is based on the price a dealer would pay for the security or similar securites, adjusted for any terms specifc to that asset or liability. Market inputs are obtained from third-party vendors of market data and subjected to tolerance/quality checks.</w:t>
      </w:r>
    </w:p>
    <w:p>
      <w:pPr>
        <w:spacing w:after="0" w:line="21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type w:val="continuous"/>
        </w:sectPr>
      </w:pPr>
    </w:p>
    <w:bookmarkStart w:id="61" w:name="page62"/>
    <w:bookmarkEnd w:id="61"/>
    <w:p>
      <w:pPr>
        <w:ind w:left="520"/>
        <w:spacing w:after="0"/>
        <w:rPr>
          <w:sz w:val="20"/>
          <w:szCs w:val="20"/>
          <w:color w:val="auto"/>
        </w:rPr>
      </w:pPr>
      <w:r>
        <w:rPr>
          <w:rFonts w:ascii="Calibri" w:cs="Calibri" w:eastAsia="Calibri" w:hAnsi="Calibri"/>
          <w:sz w:val="18"/>
          <w:szCs w:val="18"/>
          <w:color w:val="auto"/>
        </w:rPr>
        <w:t>The fair value of the Company’s pension plan assets at September 30, 2023 and 2022 by asset category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4"/>
          </w:tcPr>
          <w:p>
            <w:pPr>
              <w:jc w:val="right"/>
              <w:ind w:right="534"/>
              <w:spacing w:after="0"/>
              <w:rPr>
                <w:sz w:val="20"/>
                <w:szCs w:val="20"/>
                <w:color w:val="auto"/>
              </w:rPr>
            </w:pPr>
            <w:r>
              <w:rPr>
                <w:rFonts w:ascii="Calibri" w:cs="Calibri" w:eastAsia="Calibri" w:hAnsi="Calibri"/>
                <w:sz w:val="14"/>
                <w:szCs w:val="14"/>
                <w:b w:val="1"/>
                <w:bCs w:val="1"/>
                <w:color w:val="auto"/>
              </w:rPr>
              <w:t>September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4"/>
              <w:spacing w:after="0" w:line="164" w:lineRule="exact"/>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3"/>
              <w:spacing w:after="0" w:line="164" w:lineRule="exact"/>
              <w:rPr>
                <w:sz w:val="20"/>
                <w:szCs w:val="20"/>
                <w:color w:val="auto"/>
              </w:rPr>
            </w:pPr>
            <w:r>
              <w:rPr>
                <w:rFonts w:ascii="Calibri" w:cs="Calibri" w:eastAsia="Calibri" w:hAnsi="Calibri"/>
                <w:sz w:val="14"/>
                <w:szCs w:val="14"/>
                <w:b w:val="1"/>
                <w:bCs w:val="1"/>
                <w:color w:val="auto"/>
                <w:w w:val="98"/>
              </w:rPr>
              <w:t>2022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7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4760" w:type="dxa"/>
            <w:vAlign w:val="bottom"/>
          </w:tcPr>
          <w:p>
            <w:pPr>
              <w:spacing w:after="0"/>
              <w:rPr>
                <w:sz w:val="14"/>
                <w:szCs w:val="14"/>
                <w:color w:val="auto"/>
              </w:rPr>
            </w:pPr>
          </w:p>
        </w:tc>
        <w:tc>
          <w:tcPr>
            <w:tcW w:w="900" w:type="dxa"/>
            <w:vAlign w:val="bottom"/>
            <w:gridSpan w:val="2"/>
          </w:tcPr>
          <w:p>
            <w:pPr>
              <w:jc w:val="center"/>
              <w:spacing w:after="0" w:line="164" w:lineRule="exact"/>
              <w:rPr>
                <w:sz w:val="20"/>
                <w:szCs w:val="20"/>
                <w:color w:val="auto"/>
              </w:rPr>
            </w:pPr>
            <w:r>
              <w:rPr>
                <w:rFonts w:ascii="Calibri" w:cs="Calibri" w:eastAsia="Calibri" w:hAnsi="Calibri"/>
                <w:sz w:val="14"/>
                <w:szCs w:val="14"/>
                <w:b w:val="1"/>
                <w:bCs w:val="1"/>
                <w:color w:val="auto"/>
              </w:rPr>
              <w:t>Quoted Prices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spacing w:after="0" w:line="164" w:lineRule="exact"/>
              <w:rPr>
                <w:sz w:val="20"/>
                <w:szCs w:val="20"/>
                <w:color w:val="auto"/>
              </w:rPr>
            </w:pPr>
            <w:r>
              <w:rPr>
                <w:rFonts w:ascii="Calibri" w:cs="Calibri" w:eastAsia="Calibri" w:hAnsi="Calibri"/>
                <w:sz w:val="14"/>
                <w:szCs w:val="14"/>
                <w:b w:val="1"/>
                <w:bCs w:val="1"/>
                <w:color w:val="auto"/>
              </w:rPr>
              <w:t>Quoted Prices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74"/>
              <w:spacing w:after="0"/>
              <w:rPr>
                <w:sz w:val="20"/>
                <w:szCs w:val="20"/>
                <w:color w:val="auto"/>
              </w:rPr>
            </w:pPr>
            <w:r>
              <w:rPr>
                <w:rFonts w:ascii="Calibri" w:cs="Calibri" w:eastAsia="Calibri" w:hAnsi="Calibri"/>
                <w:sz w:val="14"/>
                <w:szCs w:val="14"/>
                <w:b w:val="1"/>
                <w:bCs w:val="1"/>
                <w:color w:val="auto"/>
              </w:rPr>
              <w:t>in</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74"/>
              <w:spacing w:after="0"/>
              <w:rPr>
                <w:sz w:val="20"/>
                <w:szCs w:val="20"/>
                <w:color w:val="auto"/>
              </w:rPr>
            </w:pPr>
            <w:r>
              <w:rPr>
                <w:rFonts w:ascii="Calibri" w:cs="Calibri" w:eastAsia="Calibri" w:hAnsi="Calibri"/>
                <w:sz w:val="14"/>
                <w:szCs w:val="14"/>
                <w:b w:val="1"/>
                <w:bCs w:val="1"/>
                <w:color w:val="auto"/>
              </w:rPr>
              <w:t>in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94"/>
              <w:spacing w:after="0"/>
              <w:rPr>
                <w:sz w:val="20"/>
                <w:szCs w:val="20"/>
                <w:color w:val="auto"/>
              </w:rPr>
            </w:pPr>
            <w:r>
              <w:rPr>
                <w:rFonts w:ascii="Calibri" w:cs="Calibri" w:eastAsia="Calibri" w:hAnsi="Calibri"/>
                <w:sz w:val="14"/>
                <w:szCs w:val="14"/>
                <w:b w:val="1"/>
                <w:bCs w:val="1"/>
                <w:color w:val="auto"/>
              </w:rPr>
              <w:t>Actve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114"/>
              <w:spacing w:after="0"/>
              <w:rPr>
                <w:sz w:val="20"/>
                <w:szCs w:val="20"/>
                <w:color w:val="auto"/>
              </w:rPr>
            </w:pPr>
            <w:r>
              <w:rPr>
                <w:rFonts w:ascii="Calibri" w:cs="Calibri" w:eastAsia="Calibri" w:hAnsi="Calibri"/>
                <w:sz w:val="14"/>
                <w:szCs w:val="14"/>
                <w:b w:val="1"/>
                <w:bCs w:val="1"/>
                <w:color w:val="auto"/>
              </w:rPr>
              <w:t>Actve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54"/>
              <w:spacing w:after="0"/>
              <w:rPr>
                <w:sz w:val="20"/>
                <w:szCs w:val="20"/>
                <w:color w:val="auto"/>
              </w:rPr>
            </w:pPr>
            <w:r>
              <w:rPr>
                <w:rFonts w:ascii="Calibri" w:cs="Calibri" w:eastAsia="Calibri" w:hAnsi="Calibri"/>
                <w:sz w:val="14"/>
                <w:szCs w:val="14"/>
                <w:b w:val="1"/>
                <w:bCs w:val="1"/>
                <w:color w:val="auto"/>
              </w:rPr>
              <w:t>Markets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34"/>
              <w:spacing w:after="0"/>
              <w:rPr>
                <w:sz w:val="20"/>
                <w:szCs w:val="20"/>
                <w:color w:val="auto"/>
              </w:rPr>
            </w:pPr>
            <w:r>
              <w:rPr>
                <w:rFonts w:ascii="Calibri" w:cs="Calibri" w:eastAsia="Calibri" w:hAnsi="Calibri"/>
                <w:sz w:val="14"/>
                <w:szCs w:val="14"/>
                <w:b w:val="1"/>
                <w:bCs w:val="1"/>
                <w:color w:val="auto"/>
              </w:rPr>
              <w:t>Signifcant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74"/>
              <w:spacing w:after="0"/>
              <w:rPr>
                <w:sz w:val="20"/>
                <w:szCs w:val="20"/>
                <w:color w:val="auto"/>
              </w:rPr>
            </w:pPr>
            <w:r>
              <w:rPr>
                <w:rFonts w:ascii="Calibri" w:cs="Calibri" w:eastAsia="Calibri" w:hAnsi="Calibri"/>
                <w:sz w:val="14"/>
                <w:szCs w:val="14"/>
                <w:b w:val="1"/>
                <w:bCs w:val="1"/>
                <w:color w:val="auto"/>
                <w:w w:val="99"/>
              </w:rPr>
              <w:t>Markets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13"/>
              <w:spacing w:after="0"/>
              <w:rPr>
                <w:sz w:val="20"/>
                <w:szCs w:val="20"/>
                <w:color w:val="auto"/>
              </w:rPr>
            </w:pPr>
            <w:r>
              <w:rPr>
                <w:rFonts w:ascii="Calibri" w:cs="Calibri" w:eastAsia="Calibri" w:hAnsi="Calibri"/>
                <w:sz w:val="14"/>
                <w:szCs w:val="14"/>
                <w:b w:val="1"/>
                <w:bCs w:val="1"/>
                <w:color w:val="auto"/>
              </w:rPr>
              <w:t>Signifcant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76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for Identcal</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4"/>
              <w:spacing w:after="0"/>
              <w:rPr>
                <w:sz w:val="20"/>
                <w:szCs w:val="20"/>
                <w:color w:val="auto"/>
              </w:rPr>
            </w:pPr>
            <w:r>
              <w:rPr>
                <w:rFonts w:ascii="Calibri" w:cs="Calibri" w:eastAsia="Calibri" w:hAnsi="Calibri"/>
                <w:sz w:val="14"/>
                <w:szCs w:val="14"/>
                <w:b w:val="1"/>
                <w:bCs w:val="1"/>
                <w:color w:val="auto"/>
              </w:rPr>
              <w:t>Observable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for Identcal</w:t>
            </w:r>
          </w:p>
        </w:tc>
        <w:tc>
          <w:tcPr>
            <w:tcW w:w="20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Observable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54"/>
              <w:spacing w:after="0"/>
              <w:rPr>
                <w:sz w:val="20"/>
                <w:szCs w:val="20"/>
                <w:color w:val="auto"/>
              </w:rPr>
            </w:pPr>
            <w:r>
              <w:rPr>
                <w:rFonts w:ascii="Calibri" w:cs="Calibri" w:eastAsia="Calibri" w:hAnsi="Calibri"/>
                <w:sz w:val="14"/>
                <w:szCs w:val="14"/>
                <w:b w:val="1"/>
                <w:bCs w:val="1"/>
                <w:color w:val="auto"/>
              </w:rPr>
              <w:t>Assets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4"/>
              <w:spacing w:after="0"/>
              <w:rPr>
                <w:sz w:val="20"/>
                <w:szCs w:val="20"/>
                <w:color w:val="auto"/>
              </w:rPr>
            </w:pPr>
            <w:r>
              <w:rPr>
                <w:rFonts w:ascii="Calibri" w:cs="Calibri" w:eastAsia="Calibri" w:hAnsi="Calibri"/>
                <w:sz w:val="14"/>
                <w:szCs w:val="14"/>
                <w:b w:val="1"/>
                <w:bCs w:val="1"/>
                <w:color w:val="auto"/>
                <w:w w:val="97"/>
              </w:rPr>
              <w:t>Inputs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74"/>
              <w:spacing w:after="0"/>
              <w:rPr>
                <w:sz w:val="20"/>
                <w:szCs w:val="20"/>
                <w:color w:val="auto"/>
              </w:rPr>
            </w:pPr>
            <w:r>
              <w:rPr>
                <w:rFonts w:ascii="Calibri" w:cs="Calibri" w:eastAsia="Calibri" w:hAnsi="Calibri"/>
                <w:sz w:val="14"/>
                <w:szCs w:val="14"/>
                <w:b w:val="1"/>
                <w:bCs w:val="1"/>
                <w:color w:val="auto"/>
              </w:rPr>
              <w:t>Assets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33"/>
              <w:spacing w:after="0"/>
              <w:rPr>
                <w:sz w:val="20"/>
                <w:szCs w:val="20"/>
                <w:color w:val="auto"/>
              </w:rPr>
            </w:pPr>
            <w:r>
              <w:rPr>
                <w:rFonts w:ascii="Calibri" w:cs="Calibri" w:eastAsia="Calibri" w:hAnsi="Calibri"/>
                <w:sz w:val="14"/>
                <w:szCs w:val="14"/>
                <w:b w:val="1"/>
                <w:bCs w:val="1"/>
                <w:color w:val="auto"/>
                <w:w w:val="97"/>
              </w:rPr>
              <w:t>Inputs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54"/>
              <w:spacing w:after="0"/>
              <w:rPr>
                <w:sz w:val="20"/>
                <w:szCs w:val="20"/>
                <w:color w:val="auto"/>
              </w:rPr>
            </w:pPr>
            <w:r>
              <w:rPr>
                <w:rFonts w:ascii="Calibri" w:cs="Calibri" w:eastAsia="Calibri" w:hAnsi="Calibri"/>
                <w:sz w:val="14"/>
                <w:szCs w:val="14"/>
                <w:b w:val="1"/>
                <w:bCs w:val="1"/>
                <w:color w:val="auto"/>
              </w:rPr>
              <w:t>(Level 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4"/>
              <w:spacing w:after="0"/>
              <w:rPr>
                <w:sz w:val="20"/>
                <w:szCs w:val="20"/>
                <w:color w:val="auto"/>
              </w:rPr>
            </w:pPr>
            <w:r>
              <w:rPr>
                <w:rFonts w:ascii="Calibri" w:cs="Calibri" w:eastAsia="Calibri" w:hAnsi="Calibri"/>
                <w:sz w:val="14"/>
                <w:szCs w:val="14"/>
                <w:b w:val="1"/>
                <w:bCs w:val="1"/>
                <w:color w:val="auto"/>
              </w:rPr>
              <w:t>(Level 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2"/>
              <w:spacing w:after="0"/>
              <w:rPr>
                <w:sz w:val="20"/>
                <w:szCs w:val="20"/>
                <w:color w:val="auto"/>
              </w:rPr>
            </w:pPr>
            <w:r>
              <w:rPr>
                <w:rFonts w:ascii="Calibri" w:cs="Calibri" w:eastAsia="Calibri" w:hAnsi="Calibri"/>
                <w:sz w:val="14"/>
                <w:szCs w:val="14"/>
                <w:b w:val="1"/>
                <w:bCs w:val="1"/>
                <w:color w:val="auto"/>
              </w:rPr>
              <w:t>Total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74"/>
              <w:spacing w:after="0"/>
              <w:rPr>
                <w:sz w:val="20"/>
                <w:szCs w:val="20"/>
                <w:color w:val="auto"/>
              </w:rPr>
            </w:pPr>
            <w:r>
              <w:rPr>
                <w:rFonts w:ascii="Calibri" w:cs="Calibri" w:eastAsia="Calibri" w:hAnsi="Calibri"/>
                <w:sz w:val="14"/>
                <w:szCs w:val="14"/>
                <w:b w:val="1"/>
                <w:bCs w:val="1"/>
                <w:color w:val="auto"/>
              </w:rPr>
              <w:t>(Level 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33"/>
              <w:spacing w:after="0"/>
              <w:rPr>
                <w:sz w:val="20"/>
                <w:szCs w:val="20"/>
                <w:color w:val="auto"/>
              </w:rPr>
            </w:pPr>
            <w:r>
              <w:rPr>
                <w:rFonts w:ascii="Calibri" w:cs="Calibri" w:eastAsia="Calibri" w:hAnsi="Calibri"/>
                <w:sz w:val="14"/>
                <w:szCs w:val="14"/>
                <w:b w:val="1"/>
                <w:bCs w:val="1"/>
                <w:color w:val="auto"/>
              </w:rPr>
              <w:t>(Level 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4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4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4"/>
          </w:tcPr>
          <w:p>
            <w:pPr>
              <w:jc w:val="right"/>
              <w:ind w:right="594"/>
              <w:spacing w:after="0"/>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7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Cash</w:t>
            </w:r>
          </w:p>
        </w:tc>
        <w:tc>
          <w:tcPr>
            <w:tcW w:w="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3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4760" w:type="dxa"/>
            <w:vAlign w:val="bottom"/>
          </w:tcPr>
          <w:p>
            <w:pPr>
              <w:ind w:left="200"/>
              <w:spacing w:after="0" w:line="215" w:lineRule="exact"/>
              <w:rPr>
                <w:sz w:val="20"/>
                <w:szCs w:val="20"/>
                <w:color w:val="auto"/>
              </w:rPr>
            </w:pPr>
            <w:r>
              <w:rPr>
                <w:rFonts w:ascii="Calibri" w:cs="Calibri" w:eastAsia="Calibri" w:hAnsi="Calibri"/>
                <w:sz w:val="18"/>
                <w:szCs w:val="18"/>
                <w:color w:val="auto"/>
              </w:rPr>
              <w:t>Direct investments: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76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U.S government bonds</w:t>
            </w:r>
          </w:p>
        </w:tc>
        <w:tc>
          <w:tcPr>
            <w:tcW w:w="1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4760" w:type="dxa"/>
            <w:vAlign w:val="bottom"/>
          </w:tcPr>
          <w:p>
            <w:pPr>
              <w:ind w:left="380"/>
              <w:spacing w:after="0" w:line="215" w:lineRule="exact"/>
              <w:rPr>
                <w:sz w:val="20"/>
                <w:szCs w:val="20"/>
                <w:color w:val="auto"/>
              </w:rPr>
            </w:pPr>
            <w:r>
              <w:rPr>
                <w:rFonts w:ascii="Calibri" w:cs="Calibri" w:eastAsia="Calibri" w:hAnsi="Calibri"/>
                <w:sz w:val="18"/>
                <w:szCs w:val="18"/>
                <w:color w:val="auto"/>
              </w:rPr>
              <w:t>U.S. corporate bonds</w:t>
            </w:r>
          </w:p>
        </w:tc>
        <w:tc>
          <w:tcPr>
            <w:tcW w:w="14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76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Non-U.S. equites</w:t>
            </w:r>
          </w:p>
        </w:tc>
        <w:tc>
          <w:tcPr>
            <w:tcW w:w="1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4760" w:type="dxa"/>
            <w:vAlign w:val="bottom"/>
          </w:tcPr>
          <w:p>
            <w:pPr>
              <w:ind w:left="380"/>
              <w:spacing w:after="0" w:line="215" w:lineRule="exact"/>
              <w:rPr>
                <w:sz w:val="20"/>
                <w:szCs w:val="20"/>
                <w:color w:val="auto"/>
              </w:rPr>
            </w:pPr>
            <w:r>
              <w:rPr>
                <w:rFonts w:ascii="Calibri" w:cs="Calibri" w:eastAsia="Calibri" w:hAnsi="Calibri"/>
                <w:sz w:val="18"/>
                <w:szCs w:val="18"/>
                <w:color w:val="auto"/>
              </w:rPr>
              <w:t>Non-U.S. government bonds</w:t>
            </w:r>
          </w:p>
        </w:tc>
        <w:tc>
          <w:tcPr>
            <w:tcW w:w="14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r>
      <w:tr>
        <w:trPr>
          <w:trHeight w:val="28"/>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76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Non-U.S. corporate bonds</w:t>
            </w:r>
          </w:p>
        </w:tc>
        <w:tc>
          <w:tcPr>
            <w:tcW w:w="1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4760" w:type="dxa"/>
            <w:vAlign w:val="bottom"/>
          </w:tcPr>
          <w:p>
            <w:pPr>
              <w:ind w:left="380"/>
              <w:spacing w:after="0" w:line="215" w:lineRule="exact"/>
              <w:rPr>
                <w:sz w:val="20"/>
                <w:szCs w:val="20"/>
                <w:color w:val="auto"/>
              </w:rPr>
            </w:pPr>
            <w:r>
              <w:rPr>
                <w:rFonts w:ascii="Calibri" w:cs="Calibri" w:eastAsia="Calibri" w:hAnsi="Calibri"/>
                <w:sz w:val="18"/>
                <w:szCs w:val="18"/>
                <w:color w:val="auto"/>
              </w:rPr>
              <w:t>Mortgage-backed securites</w:t>
            </w:r>
          </w:p>
        </w:tc>
        <w:tc>
          <w:tcPr>
            <w:tcW w:w="14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r>
      <w:tr>
        <w:trPr>
          <w:trHeight w:val="28"/>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4760" w:type="dxa"/>
            <w:vAlign w:val="bottom"/>
            <w:tcBorders>
              <w:bottom w:val="single" w:sz="8" w:color="CFF0FC"/>
            </w:tcBorders>
            <w:shd w:val="clear" w:color="auto" w:fill="CFF0FC"/>
          </w:tcPr>
          <w:p>
            <w:pPr>
              <w:ind w:left="380"/>
              <w:spacing w:after="0"/>
              <w:rPr>
                <w:sz w:val="20"/>
                <w:szCs w:val="20"/>
                <w:color w:val="auto"/>
              </w:rPr>
            </w:pPr>
            <w:r>
              <w:rPr>
                <w:rFonts w:ascii="Calibri" w:cs="Calibri" w:eastAsia="Calibri" w:hAnsi="Calibri"/>
                <w:sz w:val="18"/>
                <w:szCs w:val="18"/>
                <w:color w:val="auto"/>
              </w:rPr>
              <w:t>Other fxed income</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3"/>
        </w:trPr>
        <w:tc>
          <w:tcPr>
            <w:tcW w:w="4760" w:type="dxa"/>
            <w:vAlign w:val="bottom"/>
            <w:tcBorders>
              <w:top w:val="single" w:sz="8" w:color="CFF0FC"/>
            </w:tcBorders>
          </w:tcPr>
          <w:p>
            <w:pPr>
              <w:ind w:left="560"/>
              <w:spacing w:after="0" w:line="213" w:lineRule="exact"/>
              <w:rPr>
                <w:sz w:val="20"/>
                <w:szCs w:val="20"/>
                <w:color w:val="auto"/>
              </w:rPr>
            </w:pPr>
            <w:r>
              <w:rPr>
                <w:rFonts w:ascii="Calibri" w:cs="Calibri" w:eastAsia="Calibri" w:hAnsi="Calibri"/>
                <w:sz w:val="18"/>
                <w:szCs w:val="18"/>
                <w:color w:val="auto"/>
              </w:rPr>
              <w:t>Total direct investments</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12</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13</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8</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w:t>
            </w: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9</w:t>
            </w:r>
          </w:p>
        </w:tc>
        <w:tc>
          <w:tcPr>
            <w:tcW w:w="100" w:type="dxa"/>
            <w:vAlign w:val="bottom"/>
            <w:tcBorders>
              <w:top w:val="single" w:sz="8" w:color="CFF0FC"/>
            </w:tcBorders>
          </w:tcPr>
          <w:p>
            <w:pPr>
              <w:spacing w:after="0"/>
              <w:rPr>
                <w:sz w:val="18"/>
                <w:szCs w:val="18"/>
                <w:color w:val="auto"/>
              </w:rPr>
            </w:pPr>
          </w:p>
        </w:tc>
      </w:tr>
      <w:tr>
        <w:trPr>
          <w:trHeight w:val="23"/>
        </w:trPr>
        <w:tc>
          <w:tcPr>
            <w:tcW w:w="4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4760" w:type="dxa"/>
            <w:vAlign w:val="bottom"/>
            <w:tcBorders>
              <w:bottom w:val="single" w:sz="8" w:color="CFF0FC"/>
            </w:tcBorders>
            <w:shd w:val="clear" w:color="auto" w:fill="CFF0FC"/>
          </w:tcPr>
          <w:p>
            <w:pPr>
              <w:ind w:left="200"/>
              <w:spacing w:after="0" w:line="208" w:lineRule="exact"/>
              <w:rPr>
                <w:sz w:val="20"/>
                <w:szCs w:val="20"/>
                <w:color w:val="auto"/>
              </w:rPr>
            </w:pPr>
            <w:r>
              <w:rPr>
                <w:rFonts w:ascii="Calibri" w:cs="Calibri" w:eastAsia="Calibri" w:hAnsi="Calibri"/>
                <w:sz w:val="18"/>
                <w:szCs w:val="18"/>
                <w:color w:val="auto"/>
              </w:rPr>
              <w:t>Investment funds:</w:t>
            </w:r>
          </w:p>
        </w:tc>
        <w:tc>
          <w:tcPr>
            <w:tcW w:w="1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43"/>
        </w:trPr>
        <w:tc>
          <w:tcPr>
            <w:tcW w:w="4760" w:type="dxa"/>
            <w:vAlign w:val="bottom"/>
          </w:tcPr>
          <w:p>
            <w:pPr>
              <w:ind w:left="380"/>
              <w:spacing w:after="0" w:line="243" w:lineRule="exact"/>
              <w:rPr>
                <w:sz w:val="20"/>
                <w:szCs w:val="20"/>
                <w:color w:val="auto"/>
              </w:rPr>
            </w:pPr>
            <w:r>
              <w:rPr>
                <w:rFonts w:ascii="Calibri" w:cs="Calibri" w:eastAsia="Calibri" w:hAnsi="Calibri"/>
                <w:sz w:val="18"/>
                <w:szCs w:val="18"/>
                <w:color w:val="auto"/>
              </w:rPr>
              <w:t>Equity funds</w:t>
            </w:r>
            <w:r>
              <w:rPr>
                <w:rFonts w:ascii="Calibri" w:cs="Calibri" w:eastAsia="Calibri" w:hAnsi="Calibri"/>
                <w:sz w:val="24"/>
                <w:szCs w:val="24"/>
                <w:color w:val="auto"/>
                <w:vertAlign w:val="superscript"/>
              </w:rPr>
              <w:t>(1)</w:t>
            </w:r>
          </w:p>
        </w:tc>
        <w:tc>
          <w:tcPr>
            <w:tcW w:w="140" w:type="dxa"/>
            <w:vAlign w:val="bottom"/>
          </w:tcPr>
          <w:p>
            <w:pPr>
              <w:spacing w:after="0"/>
              <w:rPr>
                <w:sz w:val="21"/>
                <w:szCs w:val="21"/>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21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21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23</w:t>
            </w:r>
          </w:p>
        </w:tc>
        <w:tc>
          <w:tcPr>
            <w:tcW w:w="100" w:type="dxa"/>
            <w:vAlign w:val="bottom"/>
          </w:tcPr>
          <w:p>
            <w:pPr>
              <w:spacing w:after="0"/>
              <w:rPr>
                <w:sz w:val="21"/>
                <w:szCs w:val="21"/>
                <w:color w:val="auto"/>
              </w:rPr>
            </w:pPr>
          </w:p>
        </w:tc>
      </w:tr>
      <w:tr>
        <w:trPr>
          <w:trHeight w:val="243"/>
        </w:trPr>
        <w:tc>
          <w:tcPr>
            <w:tcW w:w="4760" w:type="dxa"/>
            <w:vAlign w:val="bottom"/>
            <w:shd w:val="clear" w:color="auto" w:fill="CFF0FC"/>
          </w:tcPr>
          <w:p>
            <w:pPr>
              <w:ind w:left="380"/>
              <w:spacing w:after="0" w:line="243" w:lineRule="exact"/>
              <w:rPr>
                <w:sz w:val="20"/>
                <w:szCs w:val="20"/>
                <w:color w:val="auto"/>
              </w:rPr>
            </w:pPr>
            <w:r>
              <w:rPr>
                <w:rFonts w:ascii="Calibri" w:cs="Calibri" w:eastAsia="Calibri" w:hAnsi="Calibri"/>
                <w:sz w:val="18"/>
                <w:szCs w:val="18"/>
                <w:color w:val="auto"/>
              </w:rPr>
              <w:t>Fixed income funds</w:t>
            </w:r>
            <w:r>
              <w:rPr>
                <w:rFonts w:ascii="Calibri" w:cs="Calibri" w:eastAsia="Calibri" w:hAnsi="Calibri"/>
                <w:sz w:val="24"/>
                <w:szCs w:val="24"/>
                <w:color w:val="auto"/>
                <w:vertAlign w:val="superscript"/>
              </w:rPr>
              <w:t>(2)</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38</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86</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86</w:t>
            </w:r>
          </w:p>
        </w:tc>
        <w:tc>
          <w:tcPr>
            <w:tcW w:w="100" w:type="dxa"/>
            <w:vAlign w:val="bottom"/>
            <w:shd w:val="clear" w:color="auto" w:fill="CFF0FC"/>
          </w:tcPr>
          <w:p>
            <w:pPr>
              <w:spacing w:after="0"/>
              <w:rPr>
                <w:sz w:val="21"/>
                <w:szCs w:val="21"/>
                <w:color w:val="auto"/>
              </w:rPr>
            </w:pPr>
          </w:p>
        </w:tc>
      </w:tr>
      <w:tr>
        <w:trPr>
          <w:trHeight w:val="243"/>
        </w:trPr>
        <w:tc>
          <w:tcPr>
            <w:tcW w:w="4760" w:type="dxa"/>
            <w:vAlign w:val="bottom"/>
          </w:tcPr>
          <w:p>
            <w:pPr>
              <w:ind w:left="380"/>
              <w:spacing w:after="0" w:line="243" w:lineRule="exact"/>
              <w:rPr>
                <w:sz w:val="20"/>
                <w:szCs w:val="20"/>
                <w:color w:val="auto"/>
              </w:rPr>
            </w:pPr>
            <w:r>
              <w:rPr>
                <w:rFonts w:ascii="Calibri" w:cs="Calibri" w:eastAsia="Calibri" w:hAnsi="Calibri"/>
                <w:sz w:val="18"/>
                <w:szCs w:val="18"/>
                <w:color w:val="auto"/>
              </w:rPr>
              <w:t>Real estate funds</w:t>
            </w:r>
            <w:r>
              <w:rPr>
                <w:rFonts w:ascii="Calibri" w:cs="Calibri" w:eastAsia="Calibri" w:hAnsi="Calibri"/>
                <w:sz w:val="24"/>
                <w:szCs w:val="24"/>
                <w:color w:val="auto"/>
                <w:vertAlign w:val="superscript"/>
              </w:rPr>
              <w:t>(3)</w:t>
            </w:r>
          </w:p>
        </w:tc>
        <w:tc>
          <w:tcPr>
            <w:tcW w:w="140" w:type="dxa"/>
            <w:vAlign w:val="bottom"/>
          </w:tcPr>
          <w:p>
            <w:pPr>
              <w:spacing w:after="0"/>
              <w:rPr>
                <w:sz w:val="21"/>
                <w:szCs w:val="21"/>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15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100" w:type="dxa"/>
            <w:vAlign w:val="bottom"/>
          </w:tcPr>
          <w:p>
            <w:pPr>
              <w:spacing w:after="0"/>
              <w:rPr>
                <w:sz w:val="21"/>
                <w:szCs w:val="21"/>
                <w:color w:val="auto"/>
              </w:rPr>
            </w:pPr>
          </w:p>
        </w:tc>
      </w:tr>
      <w:tr>
        <w:trPr>
          <w:trHeight w:val="223"/>
        </w:trPr>
        <w:tc>
          <w:tcPr>
            <w:tcW w:w="476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Cash equivalent funds</w:t>
            </w:r>
          </w:p>
        </w:tc>
        <w:tc>
          <w:tcPr>
            <w:tcW w:w="1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4760" w:type="dxa"/>
            <w:vAlign w:val="bottom"/>
          </w:tcPr>
          <w:p>
            <w:pPr>
              <w:ind w:left="380"/>
              <w:spacing w:after="0"/>
              <w:rPr>
                <w:sz w:val="20"/>
                <w:szCs w:val="20"/>
                <w:color w:val="auto"/>
              </w:rPr>
            </w:pPr>
            <w:r>
              <w:rPr>
                <w:rFonts w:ascii="Calibri" w:cs="Calibri" w:eastAsia="Calibri" w:hAnsi="Calibri"/>
                <w:sz w:val="18"/>
                <w:szCs w:val="18"/>
                <w:color w:val="auto"/>
              </w:rPr>
              <w:t>Other investment funds</w:t>
            </w:r>
          </w:p>
        </w:tc>
        <w:tc>
          <w:tcPr>
            <w:tcW w:w="14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9"/>
                <w:szCs w:val="19"/>
                <w:color w:val="auto"/>
              </w:rPr>
            </w:pPr>
          </w:p>
        </w:tc>
      </w:tr>
      <w:tr>
        <w:trPr>
          <w:trHeight w:val="23"/>
        </w:trPr>
        <w:tc>
          <w:tcPr>
            <w:tcW w:w="4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2"/>
        </w:trPr>
        <w:tc>
          <w:tcPr>
            <w:tcW w:w="4760" w:type="dxa"/>
            <w:vAlign w:val="bottom"/>
            <w:tcBorders>
              <w:bottom w:val="single" w:sz="8" w:color="CFF0FC"/>
            </w:tcBorders>
            <w:shd w:val="clear" w:color="auto" w:fill="CFF0FC"/>
          </w:tcPr>
          <w:p>
            <w:pPr>
              <w:ind w:left="560"/>
              <w:spacing w:after="0" w:line="208" w:lineRule="exact"/>
              <w:rPr>
                <w:sz w:val="20"/>
                <w:szCs w:val="20"/>
                <w:color w:val="auto"/>
              </w:rPr>
            </w:pPr>
            <w:r>
              <w:rPr>
                <w:rFonts w:ascii="Calibri" w:cs="Calibri" w:eastAsia="Calibri" w:hAnsi="Calibri"/>
                <w:sz w:val="18"/>
                <w:szCs w:val="18"/>
                <w:color w:val="auto"/>
              </w:rPr>
              <w:t>Total investment funds</w:t>
            </w:r>
          </w:p>
        </w:tc>
        <w:tc>
          <w:tcPr>
            <w:tcW w:w="1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74</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78</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119</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8"/>
        </w:trPr>
        <w:tc>
          <w:tcPr>
            <w:tcW w:w="4760" w:type="dxa"/>
            <w:vAlign w:val="bottom"/>
            <w:tcBorders>
              <w:top w:val="single" w:sz="8" w:color="CFF0FC"/>
            </w:tcBorders>
          </w:tcPr>
          <w:p>
            <w:pPr>
              <w:ind w:left="200"/>
              <w:spacing w:after="0" w:line="208" w:lineRule="exact"/>
              <w:rPr>
                <w:sz w:val="20"/>
                <w:szCs w:val="20"/>
                <w:color w:val="auto"/>
              </w:rPr>
            </w:pPr>
            <w:r>
              <w:rPr>
                <w:rFonts w:ascii="Calibri" w:cs="Calibri" w:eastAsia="Calibri" w:hAnsi="Calibri"/>
                <w:sz w:val="18"/>
                <w:szCs w:val="18"/>
                <w:color w:val="auto"/>
              </w:rPr>
              <w:t>Alternatve investments:</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8"/>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760" w:type="dxa"/>
            <w:vAlign w:val="bottom"/>
            <w:shd w:val="clear" w:color="auto" w:fill="CFF0FC"/>
          </w:tcPr>
          <w:p>
            <w:pPr>
              <w:ind w:left="380"/>
              <w:spacing w:after="0" w:line="243" w:lineRule="exact"/>
              <w:rPr>
                <w:sz w:val="20"/>
                <w:szCs w:val="20"/>
                <w:color w:val="auto"/>
              </w:rPr>
            </w:pPr>
            <w:r>
              <w:rPr>
                <w:rFonts w:ascii="Calibri" w:cs="Calibri" w:eastAsia="Calibri" w:hAnsi="Calibri"/>
                <w:sz w:val="18"/>
                <w:szCs w:val="18"/>
                <w:color w:val="auto"/>
              </w:rPr>
              <w:t>Insurance contracts</w:t>
            </w:r>
            <w:r>
              <w:rPr>
                <w:rFonts w:ascii="Calibri" w:cs="Calibri" w:eastAsia="Calibri" w:hAnsi="Calibri"/>
                <w:sz w:val="24"/>
                <w:szCs w:val="24"/>
                <w:color w:val="auto"/>
                <w:vertAlign w:val="superscript"/>
              </w:rPr>
              <w:t>(4)</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52</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shd w:val="clear" w:color="auto" w:fill="CFF0FC"/>
          </w:tcPr>
          <w:p>
            <w:pPr>
              <w:spacing w:after="0"/>
              <w:rPr>
                <w:sz w:val="21"/>
                <w:szCs w:val="21"/>
                <w:color w:val="auto"/>
              </w:rPr>
            </w:pPr>
          </w:p>
        </w:tc>
      </w:tr>
      <w:tr>
        <w:trPr>
          <w:trHeight w:val="220"/>
        </w:trPr>
        <w:tc>
          <w:tcPr>
            <w:tcW w:w="4760" w:type="dxa"/>
            <w:vAlign w:val="bottom"/>
          </w:tcPr>
          <w:p>
            <w:pPr>
              <w:ind w:left="380"/>
              <w:spacing w:after="0"/>
              <w:rPr>
                <w:sz w:val="20"/>
                <w:szCs w:val="20"/>
                <w:color w:val="auto"/>
              </w:rPr>
            </w:pPr>
            <w:r>
              <w:rPr>
                <w:rFonts w:ascii="Calibri" w:cs="Calibri" w:eastAsia="Calibri" w:hAnsi="Calibri"/>
                <w:sz w:val="18"/>
                <w:szCs w:val="18"/>
                <w:color w:val="auto"/>
              </w:rPr>
              <w:t>Other alternatve investments</w:t>
            </w:r>
          </w:p>
        </w:tc>
        <w:tc>
          <w:tcPr>
            <w:tcW w:w="14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4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4760" w:type="dxa"/>
            <w:vAlign w:val="bottom"/>
            <w:tcBorders>
              <w:bottom w:val="single" w:sz="8" w:color="CFF0FC"/>
            </w:tcBorders>
            <w:shd w:val="clear" w:color="auto" w:fill="CFF0FC"/>
          </w:tcPr>
          <w:p>
            <w:pPr>
              <w:ind w:left="560"/>
              <w:spacing w:after="0" w:line="213" w:lineRule="exact"/>
              <w:rPr>
                <w:sz w:val="20"/>
                <w:szCs w:val="20"/>
                <w:color w:val="auto"/>
              </w:rPr>
            </w:pPr>
            <w:r>
              <w:rPr>
                <w:rFonts w:ascii="Calibri" w:cs="Calibri" w:eastAsia="Calibri" w:hAnsi="Calibri"/>
                <w:sz w:val="18"/>
                <w:szCs w:val="18"/>
                <w:color w:val="auto"/>
              </w:rPr>
              <w:t>Total alternatve investments</w:t>
            </w:r>
          </w:p>
        </w:tc>
        <w:tc>
          <w:tcPr>
            <w:tcW w:w="1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53</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53</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5</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76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Total pension plan assets</w:t>
            </w:r>
          </w:p>
        </w:tc>
        <w:tc>
          <w:tcPr>
            <w:tcW w:w="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w:t>
            </w: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128</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144</w:t>
            </w:r>
          </w:p>
        </w:tc>
        <w:tc>
          <w:tcPr>
            <w:tcW w:w="2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125</w:t>
            </w:r>
          </w:p>
        </w:tc>
        <w:tc>
          <w:tcPr>
            <w:tcW w:w="2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135</w:t>
            </w:r>
          </w:p>
        </w:tc>
        <w:tc>
          <w:tcPr>
            <w:tcW w:w="100" w:type="dxa"/>
            <w:vAlign w:val="bottom"/>
            <w:tcBorders>
              <w:top w:val="single" w:sz="8" w:color="CFF0FC"/>
            </w:tcBorders>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-2082165</wp:posOffset>
            </wp:positionV>
            <wp:extent cx="774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-2082165</wp:posOffset>
            </wp:positionV>
            <wp:extent cx="768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-2082165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-2082165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-2082165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-822325</wp:posOffset>
            </wp:positionV>
            <wp:extent cx="774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-822325</wp:posOffset>
            </wp:positionV>
            <wp:extent cx="76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-822325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-822325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-822325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-187960</wp:posOffset>
            </wp:positionV>
            <wp:extent cx="7747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-187960</wp:posOffset>
            </wp:positionV>
            <wp:extent cx="7683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-187960</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-187960</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-187960</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ind w:left="520" w:hanging="512"/>
        <w:spacing w:after="0" w:line="201" w:lineRule="auto"/>
        <w:tabs>
          <w:tab w:leader="none" w:pos="520" w:val="left"/>
        </w:tabs>
        <w:numPr>
          <w:ilvl w:val="0"/>
          <w:numId w:val="22"/>
        </w:numPr>
        <w:rPr>
          <w:rFonts w:ascii="Calibri" w:cs="Calibri" w:eastAsia="Calibri" w:hAnsi="Calibri"/>
          <w:sz w:val="24"/>
          <w:szCs w:val="24"/>
          <w:color w:val="auto"/>
          <w:vertAlign w:val="superscript"/>
        </w:rPr>
      </w:pPr>
      <w:r>
        <w:rPr>
          <w:rFonts w:ascii="Calibri" w:cs="Calibri" w:eastAsia="Calibri" w:hAnsi="Calibri"/>
          <w:sz w:val="18"/>
          <w:szCs w:val="18"/>
          <w:color w:val="auto"/>
        </w:rPr>
        <w:t>The equity funds asset class includes funds that invest in U.S. equites as well as equity securites issued by companies incorporated, listed or domiciled in countries in developed and/or emerging markets. These companies may be in the small-, mid- or large-cap categories.</w:t>
      </w:r>
    </w:p>
    <w:p>
      <w:pPr>
        <w:spacing w:after="0" w:line="2" w:lineRule="exact"/>
        <w:rPr>
          <w:rFonts w:ascii="Calibri" w:cs="Calibri" w:eastAsia="Calibri" w:hAnsi="Calibri"/>
          <w:sz w:val="24"/>
          <w:szCs w:val="24"/>
          <w:color w:val="auto"/>
          <w:vertAlign w:val="superscript"/>
        </w:rPr>
      </w:pPr>
    </w:p>
    <w:p>
      <w:pPr>
        <w:jc w:val="both"/>
        <w:ind w:left="520" w:right="40" w:hanging="512"/>
        <w:spacing w:after="0" w:line="211" w:lineRule="auto"/>
        <w:tabs>
          <w:tab w:leader="none" w:pos="520" w:val="left"/>
        </w:tabs>
        <w:numPr>
          <w:ilvl w:val="0"/>
          <w:numId w:val="22"/>
        </w:numPr>
        <w:rPr>
          <w:rFonts w:ascii="Calibri" w:cs="Calibri" w:eastAsia="Calibri" w:hAnsi="Calibri"/>
          <w:sz w:val="24"/>
          <w:szCs w:val="24"/>
          <w:color w:val="auto"/>
          <w:vertAlign w:val="superscript"/>
        </w:rPr>
      </w:pPr>
      <w:r>
        <w:rPr>
          <w:rFonts w:ascii="Calibri" w:cs="Calibri" w:eastAsia="Calibri" w:hAnsi="Calibri"/>
          <w:sz w:val="18"/>
          <w:szCs w:val="18"/>
          <w:color w:val="auto"/>
        </w:rPr>
        <w:t>The fxed income funds asset class includes investments in high quality funds. High quality fxed income funds primarily invest in low-risk U.S. and non-U.S. government securites, investment-grade corporate bonds, mortgages and asset-backed securites. A signifcant porton of the fxed income funds include investment in long-term bond funds.</w:t>
      </w:r>
    </w:p>
    <w:p>
      <w:pPr>
        <w:spacing w:after="0" w:line="4" w:lineRule="exact"/>
        <w:rPr>
          <w:rFonts w:ascii="Calibri" w:cs="Calibri" w:eastAsia="Calibri" w:hAnsi="Calibri"/>
          <w:sz w:val="24"/>
          <w:szCs w:val="24"/>
          <w:color w:val="auto"/>
          <w:vertAlign w:val="superscript"/>
        </w:rPr>
      </w:pPr>
    </w:p>
    <w:p>
      <w:pPr>
        <w:ind w:left="520" w:right="120" w:hanging="512"/>
        <w:spacing w:after="0" w:line="211" w:lineRule="auto"/>
        <w:tabs>
          <w:tab w:leader="none" w:pos="520" w:val="left"/>
        </w:tabs>
        <w:numPr>
          <w:ilvl w:val="0"/>
          <w:numId w:val="22"/>
        </w:numPr>
        <w:rPr>
          <w:rFonts w:ascii="Calibri" w:cs="Calibri" w:eastAsia="Calibri" w:hAnsi="Calibri"/>
          <w:sz w:val="24"/>
          <w:szCs w:val="24"/>
          <w:color w:val="auto"/>
          <w:vertAlign w:val="superscript"/>
        </w:rPr>
      </w:pPr>
      <w:r>
        <w:rPr>
          <w:rFonts w:ascii="Calibri" w:cs="Calibri" w:eastAsia="Calibri" w:hAnsi="Calibri"/>
          <w:sz w:val="18"/>
          <w:szCs w:val="18"/>
          <w:color w:val="auto"/>
        </w:rPr>
        <w:t>The real estate funds asset class includes funds that primarily invest in enttes which are principally engaged in the ownership, acquisiton, development, fnancing, sale and/or management of income-producing real estate propertes, both commercial and residental. These funds typically seek long-term growth of capital and current income that is above average relatve to public equity funds.</w:t>
      </w:r>
    </w:p>
    <w:p>
      <w:pPr>
        <w:spacing w:after="0" w:line="3" w:lineRule="exact"/>
        <w:rPr>
          <w:rFonts w:ascii="Calibri" w:cs="Calibri" w:eastAsia="Calibri" w:hAnsi="Calibri"/>
          <w:sz w:val="24"/>
          <w:szCs w:val="24"/>
          <w:color w:val="auto"/>
          <w:vertAlign w:val="superscript"/>
        </w:rPr>
      </w:pPr>
    </w:p>
    <w:p>
      <w:pPr>
        <w:ind w:left="520" w:hanging="512"/>
        <w:spacing w:after="0" w:line="184" w:lineRule="auto"/>
        <w:tabs>
          <w:tab w:leader="none" w:pos="520" w:val="left"/>
        </w:tabs>
        <w:numPr>
          <w:ilvl w:val="0"/>
          <w:numId w:val="22"/>
        </w:numPr>
        <w:rPr>
          <w:rFonts w:ascii="Calibri" w:cs="Calibri" w:eastAsia="Calibri" w:hAnsi="Calibri"/>
          <w:sz w:val="23"/>
          <w:szCs w:val="23"/>
          <w:color w:val="auto"/>
          <w:vertAlign w:val="superscript"/>
        </w:rPr>
      </w:pPr>
      <w:r>
        <w:rPr>
          <w:rFonts w:ascii="Calibri" w:cs="Calibri" w:eastAsia="Calibri" w:hAnsi="Calibri"/>
          <w:sz w:val="17"/>
          <w:szCs w:val="17"/>
          <w:color w:val="auto"/>
        </w:rPr>
        <w:t>Insurance contracts held by the Company’s non-U.S. plans are issued by well-known, highly rated insurance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-1226820</wp:posOffset>
            </wp:positionV>
            <wp:extent cx="11912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6" w:lineRule="exact"/>
        <w:rPr>
          <w:sz w:val="20"/>
          <w:szCs w:val="20"/>
          <w:color w:val="auto"/>
        </w:rPr>
      </w:pPr>
    </w:p>
    <w:p>
      <w:pPr>
        <w:ind w:left="320"/>
        <w:spacing w:after="0"/>
        <w:rPr>
          <w:sz w:val="20"/>
          <w:szCs w:val="20"/>
          <w:color w:val="auto"/>
        </w:rPr>
      </w:pPr>
      <w:r>
        <w:rPr>
          <w:rFonts w:ascii="Calibri" w:cs="Calibri" w:eastAsia="Calibri" w:hAnsi="Calibri"/>
          <w:sz w:val="18"/>
          <w:szCs w:val="18"/>
          <w:b w:val="1"/>
          <w:bCs w:val="1"/>
          <w:i w:val="1"/>
          <w:iCs w:val="1"/>
          <w:color w:val="auto"/>
        </w:rPr>
        <w:t>Defned Contributon Plans</w:t>
      </w:r>
    </w:p>
    <w:p>
      <w:pPr>
        <w:spacing w:after="0" w:line="82" w:lineRule="exact"/>
        <w:rPr>
          <w:sz w:val="20"/>
          <w:szCs w:val="20"/>
          <w:color w:val="auto"/>
        </w:rPr>
      </w:pPr>
    </w:p>
    <w:p>
      <w:pPr>
        <w:ind w:right="220" w:firstLine="509"/>
        <w:spacing w:after="0" w:line="258" w:lineRule="auto"/>
        <w:rPr>
          <w:sz w:val="20"/>
          <w:szCs w:val="20"/>
          <w:color w:val="auto"/>
        </w:rPr>
      </w:pPr>
      <w:r>
        <w:rPr>
          <w:rFonts w:ascii="Calibri" w:cs="Calibri" w:eastAsia="Calibri" w:hAnsi="Calibri"/>
          <w:sz w:val="17"/>
          <w:szCs w:val="17"/>
          <w:color w:val="auto"/>
        </w:rPr>
        <w:t>In additon to benefts provided under the defned beneft and postretrement beneft plans, the Company provides benefts under defned contributon plans. Cabot recognized expenses related to these plans of $19 million, $15 million and $18 million in fscal 2023, 2022 and 2021, respectvely.</w:t>
      </w:r>
    </w:p>
    <w:p>
      <w:pPr>
        <w:spacing w:after="0" w:line="2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N. Stock-Based Compensaton</w:t>
      </w:r>
    </w:p>
    <w:p>
      <w:pPr>
        <w:spacing w:after="0" w:line="82" w:lineRule="exact"/>
        <w:rPr>
          <w:sz w:val="20"/>
          <w:szCs w:val="20"/>
          <w:color w:val="auto"/>
        </w:rPr>
      </w:pPr>
    </w:p>
    <w:p>
      <w:pPr>
        <w:ind w:right="20" w:firstLine="509"/>
        <w:spacing w:after="0" w:line="254" w:lineRule="auto"/>
        <w:rPr>
          <w:sz w:val="20"/>
          <w:szCs w:val="20"/>
          <w:color w:val="auto"/>
        </w:rPr>
      </w:pPr>
      <w:r>
        <w:rPr>
          <w:rFonts w:ascii="Calibri" w:cs="Calibri" w:eastAsia="Calibri" w:hAnsi="Calibri"/>
          <w:sz w:val="17"/>
          <w:szCs w:val="17"/>
          <w:color w:val="auto"/>
        </w:rPr>
        <w:t>The Cabot Corporaton Amended and Restated 2017 Long-Term Incentve Plan (the “Amended Plan”) was established by the Company to provide stock-based compensaton to eligible employees. The Amended Plan was approved by Cabot’s stockholders on March 11, 2021 and authorizes the issuance of up to 8,625,000 shares of common stock. It is the only equity incentve plan under which the Company may grant equity awards to employees.</w:t>
      </w:r>
    </w:p>
    <w:p>
      <w:pPr>
        <w:spacing w:after="0" w:line="20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2" w:name="page63"/>
    <w:bookmarkEnd w:id="62"/>
    <w:p>
      <w:pPr>
        <w:ind w:right="20" w:firstLine="509"/>
        <w:spacing w:after="0" w:line="235" w:lineRule="auto"/>
        <w:rPr>
          <w:sz w:val="20"/>
          <w:szCs w:val="20"/>
          <w:color w:val="auto"/>
        </w:rPr>
      </w:pPr>
      <w:r>
        <w:rPr>
          <w:rFonts w:ascii="Calibri" w:cs="Calibri" w:eastAsia="Calibri" w:hAnsi="Calibri"/>
          <w:sz w:val="18"/>
          <w:szCs w:val="18"/>
          <w:color w:val="auto"/>
        </w:rPr>
        <w:t>The terms of awards made under Cabot’s equity compensaton plans are generally determined by the Compensaton Commitee of Cabot’s Board of Directors. The awards made in fscal 2023, 2022 and 2021 consist of grants of stock optons, tme-based restricted stock units and performance-based restricted stock units. The optons were issued with an exercise price equal to 100% of the market price of Cabot’s common stock on the date of grant, generally vest over a three-year period (30% on each of the frst and second anniversaries of the date of grant and 40% on the third anniversary of the date of grant) and have a ten-year term. The restricted stock units generally vest three years from the date of the grant. The number of shares issuable, if any, when a performance-based restricted stock unit award vests will depend on the degree of achievement of the corporate performance metrics for each year within the three-year performance period of the award. Accordingly, future compensaton costs associated with outstanding awards of performance-based restricted stock units may increase or decrease based on the probability of the Company achieving the performance metrics.</w:t>
      </w:r>
    </w:p>
    <w:p>
      <w:pPr>
        <w:spacing w:after="0" w:line="8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Stock-based employee compensaton expense was $18 million, $22 million and $20 million, afer tax, for fscal 2023, 2022 and 2021, respectvely.</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presents stock-based compensaton expenses included in the Company’s Consolidated Statements of Operatons: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0" w:type="dxa"/>
            <w:vAlign w:val="bottom"/>
            <w:gridSpan w:val="6"/>
          </w:tcPr>
          <w:p>
            <w:pPr>
              <w:jc w:val="center"/>
              <w:spacing w:after="0"/>
              <w:rPr>
                <w:sz w:val="20"/>
                <w:szCs w:val="20"/>
                <w:color w:val="auto"/>
              </w:rPr>
            </w:pPr>
            <w:r>
              <w:rPr>
                <w:rFonts w:ascii="Calibri" w:cs="Calibri" w:eastAsia="Calibri" w:hAnsi="Calibri"/>
                <w:sz w:val="14"/>
                <w:szCs w:val="14"/>
                <w:b w:val="1"/>
                <w:bCs w:val="1"/>
                <w:color w:val="auto"/>
              </w:rPr>
              <w:t>Years Ended September 30</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3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34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5"/>
              <w:spacing w:after="0" w:line="164" w:lineRule="exact"/>
              <w:rPr>
                <w:sz w:val="20"/>
                <w:szCs w:val="20"/>
                <w:color w:val="auto"/>
              </w:rPr>
            </w:pPr>
            <w:r>
              <w:rPr>
                <w:rFonts w:ascii="Calibri" w:cs="Calibri" w:eastAsia="Calibri" w:hAnsi="Calibri"/>
                <w:sz w:val="14"/>
                <w:szCs w:val="14"/>
                <w:b w:val="1"/>
                <w:bCs w:val="1"/>
                <w:color w:val="auto"/>
                <w:w w:val="98"/>
              </w:rPr>
              <w:t>2022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3"/>
              <w:spacing w:after="0" w:line="164" w:lineRule="exact"/>
              <w:rPr>
                <w:sz w:val="20"/>
                <w:szCs w:val="20"/>
                <w:color w:val="auto"/>
              </w:rPr>
            </w:pPr>
            <w:r>
              <w:rPr>
                <w:rFonts w:ascii="Calibri" w:cs="Calibri" w:eastAsia="Calibri" w:hAnsi="Calibri"/>
                <w:sz w:val="14"/>
                <w:szCs w:val="14"/>
                <w:b w:val="1"/>
                <w:bCs w:val="1"/>
                <w:color w:val="auto"/>
              </w:rPr>
              <w:t>2021</w:t>
            </w:r>
          </w:p>
        </w:tc>
        <w:tc>
          <w:tcPr>
            <w:tcW w:w="80" w:type="dxa"/>
            <w:vAlign w:val="bottom"/>
          </w:tcPr>
          <w:p>
            <w:pPr>
              <w:spacing w:after="0"/>
              <w:rPr>
                <w:sz w:val="14"/>
                <w:szCs w:val="14"/>
                <w:color w:val="auto"/>
              </w:rPr>
            </w:pPr>
          </w:p>
        </w:tc>
      </w:tr>
      <w:tr>
        <w:trPr>
          <w:trHeight w:val="33"/>
        </w:trPr>
        <w:tc>
          <w:tcPr>
            <w:tcW w:w="53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75"/>
              <w:spacing w:after="0" w:line="164" w:lineRule="exact"/>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53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Cost of sales</w:t>
            </w:r>
          </w:p>
        </w:tc>
        <w:tc>
          <w:tcPr>
            <w:tcW w:w="760" w:type="dxa"/>
            <w:vAlign w:val="bottom"/>
            <w:tcBorders>
              <w:bottom w:val="single" w:sz="8" w:color="CFF0FC"/>
            </w:tcBorders>
            <w:shd w:val="clear" w:color="auto" w:fill="CFF0FC"/>
          </w:tcPr>
          <w:p>
            <w:pPr>
              <w:jc w:val="right"/>
              <w:ind w:right="576"/>
              <w:spacing w:after="0" w:line="215" w:lineRule="exact"/>
              <w:rPr>
                <w:sz w:val="20"/>
                <w:szCs w:val="20"/>
                <w:color w:val="auto"/>
              </w:rPr>
            </w:pPr>
            <w:r>
              <w:rPr>
                <w:rFonts w:ascii="Calibri" w:cs="Calibri" w:eastAsia="Calibri" w:hAnsi="Calibri"/>
                <w:sz w:val="18"/>
                <w:szCs w:val="18"/>
                <w:color w:val="auto"/>
                <w:w w:val="87"/>
              </w:rPr>
              <w:t>$</w:t>
            </w:r>
          </w:p>
        </w:tc>
        <w:tc>
          <w:tcPr>
            <w:tcW w:w="3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5340" w:type="dxa"/>
            <w:vAlign w:val="bottom"/>
          </w:tcPr>
          <w:p>
            <w:pPr>
              <w:spacing w:after="0" w:line="215" w:lineRule="exact"/>
              <w:rPr>
                <w:sz w:val="20"/>
                <w:szCs w:val="20"/>
                <w:color w:val="auto"/>
              </w:rPr>
            </w:pPr>
            <w:r>
              <w:rPr>
                <w:rFonts w:ascii="Calibri" w:cs="Calibri" w:eastAsia="Calibri" w:hAnsi="Calibri"/>
                <w:sz w:val="18"/>
                <w:szCs w:val="18"/>
                <w:color w:val="auto"/>
              </w:rPr>
              <w:t>Selling and administratve expenses</w:t>
            </w:r>
          </w:p>
        </w:tc>
        <w:tc>
          <w:tcPr>
            <w:tcW w:w="760" w:type="dxa"/>
            <w:vAlign w:val="bottom"/>
          </w:tcPr>
          <w:p>
            <w:pPr>
              <w:spacing w:after="0"/>
              <w:rPr>
                <w:sz w:val="18"/>
                <w:szCs w:val="18"/>
                <w:color w:val="auto"/>
              </w:rPr>
            </w:pP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rPr>
              <w:t>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17</w:t>
            </w:r>
          </w:p>
        </w:tc>
        <w:tc>
          <w:tcPr>
            <w:tcW w:w="80" w:type="dxa"/>
            <w:vAlign w:val="bottom"/>
          </w:tcPr>
          <w:p>
            <w:pPr>
              <w:spacing w:after="0"/>
              <w:rPr>
                <w:sz w:val="18"/>
                <w:szCs w:val="18"/>
                <w:color w:val="auto"/>
              </w:rPr>
            </w:pPr>
          </w:p>
        </w:tc>
      </w:tr>
      <w:tr>
        <w:trPr>
          <w:trHeight w:val="28"/>
        </w:trPr>
        <w:tc>
          <w:tcPr>
            <w:tcW w:w="5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53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Research and technical expenses</w:t>
            </w:r>
          </w:p>
        </w:tc>
        <w:tc>
          <w:tcPr>
            <w:tcW w:w="7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08"/>
        </w:trPr>
        <w:tc>
          <w:tcPr>
            <w:tcW w:w="534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Stock-based compensaton expense</w:t>
            </w: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20</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23</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21</w:t>
            </w:r>
          </w:p>
        </w:tc>
        <w:tc>
          <w:tcPr>
            <w:tcW w:w="80" w:type="dxa"/>
            <w:vAlign w:val="bottom"/>
            <w:tcBorders>
              <w:top w:val="single" w:sz="8" w:color="CFF0FC"/>
            </w:tcBorders>
          </w:tcPr>
          <w:p>
            <w:pPr>
              <w:spacing w:after="0"/>
              <w:rPr>
                <w:sz w:val="18"/>
                <w:szCs w:val="18"/>
                <w:color w:val="auto"/>
              </w:rPr>
            </w:pPr>
          </w:p>
        </w:tc>
      </w:tr>
      <w:tr>
        <w:trPr>
          <w:trHeight w:val="28"/>
        </w:trPr>
        <w:tc>
          <w:tcPr>
            <w:tcW w:w="5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53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Income tax beneft</w:t>
            </w:r>
          </w:p>
        </w:tc>
        <w:tc>
          <w:tcPr>
            <w:tcW w:w="7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(2 )</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(1 )</w:t>
            </w:r>
          </w:p>
        </w:tc>
        <w:tc>
          <w:tcPr>
            <w:tcW w:w="2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(1 )</w:t>
            </w:r>
          </w:p>
        </w:tc>
      </w:tr>
      <w:tr>
        <w:trPr>
          <w:trHeight w:val="237"/>
        </w:trPr>
        <w:tc>
          <w:tcPr>
            <w:tcW w:w="5340" w:type="dxa"/>
            <w:vAlign w:val="bottom"/>
            <w:tcBorders>
              <w:top w:val="single" w:sz="8" w:color="CFF0FC"/>
            </w:tcBorders>
          </w:tcPr>
          <w:p>
            <w:pPr>
              <w:ind w:left="180"/>
              <w:spacing w:after="0"/>
              <w:rPr>
                <w:sz w:val="20"/>
                <w:szCs w:val="20"/>
                <w:color w:val="auto"/>
              </w:rPr>
            </w:pPr>
            <w:r>
              <w:rPr>
                <w:rFonts w:ascii="Calibri" w:cs="Calibri" w:eastAsia="Calibri" w:hAnsi="Calibri"/>
                <w:sz w:val="18"/>
                <w:szCs w:val="18"/>
                <w:color w:val="auto"/>
              </w:rPr>
              <w:t>Net stock-based compensaton expense</w:t>
            </w:r>
          </w:p>
        </w:tc>
        <w:tc>
          <w:tcPr>
            <w:tcW w:w="760" w:type="dxa"/>
            <w:vAlign w:val="bottom"/>
            <w:tcBorders>
              <w:top w:val="single" w:sz="8" w:color="auto"/>
              <w:bottom w:val="single" w:sz="8" w:color="auto"/>
            </w:tcBorders>
          </w:tcPr>
          <w:p>
            <w:pPr>
              <w:jc w:val="right"/>
              <w:ind w:right="576"/>
              <w:spacing w:after="0" w:line="215" w:lineRule="exact"/>
              <w:rPr>
                <w:sz w:val="20"/>
                <w:szCs w:val="20"/>
                <w:color w:val="auto"/>
              </w:rPr>
            </w:pPr>
            <w:r>
              <w:rPr>
                <w:rFonts w:ascii="Calibri" w:cs="Calibri" w:eastAsia="Calibri" w:hAnsi="Calibri"/>
                <w:sz w:val="18"/>
                <w:szCs w:val="18"/>
                <w:color w:val="auto"/>
                <w:w w:val="87"/>
              </w:rPr>
              <w:t>$</w:t>
            </w:r>
          </w:p>
        </w:tc>
        <w:tc>
          <w:tcPr>
            <w:tcW w:w="3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w:t>
            </w: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6"/>
                <w:szCs w:val="16"/>
                <w:color w:val="auto"/>
                <w:w w:val="73"/>
              </w:rPr>
              <w:t>$</w:t>
            </w:r>
          </w:p>
        </w:tc>
        <w:tc>
          <w:tcPr>
            <w:tcW w:w="9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w:t>
            </w:r>
          </w:p>
        </w:tc>
        <w:tc>
          <w:tcPr>
            <w:tcW w:w="2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w:t>
            </w:r>
          </w:p>
        </w:tc>
        <w:tc>
          <w:tcPr>
            <w:tcW w:w="80" w:type="dxa"/>
            <w:vAlign w:val="bottom"/>
            <w:tcBorders>
              <w:top w:val="single" w:sz="8" w:color="CFF0FC"/>
            </w:tcBorders>
          </w:tcPr>
          <w:p>
            <w:pPr>
              <w:spacing w:after="0"/>
              <w:rPr>
                <w:sz w:val="20"/>
                <w:szCs w:val="20"/>
                <w:color w:val="auto"/>
              </w:rPr>
            </w:pPr>
          </w:p>
        </w:tc>
      </w:tr>
      <w:tr>
        <w:trPr>
          <w:trHeight w:val="20"/>
        </w:trPr>
        <w:tc>
          <w:tcPr>
            <w:tcW w:w="5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-505460</wp:posOffset>
            </wp:positionV>
            <wp:extent cx="603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-505460</wp:posOffset>
            </wp:positionV>
            <wp:extent cx="514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-505460</wp:posOffset>
            </wp:positionV>
            <wp:extent cx="514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-187960</wp:posOffset>
            </wp:positionV>
            <wp:extent cx="603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514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0" w:lineRule="exact"/>
        <w:rPr>
          <w:sz w:val="20"/>
          <w:szCs w:val="20"/>
          <w:color w:val="auto"/>
        </w:rPr>
      </w:pPr>
    </w:p>
    <w:p>
      <w:pPr>
        <w:ind w:right="80" w:firstLine="509"/>
        <w:spacing w:after="0"/>
        <w:rPr>
          <w:sz w:val="20"/>
          <w:szCs w:val="20"/>
          <w:color w:val="auto"/>
        </w:rPr>
      </w:pPr>
      <w:r>
        <w:rPr>
          <w:rFonts w:ascii="Calibri" w:cs="Calibri" w:eastAsia="Calibri" w:hAnsi="Calibri"/>
          <w:sz w:val="18"/>
          <w:szCs w:val="18"/>
          <w:color w:val="auto"/>
        </w:rPr>
        <w:t>As of September 30, 2023, Cabot had $16 million and $3 million of total unrecognized compensaton cost related to restricted stock units and optons, respectvely, granted under the Company’s equity incentve plans. These costs are expected to be recognized over a weighted-average period of approximately one year for restricted stock units and optons.</w:t>
      </w:r>
    </w:p>
    <w:p>
      <w:pPr>
        <w:spacing w:after="0" w:line="7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Equity Incentve Plan Actvity</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the total stock opton and restricted stock unit actvity in the equity incentve plans for fscal 2023:</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Stock Optons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5"/>
          </w:tcPr>
          <w:p>
            <w:pPr>
              <w:ind w:left="400"/>
              <w:spacing w:after="0"/>
              <w:rPr>
                <w:sz w:val="20"/>
                <w:szCs w:val="20"/>
                <w:color w:val="auto"/>
              </w:rPr>
            </w:pPr>
            <w:r>
              <w:rPr>
                <w:rFonts w:ascii="Calibri" w:cs="Calibri" w:eastAsia="Calibri" w:hAnsi="Calibri"/>
                <w:sz w:val="14"/>
                <w:szCs w:val="14"/>
                <w:b w:val="1"/>
                <w:bCs w:val="1"/>
                <w:color w:val="auto"/>
              </w:rPr>
              <w:t>Restricted Stock Units</w:t>
            </w:r>
          </w:p>
        </w:tc>
      </w:tr>
      <w:tr>
        <w:trPr>
          <w:trHeight w:val="33"/>
        </w:trPr>
        <w:tc>
          <w:tcPr>
            <w:tcW w:w="5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586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ind w:right="178"/>
              <w:spacing w:after="0" w:line="164" w:lineRule="exact"/>
              <w:rPr>
                <w:sz w:val="20"/>
                <w:szCs w:val="20"/>
                <w:color w:val="auto"/>
              </w:rPr>
            </w:pPr>
            <w:r>
              <w:rPr>
                <w:rFonts w:ascii="Calibri" w:cs="Calibri" w:eastAsia="Calibri" w:hAnsi="Calibri"/>
                <w:sz w:val="14"/>
                <w:szCs w:val="14"/>
                <w:b w:val="1"/>
                <w:bCs w:val="1"/>
                <w:color w:val="auto"/>
                <w:w w:val="98"/>
              </w:rPr>
              <w:t>Weighted</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97"/>
              <w:spacing w:after="0" w:line="164" w:lineRule="exact"/>
              <w:rPr>
                <w:sz w:val="20"/>
                <w:szCs w:val="20"/>
                <w:color w:val="auto"/>
              </w:rPr>
            </w:pPr>
            <w:r>
              <w:rPr>
                <w:rFonts w:ascii="Calibri" w:cs="Calibri" w:eastAsia="Calibri" w:hAnsi="Calibri"/>
                <w:sz w:val="14"/>
                <w:szCs w:val="14"/>
                <w:b w:val="1"/>
                <w:bCs w:val="1"/>
                <w:color w:val="auto"/>
                <w:w w:val="98"/>
              </w:rPr>
              <w:t>Weighted</w:t>
            </w:r>
          </w:p>
        </w:tc>
        <w:tc>
          <w:tcPr>
            <w:tcW w:w="100" w:type="dxa"/>
            <w:vAlign w:val="bottom"/>
          </w:tcPr>
          <w:p>
            <w:pPr>
              <w:spacing w:after="0"/>
              <w:rPr>
                <w:sz w:val="14"/>
                <w:szCs w:val="14"/>
                <w:color w:val="auto"/>
              </w:rPr>
            </w:pPr>
          </w:p>
        </w:tc>
      </w:tr>
      <w:tr>
        <w:trPr>
          <w:trHeight w:val="175"/>
        </w:trPr>
        <w:tc>
          <w:tcPr>
            <w:tcW w:w="5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right="660"/>
              <w:spacing w:after="0"/>
              <w:rPr>
                <w:sz w:val="20"/>
                <w:szCs w:val="20"/>
                <w:color w:val="auto"/>
              </w:rPr>
            </w:pPr>
            <w:r>
              <w:rPr>
                <w:rFonts w:ascii="Calibri" w:cs="Calibri" w:eastAsia="Calibri" w:hAnsi="Calibri"/>
                <w:sz w:val="14"/>
                <w:szCs w:val="14"/>
                <w:b w:val="1"/>
                <w:bCs w:val="1"/>
                <w:color w:val="auto"/>
              </w:rPr>
              <w:t>Average</w:t>
            </w:r>
          </w:p>
        </w:tc>
        <w:tc>
          <w:tcPr>
            <w:tcW w:w="116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Restricted</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Average</w:t>
            </w:r>
          </w:p>
        </w:tc>
      </w:tr>
      <w:tr>
        <w:trPr>
          <w:trHeight w:val="159"/>
        </w:trPr>
        <w:tc>
          <w:tcPr>
            <w:tcW w:w="5860" w:type="dxa"/>
            <w:vAlign w:val="bottom"/>
          </w:tcPr>
          <w:p>
            <w:pPr>
              <w:spacing w:after="0"/>
              <w:rPr>
                <w:sz w:val="13"/>
                <w:szCs w:val="13"/>
                <w:color w:val="auto"/>
              </w:rPr>
            </w:pPr>
          </w:p>
        </w:tc>
        <w:tc>
          <w:tcPr>
            <w:tcW w:w="1480" w:type="dxa"/>
            <w:vAlign w:val="bottom"/>
            <w:gridSpan w:val="2"/>
          </w:tcPr>
          <w:p>
            <w:pPr>
              <w:jc w:val="right"/>
              <w:ind w:right="720"/>
              <w:spacing w:after="0" w:line="159" w:lineRule="exact"/>
              <w:rPr>
                <w:sz w:val="20"/>
                <w:szCs w:val="20"/>
                <w:color w:val="auto"/>
              </w:rPr>
            </w:pPr>
            <w:r>
              <w:rPr>
                <w:rFonts w:ascii="Calibri" w:cs="Calibri" w:eastAsia="Calibri" w:hAnsi="Calibri"/>
                <w:sz w:val="14"/>
                <w:szCs w:val="14"/>
                <w:b w:val="1"/>
                <w:bCs w:val="1"/>
                <w:color w:val="auto"/>
              </w:rPr>
              <w:t>Total</w:t>
            </w:r>
          </w:p>
        </w:tc>
        <w:tc>
          <w:tcPr>
            <w:tcW w:w="260" w:type="dxa"/>
            <w:vAlign w:val="bottom"/>
          </w:tcPr>
          <w:p>
            <w:pPr>
              <w:spacing w:after="0"/>
              <w:rPr>
                <w:sz w:val="13"/>
                <w:szCs w:val="13"/>
                <w:color w:val="auto"/>
              </w:rPr>
            </w:pPr>
          </w:p>
        </w:tc>
        <w:tc>
          <w:tcPr>
            <w:tcW w:w="1260" w:type="dxa"/>
            <w:vAlign w:val="bottom"/>
            <w:gridSpan w:val="3"/>
          </w:tcPr>
          <w:p>
            <w:pPr>
              <w:jc w:val="center"/>
              <w:ind w:right="660"/>
              <w:spacing w:after="0" w:line="159" w:lineRule="exact"/>
              <w:rPr>
                <w:sz w:val="20"/>
                <w:szCs w:val="20"/>
                <w:color w:val="auto"/>
              </w:rPr>
            </w:pPr>
            <w:r>
              <w:rPr>
                <w:rFonts w:ascii="Calibri" w:cs="Calibri" w:eastAsia="Calibri" w:hAnsi="Calibri"/>
                <w:sz w:val="14"/>
                <w:szCs w:val="14"/>
                <w:b w:val="1"/>
                <w:bCs w:val="1"/>
                <w:color w:val="auto"/>
              </w:rPr>
              <w:t>Exercise</w:t>
            </w:r>
          </w:p>
        </w:tc>
        <w:tc>
          <w:tcPr>
            <w:tcW w:w="1160" w:type="dxa"/>
            <w:vAlign w:val="bottom"/>
            <w:gridSpan w:val="2"/>
          </w:tcPr>
          <w:p>
            <w:pPr>
              <w:jc w:val="center"/>
              <w:ind w:right="400"/>
              <w:spacing w:after="0" w:line="159" w:lineRule="exact"/>
              <w:rPr>
                <w:sz w:val="20"/>
                <w:szCs w:val="20"/>
                <w:color w:val="auto"/>
              </w:rPr>
            </w:pPr>
            <w:r>
              <w:rPr>
                <w:rFonts w:ascii="Calibri" w:cs="Calibri" w:eastAsia="Calibri" w:hAnsi="Calibri"/>
                <w:sz w:val="14"/>
                <w:szCs w:val="14"/>
                <w:b w:val="1"/>
                <w:bCs w:val="1"/>
                <w:color w:val="auto"/>
              </w:rPr>
              <w:t>Stock</w:t>
            </w: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59" w:lineRule="exact"/>
              <w:rPr>
                <w:sz w:val="20"/>
                <w:szCs w:val="20"/>
                <w:color w:val="auto"/>
              </w:rPr>
            </w:pPr>
            <w:r>
              <w:rPr>
                <w:rFonts w:ascii="Calibri" w:cs="Calibri" w:eastAsia="Calibri" w:hAnsi="Calibri"/>
                <w:sz w:val="14"/>
                <w:szCs w:val="14"/>
                <w:b w:val="1"/>
                <w:bCs w:val="1"/>
                <w:color w:val="auto"/>
                <w:w w:val="99"/>
              </w:rPr>
              <w:t>Grant Date</w:t>
            </w:r>
          </w:p>
        </w:tc>
      </w:tr>
      <w:tr>
        <w:trPr>
          <w:trHeight w:val="224"/>
        </w:trPr>
        <w:tc>
          <w:tcPr>
            <w:tcW w:w="5860" w:type="dxa"/>
            <w:vAlign w:val="bottom"/>
          </w:tcPr>
          <w:p>
            <w:pPr>
              <w:spacing w:after="0"/>
              <w:rPr>
                <w:sz w:val="19"/>
                <w:szCs w:val="19"/>
                <w:color w:val="auto"/>
              </w:rPr>
            </w:pPr>
          </w:p>
        </w:tc>
        <w:tc>
          <w:tcPr>
            <w:tcW w:w="1220" w:type="dxa"/>
            <w:vAlign w:val="bottom"/>
            <w:tcBorders>
              <w:bottom w:val="single" w:sz="8" w:color="auto"/>
            </w:tcBorders>
          </w:tcPr>
          <w:p>
            <w:pPr>
              <w:jc w:val="right"/>
              <w:ind w:right="215"/>
              <w:spacing w:after="0" w:line="223" w:lineRule="exact"/>
              <w:rPr>
                <w:sz w:val="20"/>
                <w:szCs w:val="20"/>
                <w:color w:val="auto"/>
              </w:rPr>
            </w:pPr>
            <w:r>
              <w:rPr>
                <w:rFonts w:ascii="Calibri" w:cs="Calibri" w:eastAsia="Calibri" w:hAnsi="Calibri"/>
                <w:sz w:val="14"/>
                <w:szCs w:val="14"/>
                <w:b w:val="1"/>
                <w:bCs w:val="1"/>
                <w:color w:val="auto"/>
              </w:rPr>
              <w:t xml:space="preserve">Optons </w:t>
            </w:r>
            <w:r>
              <w:rPr>
                <w:rFonts w:ascii="Calibri" w:cs="Calibri" w:eastAsia="Calibri" w:hAnsi="Calibri"/>
                <w:sz w:val="19"/>
                <w:szCs w:val="19"/>
                <w:b w:val="1"/>
                <w:bCs w:val="1"/>
                <w:color w:val="auto"/>
                <w:vertAlign w:val="superscript"/>
              </w:rPr>
              <w:t>(1)</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78"/>
              <w:spacing w:after="0"/>
              <w:rPr>
                <w:sz w:val="20"/>
                <w:szCs w:val="20"/>
                <w:color w:val="auto"/>
              </w:rPr>
            </w:pPr>
            <w:r>
              <w:rPr>
                <w:rFonts w:ascii="Calibri" w:cs="Calibri" w:eastAsia="Calibri" w:hAnsi="Calibri"/>
                <w:sz w:val="14"/>
                <w:szCs w:val="14"/>
                <w:b w:val="1"/>
                <w:bCs w:val="1"/>
                <w:color w:val="auto"/>
                <w:w w:val="97"/>
              </w:rPr>
              <w:t>Price</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7"/>
              <w:spacing w:after="0" w:line="223" w:lineRule="exact"/>
              <w:rPr>
                <w:sz w:val="20"/>
                <w:szCs w:val="20"/>
                <w:color w:val="auto"/>
              </w:rPr>
            </w:pPr>
            <w:r>
              <w:rPr>
                <w:rFonts w:ascii="Calibri" w:cs="Calibri" w:eastAsia="Calibri" w:hAnsi="Calibri"/>
                <w:sz w:val="14"/>
                <w:szCs w:val="14"/>
                <w:b w:val="1"/>
                <w:bCs w:val="1"/>
                <w:color w:val="auto"/>
                <w:w w:val="93"/>
              </w:rPr>
              <w:t>Units</w:t>
            </w:r>
            <w:r>
              <w:rPr>
                <w:rFonts w:ascii="Calibri" w:cs="Calibri" w:eastAsia="Calibri" w:hAnsi="Calibri"/>
                <w:sz w:val="19"/>
                <w:szCs w:val="19"/>
                <w:b w:val="1"/>
                <w:bCs w:val="1"/>
                <w:color w:val="auto"/>
                <w:w w:val="93"/>
                <w:vertAlign w:val="superscript"/>
              </w:rPr>
              <w:t>(4)</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7"/>
              <w:spacing w:after="0"/>
              <w:rPr>
                <w:sz w:val="20"/>
                <w:szCs w:val="20"/>
                <w:color w:val="auto"/>
              </w:rPr>
            </w:pPr>
            <w:r>
              <w:rPr>
                <w:rFonts w:ascii="Calibri" w:cs="Calibri" w:eastAsia="Calibri" w:hAnsi="Calibri"/>
                <w:sz w:val="14"/>
                <w:szCs w:val="14"/>
                <w:b w:val="1"/>
                <w:bCs w:val="1"/>
                <w:color w:val="auto"/>
              </w:rPr>
              <w:t>Fair Value</w:t>
            </w:r>
          </w:p>
        </w:tc>
        <w:tc>
          <w:tcPr>
            <w:tcW w:w="100" w:type="dxa"/>
            <w:vAlign w:val="bottom"/>
          </w:tcPr>
          <w:p>
            <w:pPr>
              <w:spacing w:after="0"/>
              <w:rPr>
                <w:sz w:val="19"/>
                <w:szCs w:val="19"/>
                <w:color w:val="auto"/>
              </w:rPr>
            </w:pPr>
          </w:p>
        </w:tc>
      </w:tr>
      <w:tr>
        <w:trPr>
          <w:trHeight w:val="165"/>
        </w:trPr>
        <w:tc>
          <w:tcPr>
            <w:tcW w:w="5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line="165" w:lineRule="exact"/>
              <w:rPr>
                <w:sz w:val="20"/>
                <w:szCs w:val="20"/>
                <w:color w:val="auto"/>
              </w:rPr>
            </w:pPr>
            <w:r>
              <w:rPr>
                <w:rFonts w:ascii="Calibri" w:cs="Calibri" w:eastAsia="Calibri" w:hAnsi="Calibri"/>
                <w:sz w:val="14"/>
                <w:szCs w:val="14"/>
                <w:b w:val="1"/>
                <w:bCs w:val="1"/>
                <w:color w:val="auto"/>
              </w:rPr>
              <w:t>(Shares in</w:t>
            </w:r>
          </w:p>
        </w:tc>
        <w:tc>
          <w:tcPr>
            <w:tcW w:w="1340" w:type="dxa"/>
            <w:vAlign w:val="bottom"/>
            <w:gridSpan w:val="3"/>
          </w:tcPr>
          <w:p>
            <w:pPr>
              <w:jc w:val="right"/>
              <w:ind w:right="577"/>
              <w:spacing w:after="0" w:line="165" w:lineRule="exact"/>
              <w:rPr>
                <w:sz w:val="20"/>
                <w:szCs w:val="20"/>
                <w:color w:val="auto"/>
              </w:rPr>
            </w:pPr>
            <w:r>
              <w:rPr>
                <w:rFonts w:ascii="Calibri" w:cs="Calibri" w:eastAsia="Calibri" w:hAnsi="Calibri"/>
                <w:sz w:val="14"/>
                <w:szCs w:val="14"/>
                <w:b w:val="1"/>
                <w:bCs w:val="1"/>
                <w:color w:val="auto"/>
              </w:rPr>
              <w:t>thousands)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5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8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Outstanding at September 30, 2022</w:t>
            </w: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1,574</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49.89</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1,012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48.95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860" w:type="dxa"/>
            <w:vAlign w:val="bottom"/>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157</w:t>
            </w:r>
          </w:p>
        </w:tc>
        <w:tc>
          <w:tcPr>
            <w:tcW w:w="260" w:type="dxa"/>
            <w:vAlign w:val="bottom"/>
          </w:tcPr>
          <w:p>
            <w:pPr>
              <w:spacing w:after="0"/>
              <w:rPr>
                <w:sz w:val="18"/>
                <w:szCs w:val="18"/>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73.84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225</w:t>
            </w:r>
          </w:p>
        </w:tc>
        <w:tc>
          <w:tcPr>
            <w:tcW w:w="22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73.68</w:t>
            </w:r>
          </w:p>
        </w:tc>
        <w:tc>
          <w:tcPr>
            <w:tcW w:w="100" w:type="dxa"/>
            <w:vAlign w:val="bottom"/>
          </w:tcPr>
          <w:p>
            <w:pPr>
              <w:spacing w:after="0"/>
              <w:rPr>
                <w:sz w:val="18"/>
                <w:szCs w:val="18"/>
                <w:color w:val="auto"/>
              </w:rPr>
            </w:pPr>
          </w:p>
        </w:tc>
      </w:tr>
      <w:tr>
        <w:trPr>
          <w:trHeight w:val="28"/>
        </w:trPr>
        <w:tc>
          <w:tcPr>
            <w:tcW w:w="5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860" w:type="dxa"/>
            <w:vAlign w:val="bottom"/>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Performance-based adjustment</w:t>
            </w:r>
            <w:r>
              <w:rPr>
                <w:rFonts w:ascii="Calibri" w:cs="Calibri" w:eastAsia="Calibri" w:hAnsi="Calibri"/>
                <w:sz w:val="24"/>
                <w:szCs w:val="24"/>
                <w:color w:val="auto"/>
                <w:vertAlign w:val="superscript"/>
              </w:rPr>
              <w:t>(2)</w:t>
            </w:r>
          </w:p>
        </w:tc>
        <w:tc>
          <w:tcPr>
            <w:tcW w:w="1480" w:type="dxa"/>
            <w:vAlign w:val="bottom"/>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gridSpan w:val="3"/>
            <w:shd w:val="clear" w:color="auto" w:fill="CFF0FC"/>
          </w:tcPr>
          <w:p>
            <w:pPr>
              <w:ind w:left="680"/>
              <w:spacing w:after="0" w:line="215" w:lineRule="exact"/>
              <w:rPr>
                <w:sz w:val="20"/>
                <w:szCs w:val="20"/>
                <w:color w:val="auto"/>
              </w:rPr>
            </w:pPr>
            <w:r>
              <w:rPr>
                <w:rFonts w:ascii="Calibri" w:cs="Calibri" w:eastAsia="Calibri" w:hAnsi="Calibri"/>
                <w:sz w:val="18"/>
                <w:szCs w:val="18"/>
                <w:color w:val="auto"/>
              </w:rPr>
              <w:t>—   $</w:t>
            </w:r>
          </w:p>
        </w:tc>
        <w:tc>
          <w:tcPr>
            <w:tcW w:w="9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51.88</w:t>
            </w:r>
          </w:p>
        </w:tc>
        <w:tc>
          <w:tcPr>
            <w:tcW w:w="100" w:type="dxa"/>
            <w:vAlign w:val="bottom"/>
            <w:shd w:val="clear" w:color="auto" w:fill="CFF0FC"/>
          </w:tcPr>
          <w:p>
            <w:pPr>
              <w:spacing w:after="0"/>
              <w:rPr>
                <w:sz w:val="21"/>
                <w:szCs w:val="21"/>
                <w:color w:val="auto"/>
              </w:rPr>
            </w:pPr>
          </w:p>
        </w:tc>
      </w:tr>
      <w:tr>
        <w:trPr>
          <w:trHeight w:val="215"/>
        </w:trPr>
        <w:tc>
          <w:tcPr>
            <w:tcW w:w="5860" w:type="dxa"/>
            <w:vAlign w:val="bottom"/>
          </w:tcPr>
          <w:p>
            <w:pPr>
              <w:ind w:left="20"/>
              <w:spacing w:after="0" w:line="215" w:lineRule="exact"/>
              <w:rPr>
                <w:sz w:val="20"/>
                <w:szCs w:val="20"/>
                <w:color w:val="auto"/>
              </w:rPr>
            </w:pPr>
            <w:r>
              <w:rPr>
                <w:rFonts w:ascii="Calibri" w:cs="Calibri" w:eastAsia="Calibri" w:hAnsi="Calibri"/>
                <w:sz w:val="18"/>
                <w:szCs w:val="18"/>
                <w:color w:val="auto"/>
              </w:rPr>
              <w:t>Exercised / Vested</w:t>
            </w:r>
          </w:p>
        </w:tc>
        <w:tc>
          <w:tcPr>
            <w:tcW w:w="14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(75 )</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47.77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(275 )</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50.43</w:t>
            </w:r>
          </w:p>
        </w:tc>
        <w:tc>
          <w:tcPr>
            <w:tcW w:w="100" w:type="dxa"/>
            <w:vAlign w:val="bottom"/>
          </w:tcPr>
          <w:p>
            <w:pPr>
              <w:spacing w:after="0"/>
              <w:rPr>
                <w:sz w:val="18"/>
                <w:szCs w:val="18"/>
                <w:color w:val="auto"/>
              </w:rPr>
            </w:pPr>
          </w:p>
        </w:tc>
      </w:tr>
      <w:tr>
        <w:trPr>
          <w:trHeight w:val="28"/>
        </w:trPr>
        <w:tc>
          <w:tcPr>
            <w:tcW w:w="5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58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Cancelled / Forfeited</w:t>
            </w:r>
          </w:p>
        </w:tc>
        <w:tc>
          <w:tcPr>
            <w:tcW w:w="14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(15 )</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Calibri" w:cs="Calibri" w:eastAsia="Calibri" w:hAnsi="Calibri"/>
                <w:sz w:val="18"/>
                <w:szCs w:val="18"/>
                <w:color w:val="auto"/>
                <w:w w:val="87"/>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rPr>
              <w:t>49.88</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(44 )</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rPr>
              <w:t>50.20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60" w:type="dxa"/>
            <w:vAlign w:val="bottom"/>
            <w:tcBorders>
              <w:top w:val="single" w:sz="8" w:color="CFF0FC"/>
            </w:tcBorders>
          </w:tcPr>
          <w:p>
            <w:pPr>
              <w:ind w:left="20"/>
              <w:spacing w:after="0" w:line="236" w:lineRule="exact"/>
              <w:rPr>
                <w:sz w:val="20"/>
                <w:szCs w:val="20"/>
                <w:color w:val="auto"/>
              </w:rPr>
            </w:pPr>
            <w:r>
              <w:rPr>
                <w:rFonts w:ascii="Calibri" w:cs="Calibri" w:eastAsia="Calibri" w:hAnsi="Calibri"/>
                <w:sz w:val="18"/>
                <w:szCs w:val="18"/>
                <w:color w:val="auto"/>
              </w:rPr>
              <w:t>Outstanding at September 30, 2023</w:t>
            </w:r>
            <w:r>
              <w:rPr>
                <w:rFonts w:ascii="Calibri" w:cs="Calibri" w:eastAsia="Calibri" w:hAnsi="Calibri"/>
                <w:sz w:val="24"/>
                <w:szCs w:val="24"/>
                <w:color w:val="auto"/>
                <w:vertAlign w:val="superscript"/>
              </w:rPr>
              <w:t>(3)</w:t>
            </w:r>
          </w:p>
        </w:tc>
        <w:tc>
          <w:tcPr>
            <w:tcW w:w="12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1,641</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jc w:val="right"/>
              <w:ind w:right="70"/>
              <w:spacing w:after="0"/>
              <w:rPr>
                <w:sz w:val="20"/>
                <w:szCs w:val="20"/>
                <w:color w:val="auto"/>
              </w:rPr>
            </w:pPr>
            <w:r>
              <w:rPr>
                <w:rFonts w:ascii="Calibri" w:cs="Calibri" w:eastAsia="Calibri" w:hAnsi="Calibri"/>
                <w:sz w:val="18"/>
                <w:szCs w:val="18"/>
                <w:color w:val="auto"/>
                <w:w w:val="87"/>
              </w:rPr>
              <w:t>$</w:t>
            </w:r>
          </w:p>
        </w:tc>
        <w:tc>
          <w:tcPr>
            <w:tcW w:w="860" w:type="dxa"/>
            <w:vAlign w:val="bottom"/>
            <w:tcBorders>
              <w:top w:val="single" w:sz="8" w:color="CFF0FC"/>
            </w:tcBorders>
          </w:tcPr>
          <w:p>
            <w:pPr>
              <w:jc w:val="right"/>
              <w:spacing w:after="0"/>
              <w:rPr>
                <w:sz w:val="20"/>
                <w:szCs w:val="20"/>
                <w:color w:val="auto"/>
              </w:rPr>
            </w:pPr>
            <w:r>
              <w:rPr>
                <w:rFonts w:ascii="Calibri" w:cs="Calibri" w:eastAsia="Calibri" w:hAnsi="Calibri"/>
                <w:sz w:val="18"/>
                <w:szCs w:val="18"/>
                <w:color w:val="auto"/>
              </w:rPr>
              <w:t>52.27</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938</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jc w:val="right"/>
              <w:spacing w:after="0"/>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CFF0FC"/>
            </w:tcBorders>
          </w:tcPr>
          <w:p>
            <w:pPr>
              <w:jc w:val="right"/>
              <w:spacing w:after="0"/>
              <w:rPr>
                <w:sz w:val="20"/>
                <w:szCs w:val="20"/>
                <w:color w:val="auto"/>
              </w:rPr>
            </w:pPr>
            <w:r>
              <w:rPr>
                <w:rFonts w:ascii="Calibri" w:cs="Calibri" w:eastAsia="Calibri" w:hAnsi="Calibri"/>
                <w:sz w:val="18"/>
                <w:szCs w:val="18"/>
                <w:color w:val="auto"/>
              </w:rPr>
              <w:t>54.45</w:t>
            </w:r>
          </w:p>
        </w:tc>
        <w:tc>
          <w:tcPr>
            <w:tcW w:w="100" w:type="dxa"/>
            <w:vAlign w:val="bottom"/>
            <w:tcBorders>
              <w:top w:val="single" w:sz="8" w:color="CFF0FC"/>
            </w:tcBorders>
          </w:tcPr>
          <w:p>
            <w:pPr>
              <w:spacing w:after="0"/>
              <w:rPr>
                <w:sz w:val="20"/>
                <w:szCs w:val="20"/>
                <w:color w:val="auto"/>
              </w:rPr>
            </w:pPr>
          </w:p>
        </w:tc>
      </w:tr>
      <w:tr>
        <w:trPr>
          <w:trHeight w:val="20"/>
        </w:trPr>
        <w:tc>
          <w:tcPr>
            <w:tcW w:w="58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5860" w:type="dxa"/>
            <w:vAlign w:val="bottom"/>
            <w:shd w:val="clear" w:color="auto" w:fill="CFF0FC"/>
          </w:tcPr>
          <w:p>
            <w:pPr>
              <w:ind w:left="20"/>
              <w:spacing w:after="0" w:line="196" w:lineRule="exact"/>
              <w:rPr>
                <w:sz w:val="20"/>
                <w:szCs w:val="20"/>
                <w:color w:val="auto"/>
              </w:rPr>
            </w:pPr>
            <w:r>
              <w:rPr>
                <w:rFonts w:ascii="Calibri" w:cs="Calibri" w:eastAsia="Calibri" w:hAnsi="Calibri"/>
                <w:sz w:val="18"/>
                <w:szCs w:val="18"/>
                <w:color w:val="auto"/>
              </w:rPr>
              <w:t>Exercisable at September 30, 2023</w:t>
            </w:r>
          </w:p>
        </w:tc>
        <w:tc>
          <w:tcPr>
            <w:tcW w:w="1220" w:type="dxa"/>
            <w:vAlign w:val="bottom"/>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1,172</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Calibri" w:cs="Calibri" w:eastAsia="Calibri" w:hAnsi="Calibri"/>
                <w:sz w:val="18"/>
                <w:szCs w:val="18"/>
                <w:color w:val="auto"/>
                <w:w w:val="87"/>
              </w:rPr>
              <w:t>$</w:t>
            </w:r>
          </w:p>
        </w:tc>
        <w:tc>
          <w:tcPr>
            <w:tcW w:w="860" w:type="dxa"/>
            <w:vAlign w:val="bottom"/>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50.02</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8"/>
        </w:trPr>
        <w:tc>
          <w:tcPr>
            <w:tcW w:w="586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-342265</wp:posOffset>
            </wp:positionV>
            <wp:extent cx="774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-342265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33" w:lineRule="exact"/>
        <w:rPr>
          <w:sz w:val="20"/>
          <w:szCs w:val="20"/>
          <w:color w:val="auto"/>
        </w:rPr>
      </w:pPr>
    </w:p>
    <w:p>
      <w:pPr>
        <w:ind w:left="520" w:right="180" w:hanging="512"/>
        <w:spacing w:after="0" w:line="201" w:lineRule="auto"/>
        <w:tabs>
          <w:tab w:leader="none" w:pos="520" w:val="left"/>
        </w:tabs>
        <w:numPr>
          <w:ilvl w:val="0"/>
          <w:numId w:val="23"/>
        </w:numPr>
        <w:rPr>
          <w:rFonts w:ascii="Calibri" w:cs="Calibri" w:eastAsia="Calibri" w:hAnsi="Calibri"/>
          <w:sz w:val="24"/>
          <w:szCs w:val="24"/>
          <w:color w:val="auto"/>
          <w:vertAlign w:val="superscript"/>
        </w:rPr>
      </w:pPr>
      <w:r>
        <w:rPr>
          <w:rFonts w:ascii="Calibri" w:cs="Calibri" w:eastAsia="Calibri" w:hAnsi="Calibri"/>
          <w:sz w:val="18"/>
          <w:szCs w:val="18"/>
          <w:color w:val="auto"/>
        </w:rPr>
        <w:t>Unvested stock optons were approximately 469,000 and 651,000 at September 30, 2023 and 2022 and their weighted average grant date fair values were $57.92 and $49.30, respectvely.</w:t>
      </w:r>
    </w:p>
    <w:p>
      <w:pPr>
        <w:spacing w:after="0" w:line="43" w:lineRule="exact"/>
        <w:rPr>
          <w:rFonts w:ascii="Calibri" w:cs="Calibri" w:eastAsia="Calibri" w:hAnsi="Calibri"/>
          <w:sz w:val="24"/>
          <w:szCs w:val="24"/>
          <w:color w:val="auto"/>
          <w:vertAlign w:val="superscript"/>
        </w:rPr>
      </w:pPr>
    </w:p>
    <w:p>
      <w:pPr>
        <w:ind w:left="520" w:right="220" w:hanging="512"/>
        <w:spacing w:after="0" w:line="201" w:lineRule="auto"/>
        <w:tabs>
          <w:tab w:leader="none" w:pos="520" w:val="left"/>
        </w:tabs>
        <w:numPr>
          <w:ilvl w:val="0"/>
          <w:numId w:val="23"/>
        </w:numPr>
        <w:rPr>
          <w:rFonts w:ascii="Calibri" w:cs="Calibri" w:eastAsia="Calibri" w:hAnsi="Calibri"/>
          <w:sz w:val="24"/>
          <w:szCs w:val="24"/>
          <w:color w:val="auto"/>
          <w:vertAlign w:val="superscript"/>
        </w:rPr>
      </w:pPr>
      <w:r>
        <w:rPr>
          <w:rFonts w:ascii="Calibri" w:cs="Calibri" w:eastAsia="Calibri" w:hAnsi="Calibri"/>
          <w:sz w:val="18"/>
          <w:szCs w:val="18"/>
          <w:color w:val="auto"/>
        </w:rPr>
        <w:t>Represents the net incremental number of shares issuable upon vestng of performance-based restricted stock units based on the Company’s actual fnancial performance metrics for fscal 2023.</w:t>
      </w:r>
    </w:p>
    <w:p>
      <w:pPr>
        <w:spacing w:after="0" w:line="43" w:lineRule="exact"/>
        <w:rPr>
          <w:rFonts w:ascii="Calibri" w:cs="Calibri" w:eastAsia="Calibri" w:hAnsi="Calibri"/>
          <w:sz w:val="24"/>
          <w:szCs w:val="24"/>
          <w:color w:val="auto"/>
          <w:vertAlign w:val="superscript"/>
        </w:rPr>
      </w:pPr>
    </w:p>
    <w:p>
      <w:pPr>
        <w:ind w:left="520" w:right="280" w:hanging="512"/>
        <w:spacing w:after="0" w:line="201" w:lineRule="auto"/>
        <w:tabs>
          <w:tab w:leader="none" w:pos="520" w:val="left"/>
        </w:tabs>
        <w:numPr>
          <w:ilvl w:val="0"/>
          <w:numId w:val="23"/>
        </w:numPr>
        <w:rPr>
          <w:rFonts w:ascii="Calibri" w:cs="Calibri" w:eastAsia="Calibri" w:hAnsi="Calibri"/>
          <w:sz w:val="24"/>
          <w:szCs w:val="24"/>
          <w:color w:val="auto"/>
          <w:vertAlign w:val="superscript"/>
        </w:rPr>
      </w:pPr>
      <w:r>
        <w:rPr>
          <w:rFonts w:ascii="Calibri" w:cs="Calibri" w:eastAsia="Calibri" w:hAnsi="Calibri"/>
          <w:sz w:val="18"/>
          <w:szCs w:val="18"/>
          <w:color w:val="auto"/>
        </w:rPr>
        <w:t>Stock optons outstanding include optons vested and expected to vest in the future and have a weighted average remaining contractual life of 6.13 years.</w:t>
      </w:r>
    </w:p>
    <w:p>
      <w:pPr>
        <w:spacing w:after="0" w:line="29" w:lineRule="exact"/>
        <w:rPr>
          <w:rFonts w:ascii="Calibri" w:cs="Calibri" w:eastAsia="Calibri" w:hAnsi="Calibri"/>
          <w:sz w:val="24"/>
          <w:szCs w:val="24"/>
          <w:color w:val="auto"/>
          <w:vertAlign w:val="superscript"/>
        </w:rPr>
      </w:pPr>
    </w:p>
    <w:p>
      <w:pPr>
        <w:ind w:left="520" w:right="300" w:hanging="512"/>
        <w:spacing w:after="0" w:line="201" w:lineRule="auto"/>
        <w:tabs>
          <w:tab w:leader="none" w:pos="520" w:val="left"/>
        </w:tabs>
        <w:numPr>
          <w:ilvl w:val="0"/>
          <w:numId w:val="23"/>
        </w:numPr>
        <w:rPr>
          <w:rFonts w:ascii="Calibri" w:cs="Calibri" w:eastAsia="Calibri" w:hAnsi="Calibri"/>
          <w:sz w:val="24"/>
          <w:szCs w:val="24"/>
          <w:color w:val="auto"/>
          <w:vertAlign w:val="superscript"/>
        </w:rPr>
      </w:pPr>
      <w:r>
        <w:rPr>
          <w:rFonts w:ascii="Calibri" w:cs="Calibri" w:eastAsia="Calibri" w:hAnsi="Calibri"/>
          <w:sz w:val="18"/>
          <w:szCs w:val="18"/>
          <w:color w:val="auto"/>
        </w:rPr>
        <w:t>The number granted represents the number of shares issuable upon vestng of tme-based restricted stock units and performance-based restricted stock units, assuming the Company performs at the target performance level in each year of the three-year performance period.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3" w:name="page64"/>
    <w:bookmarkEnd w:id="63"/>
    <w:p>
      <w:pPr>
        <w:ind w:left="260"/>
        <w:spacing w:after="0"/>
        <w:rPr>
          <w:sz w:val="20"/>
          <w:szCs w:val="20"/>
          <w:color w:val="auto"/>
        </w:rPr>
      </w:pPr>
      <w:r>
        <w:rPr>
          <w:rFonts w:ascii="Calibri" w:cs="Calibri" w:eastAsia="Calibri" w:hAnsi="Calibri"/>
          <w:sz w:val="18"/>
          <w:szCs w:val="18"/>
          <w:b w:val="1"/>
          <w:bCs w:val="1"/>
          <w:i w:val="1"/>
          <w:iCs w:val="1"/>
          <w:color w:val="auto"/>
        </w:rPr>
        <w:t>Stock Optons</w:t>
      </w:r>
    </w:p>
    <w:p>
      <w:pPr>
        <w:spacing w:after="0" w:line="16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As of September 30, 2023, the aggregate intrinsic value for all optons outstanding and optons exercisable was $29 million. The intrinsic value of optons exercised during fscal 2023, 2022 and 2021 was $2 million, $4 million and $2 million, respectvely, and the Company received cash of $4 million, $6 million and $5 million, respectvely, from these exercises. The Company recognized immaterial tax benefts in fscal 2023, 2022 and 2021 from the exercise of stock optons which were included in (Provision) beneft for income taxes within the Consolidated Statements of Operatons.</w:t>
      </w:r>
    </w:p>
    <w:p>
      <w:pPr>
        <w:spacing w:after="0" w:line="84" w:lineRule="exact"/>
        <w:rPr>
          <w:sz w:val="20"/>
          <w:szCs w:val="20"/>
          <w:color w:val="auto"/>
        </w:rPr>
      </w:pPr>
    </w:p>
    <w:p>
      <w:pPr>
        <w:jc w:val="both"/>
        <w:ind w:right="20" w:firstLine="509"/>
        <w:spacing w:after="0"/>
        <w:rPr>
          <w:sz w:val="20"/>
          <w:szCs w:val="20"/>
          <w:color w:val="auto"/>
        </w:rPr>
      </w:pPr>
      <w:r>
        <w:rPr>
          <w:rFonts w:ascii="Calibri" w:cs="Calibri" w:eastAsia="Calibri" w:hAnsi="Calibri"/>
          <w:sz w:val="18"/>
          <w:szCs w:val="18"/>
          <w:color w:val="auto"/>
        </w:rPr>
        <w:t>The Company uses the Black-Scholes opton-pricing model to estmate the fair value of the optons at the grant date. The weighted average grant date fair values of optons granted during fscal 2023, 2022 and 2021 was $26.28, $15.95, and $9.69 per opton, respectvely. The fair values on the grant date were calculated using the following weighted-average assumptons:</w:t>
      </w:r>
    </w:p>
    <w:p>
      <w:pPr>
        <w:spacing w:after="0" w:line="13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20" w:type="dxa"/>
            <w:vAlign w:val="bottom"/>
            <w:gridSpan w:val="6"/>
          </w:tcPr>
          <w:p>
            <w:pPr>
              <w:jc w:val="right"/>
              <w:ind w:right="41"/>
              <w:spacing w:after="0"/>
              <w:rPr>
                <w:sz w:val="20"/>
                <w:szCs w:val="20"/>
                <w:color w:val="auto"/>
              </w:rPr>
            </w:pPr>
            <w:r>
              <w:rPr>
                <w:rFonts w:ascii="Calibri" w:cs="Calibri" w:eastAsia="Calibri" w:hAnsi="Calibri"/>
                <w:sz w:val="14"/>
                <w:szCs w:val="14"/>
                <w:b w:val="1"/>
                <w:bCs w:val="1"/>
                <w:color w:val="auto"/>
              </w:rPr>
              <w:t>Years Ended September 30</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420" w:type="dxa"/>
            <w:vAlign w:val="bottom"/>
          </w:tcPr>
          <w:p>
            <w:pPr>
              <w:spacing w:after="0"/>
              <w:rPr>
                <w:sz w:val="14"/>
                <w:szCs w:val="14"/>
                <w:color w:val="auto"/>
              </w:rPr>
            </w:pPr>
          </w:p>
        </w:tc>
        <w:tc>
          <w:tcPr>
            <w:tcW w:w="6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54"/>
              <w:spacing w:after="0" w:line="164" w:lineRule="exact"/>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334"/>
              <w:spacing w:after="0" w:line="164" w:lineRule="exact"/>
              <w:rPr>
                <w:sz w:val="20"/>
                <w:szCs w:val="20"/>
                <w:color w:val="auto"/>
              </w:rPr>
            </w:pPr>
            <w:r>
              <w:rPr>
                <w:rFonts w:ascii="Calibri" w:cs="Calibri" w:eastAsia="Calibri" w:hAnsi="Calibri"/>
                <w:sz w:val="14"/>
                <w:szCs w:val="14"/>
                <w:b w:val="1"/>
                <w:bCs w:val="1"/>
                <w:color w:val="auto"/>
              </w:rPr>
              <w:t>2021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420" w:type="dxa"/>
            <w:vAlign w:val="bottom"/>
            <w:vMerge w:val="restart"/>
          </w:tcPr>
          <w:p>
            <w:pPr>
              <w:spacing w:after="0"/>
              <w:rPr>
                <w:sz w:val="20"/>
                <w:szCs w:val="20"/>
                <w:color w:val="auto"/>
              </w:rPr>
            </w:pPr>
            <w:r>
              <w:rPr>
                <w:rFonts w:ascii="Calibri" w:cs="Calibri" w:eastAsia="Calibri" w:hAnsi="Calibri"/>
                <w:sz w:val="18"/>
                <w:szCs w:val="18"/>
                <w:color w:val="auto"/>
              </w:rPr>
              <w:t>Expected stock price volatlity</w:t>
            </w: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4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gridSpan w:val="2"/>
          </w:tcPr>
          <w:p>
            <w:pPr>
              <w:jc w:val="right"/>
              <w:ind w:right="100"/>
              <w:spacing w:after="0" w:line="208" w:lineRule="exact"/>
              <w:rPr>
                <w:sz w:val="20"/>
                <w:szCs w:val="20"/>
                <w:color w:val="auto"/>
              </w:rPr>
            </w:pPr>
            <w:r>
              <w:rPr>
                <w:rFonts w:ascii="Calibri" w:cs="Calibri" w:eastAsia="Calibri" w:hAnsi="Calibri"/>
                <w:sz w:val="18"/>
                <w:szCs w:val="18"/>
                <w:color w:val="auto"/>
              </w:rPr>
              <w:t>38 %</w:t>
            </w:r>
          </w:p>
        </w:tc>
        <w:tc>
          <w:tcPr>
            <w:tcW w:w="200" w:type="dxa"/>
            <w:vAlign w:val="bottom"/>
          </w:tcPr>
          <w:p>
            <w:pPr>
              <w:spacing w:after="0"/>
              <w:rPr>
                <w:sz w:val="18"/>
                <w:szCs w:val="18"/>
                <w:color w:val="auto"/>
              </w:rPr>
            </w:pPr>
          </w:p>
        </w:tc>
        <w:tc>
          <w:tcPr>
            <w:tcW w:w="960" w:type="dxa"/>
            <w:vAlign w:val="bottom"/>
            <w:gridSpan w:val="2"/>
          </w:tcPr>
          <w:p>
            <w:pPr>
              <w:jc w:val="right"/>
              <w:ind w:right="80"/>
              <w:spacing w:after="0" w:line="208" w:lineRule="exact"/>
              <w:rPr>
                <w:sz w:val="20"/>
                <w:szCs w:val="20"/>
                <w:color w:val="auto"/>
              </w:rPr>
            </w:pPr>
            <w:r>
              <w:rPr>
                <w:rFonts w:ascii="Calibri" w:cs="Calibri" w:eastAsia="Calibri" w:hAnsi="Calibri"/>
                <w:sz w:val="18"/>
                <w:szCs w:val="18"/>
                <w:color w:val="auto"/>
              </w:rPr>
              <w:t>35 %</w:t>
            </w:r>
          </w:p>
        </w:tc>
        <w:tc>
          <w:tcPr>
            <w:tcW w:w="280" w:type="dxa"/>
            <w:vAlign w:val="bottom"/>
          </w:tcPr>
          <w:p>
            <w:pPr>
              <w:spacing w:after="0"/>
              <w:rPr>
                <w:sz w:val="18"/>
                <w:szCs w:val="18"/>
                <w:color w:val="auto"/>
              </w:rPr>
            </w:pPr>
          </w:p>
        </w:tc>
        <w:tc>
          <w:tcPr>
            <w:tcW w:w="960" w:type="dxa"/>
            <w:vAlign w:val="bottom"/>
            <w:gridSpan w:val="3"/>
          </w:tcPr>
          <w:p>
            <w:pPr>
              <w:jc w:val="right"/>
              <w:spacing w:after="0" w:line="208" w:lineRule="exact"/>
              <w:rPr>
                <w:sz w:val="20"/>
                <w:szCs w:val="20"/>
                <w:color w:val="auto"/>
              </w:rPr>
            </w:pPr>
            <w:r>
              <w:rPr>
                <w:rFonts w:ascii="Calibri" w:cs="Calibri" w:eastAsia="Calibri" w:hAnsi="Calibri"/>
                <w:sz w:val="18"/>
                <w:szCs w:val="18"/>
                <w:color w:val="auto"/>
              </w:rPr>
              <w:t>36 %</w:t>
            </w: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r>
              <w:rPr>
                <w:rFonts w:ascii="Calibri" w:cs="Calibri" w:eastAsia="Calibri" w:hAnsi="Calibri"/>
                <w:sz w:val="18"/>
                <w:szCs w:val="18"/>
                <w:color w:val="auto"/>
              </w:rPr>
              <w:t>Risk free interest rate</w:t>
            </w:r>
          </w:p>
        </w:tc>
        <w:tc>
          <w:tcPr>
            <w:tcW w:w="64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Calibri" w:cs="Calibri" w:eastAsia="Calibri" w:hAnsi="Calibri"/>
                <w:sz w:val="18"/>
                <w:szCs w:val="18"/>
                <w:color w:val="auto"/>
              </w:rPr>
              <w:t>4.0 %</w:t>
            </w:r>
          </w:p>
        </w:tc>
        <w:tc>
          <w:tcPr>
            <w:tcW w:w="2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Calibri" w:cs="Calibri" w:eastAsia="Calibri" w:hAnsi="Calibri"/>
                <w:sz w:val="18"/>
                <w:szCs w:val="18"/>
                <w:color w:val="auto"/>
              </w:rPr>
              <w:t>1.4 %</w:t>
            </w:r>
          </w:p>
        </w:tc>
        <w:tc>
          <w:tcPr>
            <w:tcW w:w="2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Calibri" w:cs="Calibri" w:eastAsia="Calibri" w:hAnsi="Calibri"/>
                <w:sz w:val="18"/>
                <w:szCs w:val="18"/>
                <w:color w:val="auto"/>
              </w:rPr>
              <w:t>0.6 %</w:t>
            </w:r>
          </w:p>
        </w:tc>
        <w:tc>
          <w:tcPr>
            <w:tcW w:w="0" w:type="dxa"/>
            <w:vAlign w:val="bottom"/>
          </w:tcPr>
          <w:p>
            <w:pPr>
              <w:spacing w:after="0"/>
              <w:rPr>
                <w:sz w:val="1"/>
                <w:szCs w:val="1"/>
                <w:color w:val="auto"/>
              </w:rPr>
            </w:pPr>
          </w:p>
        </w:tc>
      </w:tr>
      <w:tr>
        <w:trPr>
          <w:trHeight w:val="37"/>
        </w:trPr>
        <w:tc>
          <w:tcPr>
            <w:tcW w:w="5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Expected life of optons (years)</w:t>
            </w:r>
          </w:p>
        </w:tc>
        <w:tc>
          <w:tcPr>
            <w:tcW w:w="6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20" w:type="dxa"/>
            <w:vAlign w:val="bottom"/>
          </w:tcPr>
          <w:p>
            <w:pPr>
              <w:spacing w:after="0" w:line="215" w:lineRule="exact"/>
              <w:rPr>
                <w:sz w:val="20"/>
                <w:szCs w:val="20"/>
                <w:color w:val="auto"/>
              </w:rPr>
            </w:pPr>
            <w:r>
              <w:rPr>
                <w:rFonts w:ascii="Calibri" w:cs="Calibri" w:eastAsia="Calibri" w:hAnsi="Calibri"/>
                <w:sz w:val="18"/>
                <w:szCs w:val="18"/>
                <w:color w:val="auto"/>
              </w:rPr>
              <w:t>Expected annual dividends per year</w:t>
            </w:r>
          </w:p>
        </w:tc>
        <w:tc>
          <w:tcPr>
            <w:tcW w:w="640" w:type="dxa"/>
            <w:vAlign w:val="bottom"/>
          </w:tcPr>
          <w:p>
            <w:pPr>
              <w:jc w:val="right"/>
              <w:ind w:right="459"/>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w w:val="93"/>
              </w:rPr>
              <w:t>1.48</w:t>
            </w:r>
          </w:p>
        </w:tc>
        <w:tc>
          <w:tcPr>
            <w:tcW w:w="24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Calibri" w:cs="Calibri" w:eastAsia="Calibri" w:hAnsi="Calibri"/>
                <w:sz w:val="16"/>
                <w:szCs w:val="16"/>
                <w:color w:val="auto"/>
                <w:w w:val="73"/>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1.40</w:t>
            </w:r>
          </w:p>
        </w:tc>
        <w:tc>
          <w:tcPr>
            <w:tcW w:w="22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Calibri" w:cs="Calibri" w:eastAsia="Calibri" w:hAnsi="Calibri"/>
                <w:sz w:val="16"/>
                <w:szCs w:val="16"/>
                <w:color w:val="auto"/>
                <w:w w:val="73"/>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1.40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-598805</wp:posOffset>
            </wp:positionV>
            <wp:extent cx="5700395" cy="1543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48" w:lineRule="exact"/>
        <w:rPr>
          <w:sz w:val="20"/>
          <w:szCs w:val="20"/>
          <w:color w:val="auto"/>
        </w:rPr>
      </w:pPr>
    </w:p>
    <w:p>
      <w:pPr>
        <w:ind w:right="100" w:firstLine="509"/>
        <w:spacing w:after="0" w:line="258" w:lineRule="auto"/>
        <w:rPr>
          <w:sz w:val="20"/>
          <w:szCs w:val="20"/>
          <w:color w:val="auto"/>
        </w:rPr>
      </w:pPr>
      <w:r>
        <w:rPr>
          <w:rFonts w:ascii="Calibri" w:cs="Calibri" w:eastAsia="Calibri" w:hAnsi="Calibri"/>
          <w:sz w:val="17"/>
          <w:szCs w:val="17"/>
          <w:color w:val="auto"/>
        </w:rPr>
        <w:t>The expected stock price volatlity assumpton was determined using the historical volatlity of the Company’s common stock over the expected life of the opton. The expected term refects the antcipated tme period between the measurement date and the exercise date or post-vestng cancellaton date.</w:t>
      </w:r>
    </w:p>
    <w:p>
      <w:pPr>
        <w:spacing w:after="0" w:line="62"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Restricted Stock Units</w:t>
      </w:r>
    </w:p>
    <w:p>
      <w:pPr>
        <w:spacing w:after="0" w:line="82" w:lineRule="exact"/>
        <w:rPr>
          <w:sz w:val="20"/>
          <w:szCs w:val="20"/>
          <w:color w:val="auto"/>
        </w:rPr>
      </w:pPr>
    </w:p>
    <w:p>
      <w:pPr>
        <w:ind w:right="300" w:firstLine="509"/>
        <w:spacing w:after="0" w:line="239" w:lineRule="auto"/>
        <w:rPr>
          <w:sz w:val="20"/>
          <w:szCs w:val="20"/>
          <w:color w:val="auto"/>
        </w:rPr>
      </w:pPr>
      <w:r>
        <w:rPr>
          <w:rFonts w:ascii="Calibri" w:cs="Calibri" w:eastAsia="Calibri" w:hAnsi="Calibri"/>
          <w:sz w:val="18"/>
          <w:szCs w:val="18"/>
          <w:color w:val="auto"/>
        </w:rPr>
        <w:t>The value of restricted stock unit awards is the closing stock price at the date of the grant. The weighted average grant date fair values of restricted stock unit awards granted during fscal 2023, 2022 and 2021 was $73.68, $58.72 and $41.92, respectvely. The intrinsic value of restricted stock units (meaning the fair value of the units on the date of vestng) that vested during fscal 2023, 2022 and 2021 was $20 million, $13 million and $8 million, respectvely.</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Supplemental 401(k) Plan</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Cabot’s Deferred Compensaton and Supplemental Retrement Plan (“SERP 401(k)”) provides benefts to highly compensated employees when the retrement plan limits established under the Internal Revenue Code prevent them from receiving all of the Company matching and retrement contributons that would otherwise be provided under the qualifed 401(k) plan. The SERP 401(k) is non-qualifed and unfunded. Contributons under the SERP 401(k) are treated as if invested in Cabot common stock. The majority of the distributons made under the SERP 401(k) are required to be paid with shares of Cabot common stock. The remaining distributons, which relate to certain grandfathered accounts, will be paid in cash based on the market price of Cabot common stock at the tme of distributon. The aggregate value of the accounts that will be paid out in stock, which is equivalent to approximately 113,000 and 103,000 shares of Cabot common stock as of September 30, 2023 and 2022, respectvely, is refected at historic cost in stockholders’ equity, and the aggregate value of the accounts that will be paid in cash, which was immaterial as of September 30, 2023 and 2022, was included in Other liabilites and marked-to-market quarterly.</w:t>
      </w:r>
    </w:p>
    <w:p>
      <w:pPr>
        <w:spacing w:after="0" w:line="21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4" w:name="page65"/>
    <w:bookmarkEnd w:id="64"/>
    <w:p>
      <w:pPr>
        <w:spacing w:after="0"/>
        <w:rPr>
          <w:sz w:val="20"/>
          <w:szCs w:val="20"/>
          <w:color w:val="auto"/>
        </w:rPr>
      </w:pPr>
      <w:r>
        <w:rPr>
          <w:rFonts w:ascii="Calibri" w:cs="Calibri" w:eastAsia="Calibri" w:hAnsi="Calibri"/>
          <w:sz w:val="18"/>
          <w:szCs w:val="18"/>
          <w:b w:val="1"/>
          <w:bCs w:val="1"/>
          <w:color w:val="auto"/>
        </w:rPr>
        <w:t>Note O. Accumulated Other Comprehensive Income (Loss)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Changes in each component of AOCI, net of tax, are as follows for fscal 2023 and 2022:</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3"/>
          </w:tcPr>
          <w:p>
            <w:pPr>
              <w:jc w:val="center"/>
              <w:ind w:right="240"/>
              <w:spacing w:after="0"/>
              <w:rPr>
                <w:sz w:val="20"/>
                <w:szCs w:val="20"/>
                <w:color w:val="auto"/>
              </w:rPr>
            </w:pPr>
            <w:r>
              <w:rPr>
                <w:rFonts w:ascii="Calibri" w:cs="Calibri" w:eastAsia="Calibri" w:hAnsi="Calibri"/>
                <w:sz w:val="14"/>
                <w:szCs w:val="14"/>
                <w:b w:val="1"/>
                <w:bCs w:val="1"/>
                <w:color w:val="auto"/>
              </w:rPr>
              <w:t>Pension and Other</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480"/>
              <w:spacing w:after="0"/>
              <w:rPr>
                <w:sz w:val="20"/>
                <w:szCs w:val="20"/>
                <w:color w:val="auto"/>
              </w:rPr>
            </w:pPr>
            <w:r>
              <w:rPr>
                <w:rFonts w:ascii="Calibri" w:cs="Calibri" w:eastAsia="Calibri" w:hAnsi="Calibri"/>
                <w:sz w:val="14"/>
                <w:szCs w:val="14"/>
                <w:b w:val="1"/>
                <w:bCs w:val="1"/>
                <w:color w:val="auto"/>
              </w:rPr>
              <w:t>Currency</w:t>
            </w:r>
          </w:p>
        </w:tc>
        <w:tc>
          <w:tcPr>
            <w:tcW w:w="14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Postretrement</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500"/>
              <w:spacing w:after="0"/>
              <w:rPr>
                <w:sz w:val="20"/>
                <w:szCs w:val="20"/>
                <w:color w:val="auto"/>
              </w:rPr>
            </w:pPr>
            <w:r>
              <w:rPr>
                <w:rFonts w:ascii="Calibri" w:cs="Calibri" w:eastAsia="Calibri" w:hAnsi="Calibri"/>
                <w:sz w:val="14"/>
                <w:szCs w:val="14"/>
                <w:b w:val="1"/>
                <w:bCs w:val="1"/>
                <w:color w:val="auto"/>
              </w:rPr>
              <w:t>Translaton</w:t>
            </w:r>
          </w:p>
        </w:tc>
        <w:tc>
          <w:tcPr>
            <w:tcW w:w="14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Beneft Liability</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500"/>
              <w:spacing w:after="0"/>
              <w:rPr>
                <w:sz w:val="20"/>
                <w:szCs w:val="20"/>
                <w:color w:val="auto"/>
              </w:rPr>
            </w:pPr>
            <w:r>
              <w:rPr>
                <w:rFonts w:ascii="Calibri" w:cs="Calibri" w:eastAsia="Calibri" w:hAnsi="Calibri"/>
                <w:sz w:val="14"/>
                <w:szCs w:val="14"/>
                <w:b w:val="1"/>
                <w:bCs w:val="1"/>
                <w:color w:val="auto"/>
              </w:rPr>
              <w:t>Adjustment</w:t>
            </w:r>
          </w:p>
        </w:tc>
        <w:tc>
          <w:tcPr>
            <w:tcW w:w="14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Adjustment</w:t>
            </w:r>
          </w:p>
        </w:tc>
        <w:tc>
          <w:tcPr>
            <w:tcW w:w="300" w:type="dxa"/>
            <w:vAlign w:val="bottom"/>
          </w:tcPr>
          <w:p>
            <w:pPr>
              <w:spacing w:after="0"/>
              <w:rPr>
                <w:sz w:val="15"/>
                <w:szCs w:val="15"/>
                <w:color w:val="auto"/>
              </w:rPr>
            </w:pPr>
          </w:p>
        </w:tc>
        <w:tc>
          <w:tcPr>
            <w:tcW w:w="1100" w:type="dxa"/>
            <w:vAlign w:val="bottom"/>
            <w:gridSpan w:val="2"/>
          </w:tcPr>
          <w:p>
            <w:pPr>
              <w:jc w:val="right"/>
              <w:ind w:right="60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236"/>
              <w:spacing w:after="0" w:line="164" w:lineRule="exact"/>
              <w:rPr>
                <w:sz w:val="20"/>
                <w:szCs w:val="20"/>
                <w:color w:val="auto"/>
              </w:rPr>
            </w:pPr>
            <w:r>
              <w:rPr>
                <w:rFonts w:ascii="Calibri" w:cs="Calibri" w:eastAsia="Calibri" w:hAnsi="Calibri"/>
                <w:sz w:val="14"/>
                <w:szCs w:val="14"/>
                <w:b w:val="1"/>
                <w:bCs w:val="1"/>
                <w:color w:val="auto"/>
              </w:rPr>
              <w:t>(In millions)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700" w:type="dxa"/>
            <w:vAlign w:val="bottom"/>
            <w:shd w:val="clear" w:color="auto" w:fill="CFF0FC"/>
          </w:tcPr>
          <w:p>
            <w:pPr>
              <w:ind w:left="20"/>
              <w:spacing w:after="0" w:line="207" w:lineRule="exact"/>
              <w:rPr>
                <w:sz w:val="20"/>
                <w:szCs w:val="20"/>
                <w:color w:val="auto"/>
              </w:rPr>
            </w:pPr>
            <w:r>
              <w:rPr>
                <w:rFonts w:ascii="Calibri" w:cs="Calibri" w:eastAsia="Calibri" w:hAnsi="Calibri"/>
                <w:sz w:val="18"/>
                <w:szCs w:val="18"/>
                <w:color w:val="auto"/>
              </w:rPr>
              <w:t>Balance at September 30, 2021 atributable to</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70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Cabot Corporaton</w:t>
            </w:r>
          </w:p>
        </w:tc>
        <w:tc>
          <w:tcPr>
            <w:tcW w:w="2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40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(265 )</w:t>
            </w:r>
          </w:p>
        </w:tc>
        <w:tc>
          <w:tcPr>
            <w:tcW w:w="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0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(24 )</w:t>
            </w:r>
          </w:p>
        </w:tc>
        <w:tc>
          <w:tcPr>
            <w:tcW w:w="300" w:type="dxa"/>
            <w:vAlign w:val="bottom"/>
            <w:tcBorders>
              <w:bottom w:val="single" w:sz="8" w:color="CFF0FC"/>
            </w:tcBorders>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(289 )</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before reclassifcatons</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(208 )</w:t>
            </w:r>
          </w:p>
        </w:tc>
        <w:tc>
          <w:tcPr>
            <w:tcW w:w="14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(196 )</w:t>
            </w:r>
          </w:p>
        </w:tc>
        <w:tc>
          <w:tcPr>
            <w:tcW w:w="0" w:type="dxa"/>
            <w:vAlign w:val="bottom"/>
          </w:tcPr>
          <w:p>
            <w:pPr>
              <w:spacing w:after="0"/>
              <w:rPr>
                <w:sz w:val="1"/>
                <w:szCs w:val="1"/>
                <w:color w:val="auto"/>
              </w:rPr>
            </w:pPr>
          </w:p>
        </w:tc>
      </w:tr>
      <w:tr>
        <w:trPr>
          <w:trHeight w:val="28"/>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Amounts reclassifed from AOCI</w:t>
            </w:r>
          </w:p>
        </w:tc>
        <w:tc>
          <w:tcPr>
            <w:tcW w:w="2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700" w:type="dxa"/>
            <w:vAlign w:val="bottom"/>
          </w:tcPr>
          <w:p>
            <w:pPr>
              <w:ind w:left="20"/>
              <w:spacing w:after="0" w:line="207" w:lineRule="exact"/>
              <w:rPr>
                <w:sz w:val="20"/>
                <w:szCs w:val="20"/>
                <w:color w:val="auto"/>
              </w:rPr>
            </w:pPr>
            <w:r>
              <w:rPr>
                <w:rFonts w:ascii="Calibri" w:cs="Calibri" w:eastAsia="Calibri" w:hAnsi="Calibri"/>
                <w:sz w:val="18"/>
                <w:szCs w:val="18"/>
                <w:color w:val="auto"/>
              </w:rPr>
              <w:t>Less: Other comprehensive income (loss) atributable to</w:t>
            </w:r>
          </w:p>
        </w:tc>
        <w:tc>
          <w:tcPr>
            <w:tcW w:w="200" w:type="dxa"/>
            <w:vAlign w:val="bottom"/>
          </w:tcPr>
          <w:p>
            <w:pPr>
              <w:spacing w:after="0"/>
              <w:rPr>
                <w:sz w:val="18"/>
                <w:szCs w:val="18"/>
                <w:color w:val="auto"/>
              </w:rPr>
            </w:pPr>
          </w:p>
        </w:tc>
        <w:tc>
          <w:tcPr>
            <w:tcW w:w="1400" w:type="dxa"/>
            <w:vAlign w:val="bottom"/>
            <w:gridSpan w:val="2"/>
            <w:vMerge w:val="restart"/>
          </w:tcPr>
          <w:p>
            <w:pPr>
              <w:jc w:val="right"/>
              <w:ind w:right="220"/>
              <w:spacing w:after="0"/>
              <w:rPr>
                <w:sz w:val="20"/>
                <w:szCs w:val="20"/>
                <w:color w:val="auto"/>
              </w:rPr>
            </w:pPr>
            <w:r>
              <w:rPr>
                <w:rFonts w:ascii="Calibri" w:cs="Calibri" w:eastAsia="Calibri" w:hAnsi="Calibri"/>
                <w:sz w:val="18"/>
                <w:szCs w:val="18"/>
                <w:color w:val="auto"/>
              </w:rPr>
              <w:t>(15 )</w:t>
            </w:r>
          </w:p>
        </w:tc>
        <w:tc>
          <w:tcPr>
            <w:tcW w:w="140" w:type="dxa"/>
            <w:vAlign w:val="bottom"/>
          </w:tcPr>
          <w:p>
            <w:pPr>
              <w:spacing w:after="0"/>
              <w:rPr>
                <w:sz w:val="18"/>
                <w:szCs w:val="18"/>
                <w:color w:val="auto"/>
              </w:rPr>
            </w:pPr>
          </w:p>
        </w:tc>
        <w:tc>
          <w:tcPr>
            <w:tcW w:w="1400" w:type="dxa"/>
            <w:vAlign w:val="bottom"/>
            <w:gridSpan w:val="2"/>
            <w:vMerge w:val="restart"/>
          </w:tcPr>
          <w:p>
            <w:pPr>
              <w:jc w:val="right"/>
              <w:ind w:right="26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1100" w:type="dxa"/>
            <w:vAlign w:val="bottom"/>
            <w:gridSpan w:val="2"/>
            <w:vMerge w:val="restart"/>
          </w:tcPr>
          <w:p>
            <w:pPr>
              <w:jc w:val="right"/>
              <w:ind w:right="40"/>
              <w:spacing w:after="0"/>
              <w:rPr>
                <w:sz w:val="20"/>
                <w:szCs w:val="20"/>
                <w:color w:val="auto"/>
              </w:rPr>
            </w:pPr>
            <w:r>
              <w:rPr>
                <w:rFonts w:ascii="Calibri" w:cs="Calibri" w:eastAsia="Calibri" w:hAnsi="Calibri"/>
                <w:sz w:val="18"/>
                <w:szCs w:val="18"/>
                <w:color w:val="auto"/>
              </w:rPr>
              <w:t>(15 )</w:t>
            </w:r>
          </w:p>
        </w:tc>
        <w:tc>
          <w:tcPr>
            <w:tcW w:w="0" w:type="dxa"/>
            <w:vAlign w:val="bottom"/>
          </w:tcPr>
          <w:p>
            <w:pPr>
              <w:spacing w:after="0"/>
              <w:rPr>
                <w:sz w:val="1"/>
                <w:szCs w:val="1"/>
                <w:color w:val="auto"/>
              </w:rPr>
            </w:pPr>
          </w:p>
        </w:tc>
      </w:tr>
      <w:tr>
        <w:trPr>
          <w:trHeight w:val="215"/>
        </w:trPr>
        <w:tc>
          <w:tcPr>
            <w:tcW w:w="6700" w:type="dxa"/>
            <w:vAlign w:val="bottom"/>
          </w:tcPr>
          <w:p>
            <w:pPr>
              <w:ind w:left="140"/>
              <w:spacing w:after="0" w:line="215" w:lineRule="exact"/>
              <w:rPr>
                <w:sz w:val="20"/>
                <w:szCs w:val="20"/>
                <w:color w:val="auto"/>
              </w:rPr>
            </w:pPr>
            <w:r>
              <w:rPr>
                <w:rFonts w:ascii="Calibri" w:cs="Calibri" w:eastAsia="Calibri" w:hAnsi="Calibri"/>
                <w:sz w:val="18"/>
                <w:szCs w:val="18"/>
                <w:color w:val="auto"/>
              </w:rPr>
              <w:t>noncontrolling interests</w:t>
            </w:r>
          </w:p>
        </w:tc>
        <w:tc>
          <w:tcPr>
            <w:tcW w:w="20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700" w:type="dxa"/>
            <w:vAlign w:val="bottom"/>
            <w:shd w:val="clear" w:color="auto" w:fill="CFF0FC"/>
          </w:tcPr>
          <w:p>
            <w:pPr>
              <w:ind w:left="20"/>
              <w:spacing w:after="0" w:line="201" w:lineRule="exact"/>
              <w:rPr>
                <w:sz w:val="20"/>
                <w:szCs w:val="20"/>
                <w:color w:val="auto"/>
              </w:rPr>
            </w:pPr>
            <w:r>
              <w:rPr>
                <w:rFonts w:ascii="Calibri" w:cs="Calibri" w:eastAsia="Calibri" w:hAnsi="Calibri"/>
                <w:sz w:val="18"/>
                <w:szCs w:val="18"/>
                <w:color w:val="auto"/>
              </w:rPr>
              <w:t>Balance at September 30, 2022 atributable to</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70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Cabot Corporaton</w:t>
            </w:r>
          </w:p>
        </w:tc>
        <w:tc>
          <w:tcPr>
            <w:tcW w:w="20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(429 )</w:t>
            </w:r>
          </w:p>
        </w:tc>
        <w:tc>
          <w:tcPr>
            <w:tcW w:w="14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(10 )</w:t>
            </w:r>
          </w:p>
        </w:tc>
        <w:tc>
          <w:tcPr>
            <w:tcW w:w="30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(439 )</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before reclassifcatons</w:t>
            </w:r>
          </w:p>
        </w:tc>
        <w:tc>
          <w:tcPr>
            <w:tcW w:w="2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80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Amounts reclassifed from AOCI</w:t>
            </w:r>
          </w:p>
        </w:tc>
        <w:tc>
          <w:tcPr>
            <w:tcW w:w="2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(4 )</w:t>
            </w: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(2 )</w:t>
            </w:r>
          </w:p>
        </w:tc>
        <w:tc>
          <w:tcPr>
            <w:tcW w:w="3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(6 )</w:t>
            </w:r>
          </w:p>
        </w:tc>
        <w:tc>
          <w:tcPr>
            <w:tcW w:w="0" w:type="dxa"/>
            <w:vAlign w:val="bottom"/>
          </w:tcPr>
          <w:p>
            <w:pPr>
              <w:spacing w:after="0"/>
              <w:rPr>
                <w:sz w:val="1"/>
                <w:szCs w:val="1"/>
                <w:color w:val="auto"/>
              </w:rPr>
            </w:pPr>
          </w:p>
        </w:tc>
      </w:tr>
      <w:tr>
        <w:trPr>
          <w:trHeight w:val="207"/>
        </w:trPr>
        <w:tc>
          <w:tcPr>
            <w:tcW w:w="6700" w:type="dxa"/>
            <w:vAlign w:val="bottom"/>
          </w:tcPr>
          <w:p>
            <w:pPr>
              <w:ind w:left="20"/>
              <w:spacing w:after="0" w:line="207" w:lineRule="exact"/>
              <w:rPr>
                <w:sz w:val="20"/>
                <w:szCs w:val="20"/>
                <w:color w:val="auto"/>
              </w:rPr>
            </w:pPr>
            <w:r>
              <w:rPr>
                <w:rFonts w:ascii="Calibri" w:cs="Calibri" w:eastAsia="Calibri" w:hAnsi="Calibri"/>
                <w:sz w:val="18"/>
                <w:szCs w:val="18"/>
                <w:color w:val="auto"/>
              </w:rPr>
              <w:t>Less: Other comprehensive income (loss) atributable to</w:t>
            </w:r>
          </w:p>
        </w:tc>
        <w:tc>
          <w:tcPr>
            <w:tcW w:w="200" w:type="dxa"/>
            <w:vAlign w:val="bottom"/>
          </w:tcPr>
          <w:p>
            <w:pPr>
              <w:spacing w:after="0"/>
              <w:rPr>
                <w:sz w:val="18"/>
                <w:szCs w:val="18"/>
                <w:color w:val="auto"/>
              </w:rPr>
            </w:pPr>
          </w:p>
        </w:tc>
        <w:tc>
          <w:tcPr>
            <w:tcW w:w="1400" w:type="dxa"/>
            <w:vAlign w:val="bottom"/>
            <w:gridSpan w:val="2"/>
            <w:vMerge w:val="restart"/>
          </w:tcPr>
          <w:p>
            <w:pPr>
              <w:jc w:val="right"/>
              <w:ind w:right="300"/>
              <w:spacing w:after="0"/>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400" w:type="dxa"/>
            <w:vAlign w:val="bottom"/>
            <w:gridSpan w:val="2"/>
            <w:vMerge w:val="restart"/>
          </w:tcPr>
          <w:p>
            <w:pPr>
              <w:jc w:val="right"/>
              <w:ind w:right="26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1100" w:type="dxa"/>
            <w:vAlign w:val="bottom"/>
            <w:gridSpan w:val="2"/>
            <w:vMerge w:val="restart"/>
          </w:tcPr>
          <w:p>
            <w:pPr>
              <w:jc w:val="right"/>
              <w:ind w:right="12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6700" w:type="dxa"/>
            <w:vAlign w:val="bottom"/>
          </w:tcPr>
          <w:p>
            <w:pPr>
              <w:ind w:left="140"/>
              <w:spacing w:after="0" w:line="215" w:lineRule="exact"/>
              <w:rPr>
                <w:sz w:val="20"/>
                <w:szCs w:val="20"/>
                <w:color w:val="auto"/>
              </w:rPr>
            </w:pPr>
            <w:r>
              <w:rPr>
                <w:rFonts w:ascii="Calibri" w:cs="Calibri" w:eastAsia="Calibri" w:hAnsi="Calibri"/>
                <w:sz w:val="18"/>
                <w:szCs w:val="18"/>
                <w:color w:val="auto"/>
              </w:rPr>
              <w:t>noncontrolling interests</w:t>
            </w:r>
          </w:p>
        </w:tc>
        <w:tc>
          <w:tcPr>
            <w:tcW w:w="20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700" w:type="dxa"/>
            <w:vAlign w:val="bottom"/>
            <w:shd w:val="clear" w:color="auto" w:fill="CFF0FC"/>
          </w:tcPr>
          <w:p>
            <w:pPr>
              <w:ind w:left="20"/>
              <w:spacing w:after="0" w:line="201" w:lineRule="exact"/>
              <w:rPr>
                <w:sz w:val="20"/>
                <w:szCs w:val="20"/>
                <w:color w:val="auto"/>
              </w:rPr>
            </w:pPr>
            <w:r>
              <w:rPr>
                <w:rFonts w:ascii="Calibri" w:cs="Calibri" w:eastAsia="Calibri" w:hAnsi="Calibri"/>
                <w:sz w:val="18"/>
                <w:szCs w:val="18"/>
                <w:color w:val="auto"/>
              </w:rPr>
              <w:t>Balance at September 30, 2023 atributable to</w:t>
            </w:r>
          </w:p>
        </w:tc>
        <w:tc>
          <w:tcPr>
            <w:tcW w:w="200" w:type="dxa"/>
            <w:vAlign w:val="bottom"/>
            <w:vMerge w:val="restart"/>
            <w:shd w:val="clear" w:color="auto" w:fill="CFF0FC"/>
          </w:tcPr>
          <w:p>
            <w:pPr>
              <w:jc w:val="right"/>
              <w:ind w:right="10"/>
              <w:spacing w:after="0"/>
              <w:rPr>
                <w:sz w:val="20"/>
                <w:szCs w:val="20"/>
                <w:color w:val="auto"/>
              </w:rPr>
            </w:pPr>
            <w:r>
              <w:rPr>
                <w:rFonts w:ascii="Calibri" w:cs="Calibri" w:eastAsia="Calibri" w:hAnsi="Calibri"/>
                <w:sz w:val="18"/>
                <w:szCs w:val="18"/>
                <w:color w:val="auto"/>
                <w:w w:val="87"/>
              </w:rPr>
              <w:t>$</w:t>
            </w:r>
          </w:p>
        </w:tc>
        <w:tc>
          <w:tcPr>
            <w:tcW w:w="1400" w:type="dxa"/>
            <w:vAlign w:val="bottom"/>
            <w:gridSpan w:val="2"/>
            <w:vMerge w:val="restart"/>
            <w:shd w:val="clear" w:color="auto" w:fill="CFF0FC"/>
          </w:tcPr>
          <w:p>
            <w:pPr>
              <w:jc w:val="right"/>
              <w:ind w:right="220"/>
              <w:spacing w:after="0"/>
              <w:rPr>
                <w:sz w:val="20"/>
                <w:szCs w:val="20"/>
                <w:color w:val="auto"/>
              </w:rPr>
            </w:pPr>
            <w:r>
              <w:rPr>
                <w:rFonts w:ascii="Calibri" w:cs="Calibri" w:eastAsia="Calibri" w:hAnsi="Calibri"/>
                <w:sz w:val="18"/>
                <w:szCs w:val="18"/>
                <w:color w:val="auto"/>
              </w:rPr>
              <w:t>(353 )</w:t>
            </w:r>
          </w:p>
        </w:tc>
        <w:tc>
          <w:tcPr>
            <w:tcW w:w="1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w w:val="87"/>
              </w:rPr>
              <w:t>$</w:t>
            </w:r>
          </w:p>
        </w:tc>
        <w:tc>
          <w:tcPr>
            <w:tcW w:w="1400" w:type="dxa"/>
            <w:vAlign w:val="bottom"/>
            <w:gridSpan w:val="2"/>
            <w:vMerge w:val="restart"/>
            <w:shd w:val="clear" w:color="auto" w:fill="CFF0FC"/>
          </w:tcPr>
          <w:p>
            <w:pPr>
              <w:jc w:val="right"/>
              <w:ind w:right="180"/>
              <w:spacing w:after="0"/>
              <w:rPr>
                <w:sz w:val="20"/>
                <w:szCs w:val="20"/>
                <w:color w:val="auto"/>
              </w:rPr>
            </w:pPr>
            <w:r>
              <w:rPr>
                <w:rFonts w:ascii="Calibri" w:cs="Calibri" w:eastAsia="Calibri" w:hAnsi="Calibri"/>
                <w:sz w:val="18"/>
                <w:szCs w:val="18"/>
                <w:color w:val="auto"/>
              </w:rPr>
              <w:t>(9 )</w:t>
            </w:r>
          </w:p>
        </w:tc>
        <w:tc>
          <w:tcPr>
            <w:tcW w:w="300" w:type="dxa"/>
            <w:vAlign w:val="bottom"/>
            <w:vMerge w:val="restart"/>
            <w:shd w:val="clear" w:color="auto" w:fill="CFF0FC"/>
          </w:tcPr>
          <w:p>
            <w:pPr>
              <w:jc w:val="right"/>
              <w:ind w:right="90"/>
              <w:spacing w:after="0"/>
              <w:rPr>
                <w:sz w:val="20"/>
                <w:szCs w:val="20"/>
                <w:color w:val="auto"/>
              </w:rPr>
            </w:pPr>
            <w:r>
              <w:rPr>
                <w:rFonts w:ascii="Calibri" w:cs="Calibri" w:eastAsia="Calibri" w:hAnsi="Calibri"/>
                <w:sz w:val="18"/>
                <w:szCs w:val="18"/>
                <w:color w:val="auto"/>
              </w:rPr>
              <w:t>$</w:t>
            </w:r>
          </w:p>
        </w:tc>
        <w:tc>
          <w:tcPr>
            <w:tcW w:w="1100" w:type="dxa"/>
            <w:vAlign w:val="bottom"/>
            <w:gridSpan w:val="2"/>
            <w:vMerge w:val="restart"/>
            <w:shd w:val="clear" w:color="auto" w:fill="CFF0FC"/>
          </w:tcPr>
          <w:p>
            <w:pPr>
              <w:jc w:val="right"/>
              <w:ind w:right="40"/>
              <w:spacing w:after="0"/>
              <w:rPr>
                <w:sz w:val="20"/>
                <w:szCs w:val="20"/>
                <w:color w:val="auto"/>
              </w:rPr>
            </w:pPr>
            <w:r>
              <w:rPr>
                <w:rFonts w:ascii="Calibri" w:cs="Calibri" w:eastAsia="Calibri" w:hAnsi="Calibri"/>
                <w:sz w:val="18"/>
                <w:szCs w:val="18"/>
                <w:color w:val="auto"/>
              </w:rPr>
              <w:t>(362 )</w:t>
            </w:r>
          </w:p>
        </w:tc>
        <w:tc>
          <w:tcPr>
            <w:tcW w:w="0" w:type="dxa"/>
            <w:vAlign w:val="bottom"/>
          </w:tcPr>
          <w:p>
            <w:pPr>
              <w:spacing w:after="0"/>
              <w:rPr>
                <w:sz w:val="1"/>
                <w:szCs w:val="1"/>
                <w:color w:val="auto"/>
              </w:rPr>
            </w:pPr>
          </w:p>
        </w:tc>
      </w:tr>
      <w:tr>
        <w:trPr>
          <w:trHeight w:val="231"/>
        </w:trPr>
        <w:tc>
          <w:tcPr>
            <w:tcW w:w="6700" w:type="dxa"/>
            <w:vAlign w:val="bottom"/>
            <w:shd w:val="clear" w:color="auto" w:fill="CFF0FC"/>
          </w:tcPr>
          <w:p>
            <w:pPr>
              <w:ind w:left="140"/>
              <w:spacing w:after="0" w:line="211" w:lineRule="exact"/>
              <w:rPr>
                <w:sz w:val="20"/>
                <w:szCs w:val="20"/>
                <w:color w:val="auto"/>
              </w:rPr>
            </w:pPr>
            <w:r>
              <w:rPr>
                <w:rFonts w:ascii="Calibri" w:cs="Calibri" w:eastAsia="Calibri" w:hAnsi="Calibri"/>
                <w:sz w:val="18"/>
                <w:szCs w:val="18"/>
                <w:color w:val="auto"/>
              </w:rPr>
              <w:t>Cabot Corporaton</w:t>
            </w:r>
          </w:p>
        </w:tc>
        <w:tc>
          <w:tcPr>
            <w:tcW w:w="200" w:type="dxa"/>
            <w:vAlign w:val="bottom"/>
            <w:vMerge w:val="continue"/>
            <w:shd w:val="clear" w:color="auto" w:fill="CFF0FC"/>
          </w:tcPr>
          <w:p>
            <w:pPr>
              <w:spacing w:after="0"/>
              <w:rPr>
                <w:sz w:val="20"/>
                <w:szCs w:val="20"/>
                <w:color w:val="auto"/>
              </w:rPr>
            </w:pPr>
          </w:p>
        </w:tc>
        <w:tc>
          <w:tcPr>
            <w:tcW w:w="1400" w:type="dxa"/>
            <w:vAlign w:val="bottom"/>
            <w:gridSpan w:val="2"/>
            <w:vMerge w:val="continue"/>
            <w:shd w:val="clear" w:color="auto" w:fill="CFF0FC"/>
          </w:tcPr>
          <w:p>
            <w:pPr>
              <w:spacing w:after="0"/>
              <w:rPr>
                <w:sz w:val="20"/>
                <w:szCs w:val="20"/>
                <w:color w:val="auto"/>
              </w:rPr>
            </w:pPr>
          </w:p>
        </w:tc>
        <w:tc>
          <w:tcPr>
            <w:tcW w:w="140" w:type="dxa"/>
            <w:vAlign w:val="bottom"/>
            <w:vMerge w:val="continue"/>
            <w:shd w:val="clear" w:color="auto" w:fill="CFF0FC"/>
          </w:tcPr>
          <w:p>
            <w:pPr>
              <w:spacing w:after="0"/>
              <w:rPr>
                <w:sz w:val="20"/>
                <w:szCs w:val="20"/>
                <w:color w:val="auto"/>
              </w:rPr>
            </w:pPr>
          </w:p>
        </w:tc>
        <w:tc>
          <w:tcPr>
            <w:tcW w:w="1400" w:type="dxa"/>
            <w:vAlign w:val="bottom"/>
            <w:gridSpan w:val="2"/>
            <w:vMerge w:val="continue"/>
            <w:shd w:val="clear" w:color="auto" w:fill="CFF0FC"/>
          </w:tcPr>
          <w:p>
            <w:pPr>
              <w:spacing w:after="0"/>
              <w:rPr>
                <w:sz w:val="20"/>
                <w:szCs w:val="20"/>
                <w:color w:val="auto"/>
              </w:rPr>
            </w:pPr>
          </w:p>
        </w:tc>
        <w:tc>
          <w:tcPr>
            <w:tcW w:w="300" w:type="dxa"/>
            <w:vAlign w:val="bottom"/>
            <w:vMerge w:val="continue"/>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768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768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amounts reclassifed out of AOCI and into the Consolidated Statements of Operatons for fscal 2023, 2022 and 2021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40" w:type="dxa"/>
            <w:vAlign w:val="bottom"/>
          </w:tcPr>
          <w:p>
            <w:pPr>
              <w:spacing w:after="0"/>
              <w:rPr>
                <w:sz w:val="17"/>
                <w:szCs w:val="17"/>
                <w:color w:val="auto"/>
              </w:rPr>
            </w:pPr>
          </w:p>
        </w:tc>
        <w:tc>
          <w:tcPr>
            <w:tcW w:w="264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Afected Line Item in the Consolidated</w:t>
            </w:r>
          </w:p>
        </w:tc>
        <w:tc>
          <w:tcPr>
            <w:tcW w:w="2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center"/>
              <w:ind w:left="474"/>
              <w:spacing w:after="0"/>
              <w:rPr>
                <w:sz w:val="20"/>
                <w:szCs w:val="20"/>
                <w:color w:val="auto"/>
              </w:rPr>
            </w:pPr>
            <w:r>
              <w:rPr>
                <w:rFonts w:ascii="Calibri" w:cs="Calibri" w:eastAsia="Calibri" w:hAnsi="Calibri"/>
                <w:sz w:val="14"/>
                <w:szCs w:val="14"/>
                <w:b w:val="1"/>
                <w:bCs w:val="1"/>
                <w:color w:val="auto"/>
              </w:rPr>
              <w:t>Years Ended 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0"/>
        </w:trPr>
        <w:tc>
          <w:tcPr>
            <w:tcW w:w="4840" w:type="dxa"/>
            <w:vAlign w:val="bottom"/>
          </w:tcPr>
          <w:p>
            <w:pPr>
              <w:spacing w:after="0"/>
              <w:rPr>
                <w:sz w:val="14"/>
                <w:szCs w:val="14"/>
                <w:color w:val="auto"/>
              </w:rPr>
            </w:pPr>
          </w:p>
        </w:tc>
        <w:tc>
          <w:tcPr>
            <w:tcW w:w="2640" w:type="dxa"/>
            <w:vAlign w:val="bottom"/>
            <w:gridSpan w:val="2"/>
          </w:tcPr>
          <w:p>
            <w:pPr>
              <w:jc w:val="center"/>
              <w:ind w:right="120"/>
              <w:spacing w:after="0" w:line="169" w:lineRule="exact"/>
              <w:rPr>
                <w:sz w:val="20"/>
                <w:szCs w:val="20"/>
                <w:color w:val="auto"/>
              </w:rPr>
            </w:pPr>
            <w:r>
              <w:rPr>
                <w:rFonts w:ascii="Calibri" w:cs="Calibri" w:eastAsia="Calibri" w:hAnsi="Calibri"/>
                <w:sz w:val="14"/>
                <w:szCs w:val="14"/>
                <w:b w:val="1"/>
                <w:bCs w:val="1"/>
                <w:color w:val="auto"/>
              </w:rPr>
              <w:t>Statements of Operatons</w:t>
            </w:r>
          </w:p>
        </w:tc>
        <w:tc>
          <w:tcPr>
            <w:tcW w:w="260" w:type="dxa"/>
            <w:vAlign w:val="bottom"/>
          </w:tcPr>
          <w:p>
            <w:pPr>
              <w:spacing w:after="0"/>
              <w:rPr>
                <w:sz w:val="14"/>
                <w:szCs w:val="14"/>
                <w:color w:val="auto"/>
              </w:rPr>
            </w:pPr>
          </w:p>
        </w:tc>
        <w:tc>
          <w:tcPr>
            <w:tcW w:w="820" w:type="dxa"/>
            <w:vAlign w:val="bottom"/>
          </w:tcPr>
          <w:p>
            <w:pPr>
              <w:jc w:val="right"/>
              <w:ind w:right="294"/>
              <w:spacing w:after="0"/>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4"/>
              <w:spacing w:after="0"/>
              <w:rPr>
                <w:sz w:val="20"/>
                <w:szCs w:val="20"/>
                <w:color w:val="auto"/>
              </w:rPr>
            </w:pPr>
            <w:r>
              <w:rPr>
                <w:rFonts w:ascii="Calibri" w:cs="Calibri" w:eastAsia="Calibri" w:hAnsi="Calibri"/>
                <w:sz w:val="14"/>
                <w:szCs w:val="14"/>
                <w:b w:val="1"/>
                <w:bCs w:val="1"/>
                <w:color w:val="auto"/>
                <w:w w:val="98"/>
              </w:rPr>
              <w:t>2022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2"/>
              <w:spacing w:after="0"/>
              <w:rPr>
                <w:sz w:val="20"/>
                <w:szCs w:val="20"/>
                <w:color w:val="auto"/>
              </w:rPr>
            </w:pPr>
            <w:r>
              <w:rPr>
                <w:rFonts w:ascii="Calibri" w:cs="Calibri" w:eastAsia="Calibri" w:hAnsi="Calibri"/>
                <w:sz w:val="14"/>
                <w:szCs w:val="14"/>
                <w:b w:val="1"/>
                <w:bCs w:val="1"/>
                <w:color w:val="auto"/>
              </w:rPr>
              <w:t>2021</w:t>
            </w:r>
          </w:p>
        </w:tc>
        <w:tc>
          <w:tcPr>
            <w:tcW w:w="100" w:type="dxa"/>
            <w:vAlign w:val="bottom"/>
          </w:tcPr>
          <w:p>
            <w:pPr>
              <w:spacing w:after="0"/>
              <w:rPr>
                <w:sz w:val="14"/>
                <w:szCs w:val="14"/>
                <w:color w:val="auto"/>
              </w:rPr>
            </w:pPr>
          </w:p>
        </w:tc>
      </w:tr>
      <w:tr>
        <w:trPr>
          <w:trHeight w:val="33"/>
        </w:trPr>
        <w:tc>
          <w:tcPr>
            <w:tcW w:w="484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48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4"/>
              <w:spacing w:after="0" w:line="164" w:lineRule="exact"/>
              <w:rPr>
                <w:sz w:val="20"/>
                <w:szCs w:val="20"/>
                <w:color w:val="auto"/>
              </w:rPr>
            </w:pPr>
            <w:r>
              <w:rPr>
                <w:rFonts w:ascii="Calibri" w:cs="Calibri" w:eastAsia="Calibri" w:hAnsi="Calibri"/>
                <w:sz w:val="14"/>
                <w:szCs w:val="14"/>
                <w:b w:val="1"/>
                <w:bCs w:val="1"/>
                <w:color w:val="auto"/>
              </w:rPr>
              <w:t>(In Millions)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8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8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Derivatves: net investment hedges</w:t>
            </w:r>
          </w:p>
        </w:tc>
        <w:tc>
          <w:tcPr>
            <w:tcW w:w="25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7"/>
        </w:trPr>
        <w:tc>
          <w:tcPr>
            <w:tcW w:w="4840" w:type="dxa"/>
            <w:vAlign w:val="bottom"/>
          </w:tcPr>
          <w:p>
            <w:pPr>
              <w:ind w:left="120"/>
              <w:spacing w:after="0" w:line="207" w:lineRule="exact"/>
              <w:rPr>
                <w:sz w:val="20"/>
                <w:szCs w:val="20"/>
                <w:color w:val="auto"/>
              </w:rPr>
            </w:pPr>
            <w:r>
              <w:rPr>
                <w:rFonts w:ascii="Calibri" w:cs="Calibri" w:eastAsia="Calibri" w:hAnsi="Calibri"/>
                <w:sz w:val="18"/>
                <w:szCs w:val="18"/>
                <w:color w:val="auto"/>
              </w:rPr>
              <w:t>(Gains) losses reclassifed to interest</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840" w:type="dxa"/>
            <w:vAlign w:val="bottom"/>
          </w:tcPr>
          <w:p>
            <w:pPr>
              <w:ind w:left="240"/>
              <w:spacing w:after="0" w:line="215" w:lineRule="exact"/>
              <w:rPr>
                <w:sz w:val="20"/>
                <w:szCs w:val="20"/>
                <w:color w:val="auto"/>
              </w:rPr>
            </w:pPr>
            <w:r>
              <w:rPr>
                <w:rFonts w:ascii="Calibri" w:cs="Calibri" w:eastAsia="Calibri" w:hAnsi="Calibri"/>
                <w:sz w:val="18"/>
                <w:szCs w:val="18"/>
                <w:color w:val="auto"/>
              </w:rPr>
              <w:t>expense</w:t>
            </w:r>
          </w:p>
        </w:tc>
        <w:tc>
          <w:tcPr>
            <w:tcW w:w="2640" w:type="dxa"/>
            <w:vAlign w:val="bottom"/>
            <w:gridSpan w:val="2"/>
          </w:tcPr>
          <w:p>
            <w:pPr>
              <w:jc w:val="center"/>
              <w:ind w:right="140"/>
              <w:spacing w:after="0" w:line="215" w:lineRule="exact"/>
              <w:rPr>
                <w:sz w:val="20"/>
                <w:szCs w:val="20"/>
                <w:color w:val="auto"/>
              </w:rPr>
            </w:pPr>
            <w:r>
              <w:rPr>
                <w:rFonts w:ascii="Calibri" w:cs="Calibri" w:eastAsia="Calibri" w:hAnsi="Calibri"/>
                <w:sz w:val="18"/>
                <w:szCs w:val="18"/>
                <w:color w:val="auto"/>
                <w:w w:val="96"/>
              </w:rPr>
              <w:t>Interest expense</w:t>
            </w: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(6 )</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(6 )</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(5 )</w:t>
            </w:r>
          </w:p>
        </w:tc>
      </w:tr>
      <w:tr>
        <w:trPr>
          <w:trHeight w:val="37"/>
        </w:trPr>
        <w:tc>
          <w:tcPr>
            <w:tcW w:w="48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7"/>
        </w:trPr>
        <w:tc>
          <w:tcPr>
            <w:tcW w:w="4840" w:type="dxa"/>
            <w:vAlign w:val="bottom"/>
            <w:shd w:val="clear" w:color="auto" w:fill="CFF0FC"/>
          </w:tcPr>
          <w:p>
            <w:pPr>
              <w:ind w:left="120"/>
              <w:spacing w:after="0" w:line="207" w:lineRule="exact"/>
              <w:rPr>
                <w:sz w:val="20"/>
                <w:szCs w:val="20"/>
                <w:color w:val="auto"/>
              </w:rPr>
            </w:pPr>
            <w:r>
              <w:rPr>
                <w:rFonts w:ascii="Calibri" w:cs="Calibri" w:eastAsia="Calibri" w:hAnsi="Calibri"/>
                <w:sz w:val="18"/>
                <w:szCs w:val="18"/>
                <w:color w:val="auto"/>
              </w:rPr>
              <w:t>(Gains) losses excluded from efectveness</w:t>
            </w:r>
          </w:p>
        </w:tc>
        <w:tc>
          <w:tcPr>
            <w:tcW w:w="2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4840" w:type="dxa"/>
            <w:vAlign w:val="bottom"/>
            <w:tcBorders>
              <w:bottom w:val="single" w:sz="8" w:color="CFF0FC"/>
            </w:tcBorders>
            <w:shd w:val="clear" w:color="auto" w:fill="CFF0FC"/>
          </w:tcPr>
          <w:p>
            <w:pPr>
              <w:ind w:left="240"/>
              <w:spacing w:after="0" w:line="215" w:lineRule="exact"/>
              <w:rPr>
                <w:sz w:val="20"/>
                <w:szCs w:val="20"/>
                <w:color w:val="auto"/>
              </w:rPr>
            </w:pPr>
            <w:r>
              <w:rPr>
                <w:rFonts w:ascii="Calibri" w:cs="Calibri" w:eastAsia="Calibri" w:hAnsi="Calibri"/>
                <w:sz w:val="18"/>
                <w:szCs w:val="18"/>
                <w:color w:val="auto"/>
              </w:rPr>
              <w:t>testng and amortzed to interest expense</w:t>
            </w:r>
          </w:p>
        </w:tc>
        <w:tc>
          <w:tcPr>
            <w:tcW w:w="2640" w:type="dxa"/>
            <w:vAlign w:val="bottom"/>
            <w:tcBorders>
              <w:bottom w:val="single" w:sz="8" w:color="CFF0FC"/>
            </w:tcBorders>
            <w:gridSpan w:val="2"/>
            <w:shd w:val="clear" w:color="auto" w:fill="CFF0FC"/>
          </w:tcPr>
          <w:p>
            <w:pPr>
              <w:jc w:val="center"/>
              <w:ind w:right="140"/>
              <w:spacing w:after="0" w:line="215" w:lineRule="exact"/>
              <w:rPr>
                <w:sz w:val="20"/>
                <w:szCs w:val="20"/>
                <w:color w:val="auto"/>
              </w:rPr>
            </w:pPr>
            <w:r>
              <w:rPr>
                <w:rFonts w:ascii="Calibri" w:cs="Calibri" w:eastAsia="Calibri" w:hAnsi="Calibri"/>
                <w:sz w:val="18"/>
                <w:szCs w:val="18"/>
                <w:color w:val="auto"/>
                <w:w w:val="96"/>
              </w:rPr>
              <w:t>Interest expense</w:t>
            </w:r>
          </w:p>
        </w:tc>
        <w:tc>
          <w:tcPr>
            <w:tcW w:w="26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7"/>
        </w:trPr>
        <w:tc>
          <w:tcPr>
            <w:tcW w:w="4840" w:type="dxa"/>
            <w:vAlign w:val="bottom"/>
          </w:tcPr>
          <w:p>
            <w:pPr>
              <w:ind w:left="20"/>
              <w:spacing w:after="0" w:line="207" w:lineRule="exact"/>
              <w:rPr>
                <w:sz w:val="20"/>
                <w:szCs w:val="20"/>
                <w:color w:val="auto"/>
              </w:rPr>
            </w:pPr>
            <w:r>
              <w:rPr>
                <w:rFonts w:ascii="Calibri" w:cs="Calibri" w:eastAsia="Calibri" w:hAnsi="Calibri"/>
                <w:sz w:val="18"/>
                <w:szCs w:val="18"/>
                <w:color w:val="auto"/>
              </w:rPr>
              <w:t>Release of current translaton adjustment</w:t>
            </w:r>
          </w:p>
        </w:tc>
        <w:tc>
          <w:tcPr>
            <w:tcW w:w="2640" w:type="dxa"/>
            <w:vAlign w:val="bottom"/>
            <w:gridSpan w:val="2"/>
          </w:tcPr>
          <w:p>
            <w:pPr>
              <w:jc w:val="center"/>
              <w:ind w:right="160"/>
              <w:spacing w:after="0" w:line="207" w:lineRule="exact"/>
              <w:rPr>
                <w:sz w:val="20"/>
                <w:szCs w:val="20"/>
                <w:color w:val="auto"/>
              </w:rPr>
            </w:pPr>
            <w:r>
              <w:rPr>
                <w:rFonts w:ascii="Calibri" w:cs="Calibri" w:eastAsia="Calibri" w:hAnsi="Calibri"/>
                <w:sz w:val="18"/>
                <w:szCs w:val="18"/>
                <w:color w:val="auto"/>
                <w:w w:val="97"/>
              </w:rPr>
              <w:t>Loss on sale of business and asset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840" w:type="dxa"/>
            <w:vAlign w:val="bottom"/>
          </w:tcPr>
          <w:p>
            <w:pPr>
              <w:spacing w:after="0"/>
              <w:rPr>
                <w:sz w:val="18"/>
                <w:szCs w:val="18"/>
                <w:color w:val="auto"/>
              </w:rPr>
            </w:pPr>
          </w:p>
        </w:tc>
        <w:tc>
          <w:tcPr>
            <w:tcW w:w="2640" w:type="dxa"/>
            <w:vAlign w:val="bottom"/>
            <w:gridSpan w:val="2"/>
          </w:tcPr>
          <w:p>
            <w:pPr>
              <w:jc w:val="center"/>
              <w:ind w:right="120"/>
              <w:spacing w:after="0" w:line="215" w:lineRule="exact"/>
              <w:rPr>
                <w:sz w:val="20"/>
                <w:szCs w:val="20"/>
                <w:color w:val="auto"/>
              </w:rPr>
            </w:pPr>
            <w:r>
              <w:rPr>
                <w:rFonts w:ascii="Calibri" w:cs="Calibri" w:eastAsia="Calibri" w:hAnsi="Calibri"/>
                <w:sz w:val="18"/>
                <w:szCs w:val="18"/>
                <w:color w:val="auto"/>
                <w:w w:val="97"/>
              </w:rPr>
              <w:t>impairment charge</w:t>
            </w:r>
          </w:p>
        </w:tc>
        <w:tc>
          <w:tcPr>
            <w:tcW w:w="260" w:type="dxa"/>
            <w:vAlign w:val="bottom"/>
          </w:tcPr>
          <w:p>
            <w:pPr>
              <w:spacing w:after="0"/>
              <w:rPr>
                <w:sz w:val="18"/>
                <w:szCs w:val="18"/>
                <w:color w:val="auto"/>
              </w:rPr>
            </w:pPr>
          </w:p>
        </w:tc>
        <w:tc>
          <w:tcPr>
            <w:tcW w:w="106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37"/>
        </w:trPr>
        <w:tc>
          <w:tcPr>
            <w:tcW w:w="48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7"/>
        </w:trPr>
        <w:tc>
          <w:tcPr>
            <w:tcW w:w="4840" w:type="dxa"/>
            <w:vAlign w:val="bottom"/>
            <w:shd w:val="clear" w:color="auto" w:fill="CFF0FC"/>
          </w:tcPr>
          <w:p>
            <w:pPr>
              <w:ind w:left="20"/>
              <w:spacing w:after="0" w:line="207" w:lineRule="exact"/>
              <w:rPr>
                <w:sz w:val="20"/>
                <w:szCs w:val="20"/>
                <w:color w:val="auto"/>
              </w:rPr>
            </w:pPr>
            <w:r>
              <w:rPr>
                <w:rFonts w:ascii="Calibri" w:cs="Calibri" w:eastAsia="Calibri" w:hAnsi="Calibri"/>
                <w:sz w:val="18"/>
                <w:szCs w:val="18"/>
                <w:color w:val="auto"/>
              </w:rPr>
              <w:t>Pension and other postretrement beneft</w:t>
            </w:r>
          </w:p>
        </w:tc>
        <w:tc>
          <w:tcPr>
            <w:tcW w:w="2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484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liability adjustment</w:t>
            </w:r>
          </w:p>
        </w:tc>
        <w:tc>
          <w:tcPr>
            <w:tcW w:w="25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07"/>
        </w:trPr>
        <w:tc>
          <w:tcPr>
            <w:tcW w:w="4840" w:type="dxa"/>
            <w:vAlign w:val="bottom"/>
          </w:tcPr>
          <w:p>
            <w:pPr>
              <w:ind w:left="120"/>
              <w:spacing w:after="0" w:line="207" w:lineRule="exact"/>
              <w:rPr>
                <w:sz w:val="20"/>
                <w:szCs w:val="20"/>
                <w:color w:val="auto"/>
              </w:rPr>
            </w:pPr>
            <w:r>
              <w:rPr>
                <w:rFonts w:ascii="Calibri" w:cs="Calibri" w:eastAsia="Calibri" w:hAnsi="Calibri"/>
                <w:sz w:val="18"/>
                <w:szCs w:val="18"/>
                <w:color w:val="auto"/>
              </w:rPr>
              <w:t>Release of actuarial losses and prior service cost</w:t>
            </w:r>
          </w:p>
        </w:tc>
        <w:tc>
          <w:tcPr>
            <w:tcW w:w="2640" w:type="dxa"/>
            <w:vAlign w:val="bottom"/>
            <w:gridSpan w:val="2"/>
          </w:tcPr>
          <w:p>
            <w:pPr>
              <w:jc w:val="center"/>
              <w:ind w:right="160"/>
              <w:spacing w:after="0" w:line="207" w:lineRule="exact"/>
              <w:rPr>
                <w:sz w:val="20"/>
                <w:szCs w:val="20"/>
                <w:color w:val="auto"/>
              </w:rPr>
            </w:pPr>
            <w:r>
              <w:rPr>
                <w:rFonts w:ascii="Calibri" w:cs="Calibri" w:eastAsia="Calibri" w:hAnsi="Calibri"/>
                <w:sz w:val="18"/>
                <w:szCs w:val="18"/>
                <w:color w:val="auto"/>
                <w:w w:val="97"/>
              </w:rPr>
              <w:t>Loss on sale of business and asset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840" w:type="dxa"/>
            <w:vAlign w:val="bottom"/>
          </w:tcPr>
          <w:p>
            <w:pPr>
              <w:ind w:left="240"/>
              <w:spacing w:after="0" w:line="215" w:lineRule="exact"/>
              <w:rPr>
                <w:sz w:val="20"/>
                <w:szCs w:val="20"/>
                <w:color w:val="auto"/>
              </w:rPr>
            </w:pPr>
            <w:r>
              <w:rPr>
                <w:rFonts w:ascii="Calibri" w:cs="Calibri" w:eastAsia="Calibri" w:hAnsi="Calibri"/>
                <w:sz w:val="18"/>
                <w:szCs w:val="18"/>
                <w:color w:val="auto"/>
              </w:rPr>
              <w:t>(credits)</w:t>
            </w:r>
          </w:p>
        </w:tc>
        <w:tc>
          <w:tcPr>
            <w:tcW w:w="2640" w:type="dxa"/>
            <w:vAlign w:val="bottom"/>
            <w:gridSpan w:val="2"/>
          </w:tcPr>
          <w:p>
            <w:pPr>
              <w:jc w:val="center"/>
              <w:ind w:right="120"/>
              <w:spacing w:after="0" w:line="215" w:lineRule="exact"/>
              <w:rPr>
                <w:sz w:val="20"/>
                <w:szCs w:val="20"/>
                <w:color w:val="auto"/>
              </w:rPr>
            </w:pPr>
            <w:r>
              <w:rPr>
                <w:rFonts w:ascii="Calibri" w:cs="Calibri" w:eastAsia="Calibri" w:hAnsi="Calibri"/>
                <w:sz w:val="18"/>
                <w:szCs w:val="18"/>
                <w:color w:val="auto"/>
                <w:w w:val="97"/>
              </w:rPr>
              <w:t>impairment charge</w:t>
            </w:r>
          </w:p>
        </w:tc>
        <w:tc>
          <w:tcPr>
            <w:tcW w:w="260" w:type="dxa"/>
            <w:vAlign w:val="bottom"/>
          </w:tcPr>
          <w:p>
            <w:pPr>
              <w:spacing w:after="0"/>
              <w:rPr>
                <w:sz w:val="18"/>
                <w:szCs w:val="18"/>
                <w:color w:val="auto"/>
              </w:rPr>
            </w:pPr>
          </w:p>
        </w:tc>
        <w:tc>
          <w:tcPr>
            <w:tcW w:w="106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37"/>
        </w:trPr>
        <w:tc>
          <w:tcPr>
            <w:tcW w:w="48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7"/>
        </w:trPr>
        <w:tc>
          <w:tcPr>
            <w:tcW w:w="4840" w:type="dxa"/>
            <w:vAlign w:val="bottom"/>
            <w:shd w:val="clear" w:color="auto" w:fill="CFF0FC"/>
          </w:tcPr>
          <w:p>
            <w:pPr>
              <w:ind w:left="120"/>
              <w:spacing w:after="0" w:line="207" w:lineRule="exact"/>
              <w:rPr>
                <w:sz w:val="20"/>
                <w:szCs w:val="20"/>
                <w:color w:val="auto"/>
              </w:rPr>
            </w:pPr>
            <w:r>
              <w:rPr>
                <w:rFonts w:ascii="Calibri" w:cs="Calibri" w:eastAsia="Calibri" w:hAnsi="Calibri"/>
                <w:sz w:val="18"/>
                <w:szCs w:val="18"/>
                <w:color w:val="auto"/>
              </w:rPr>
              <w:t>Amortzaton of actuarial losses and prior service</w:t>
            </w:r>
          </w:p>
        </w:tc>
        <w:tc>
          <w:tcPr>
            <w:tcW w:w="2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4840" w:type="dxa"/>
            <w:vAlign w:val="bottom"/>
            <w:tcBorders>
              <w:bottom w:val="single" w:sz="8" w:color="CFF0FC"/>
            </w:tcBorders>
            <w:shd w:val="clear" w:color="auto" w:fill="CFF0FC"/>
          </w:tcPr>
          <w:p>
            <w:pPr>
              <w:ind w:left="240"/>
              <w:spacing w:after="0" w:line="215" w:lineRule="exact"/>
              <w:rPr>
                <w:sz w:val="20"/>
                <w:szCs w:val="20"/>
                <w:color w:val="auto"/>
              </w:rPr>
            </w:pPr>
            <w:r>
              <w:rPr>
                <w:rFonts w:ascii="Calibri" w:cs="Calibri" w:eastAsia="Calibri" w:hAnsi="Calibri"/>
                <w:sz w:val="18"/>
                <w:szCs w:val="18"/>
                <w:color w:val="auto"/>
              </w:rPr>
              <w:t>cost (credit)</w:t>
            </w:r>
          </w:p>
        </w:tc>
        <w:tc>
          <w:tcPr>
            <w:tcW w:w="2640" w:type="dxa"/>
            <w:vAlign w:val="bottom"/>
            <w:tcBorders>
              <w:bottom w:val="single" w:sz="8" w:color="CFF0FC"/>
            </w:tcBorders>
            <w:gridSpan w:val="2"/>
            <w:shd w:val="clear" w:color="auto" w:fill="CFF0FC"/>
          </w:tcPr>
          <w:p>
            <w:pPr>
              <w:jc w:val="center"/>
              <w:ind w:right="120"/>
              <w:spacing w:after="0" w:line="215" w:lineRule="exact"/>
              <w:rPr>
                <w:sz w:val="20"/>
                <w:szCs w:val="20"/>
                <w:color w:val="auto"/>
              </w:rPr>
            </w:pPr>
            <w:r>
              <w:rPr>
                <w:rFonts w:ascii="Calibri" w:cs="Calibri" w:eastAsia="Calibri" w:hAnsi="Calibri"/>
                <w:sz w:val="18"/>
                <w:szCs w:val="18"/>
                <w:color w:val="auto"/>
                <w:w w:val="97"/>
              </w:rPr>
              <w:t>Other income (expense)</w:t>
            </w:r>
          </w:p>
        </w:tc>
        <w:tc>
          <w:tcPr>
            <w:tcW w:w="26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(2 )</w:t>
            </w:r>
          </w:p>
        </w:tc>
        <w:tc>
          <w:tcPr>
            <w:tcW w:w="1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4840" w:type="dxa"/>
            <w:vAlign w:val="bottom"/>
          </w:tcPr>
          <w:p>
            <w:pPr>
              <w:ind w:left="120"/>
              <w:spacing w:after="0" w:line="215" w:lineRule="exact"/>
              <w:rPr>
                <w:sz w:val="20"/>
                <w:szCs w:val="20"/>
                <w:color w:val="auto"/>
              </w:rPr>
            </w:pPr>
            <w:r>
              <w:rPr>
                <w:rFonts w:ascii="Calibri" w:cs="Calibri" w:eastAsia="Calibri" w:hAnsi="Calibri"/>
                <w:sz w:val="18"/>
                <w:szCs w:val="18"/>
                <w:color w:val="auto"/>
              </w:rPr>
              <w:t>Setlement and curtailment loss (gain)</w:t>
            </w:r>
          </w:p>
        </w:tc>
        <w:tc>
          <w:tcPr>
            <w:tcW w:w="2640" w:type="dxa"/>
            <w:vAlign w:val="bottom"/>
            <w:gridSpan w:val="2"/>
          </w:tcPr>
          <w:p>
            <w:pPr>
              <w:jc w:val="center"/>
              <w:ind w:right="120"/>
              <w:spacing w:after="0"/>
              <w:rPr>
                <w:sz w:val="20"/>
                <w:szCs w:val="20"/>
                <w:color w:val="auto"/>
              </w:rPr>
            </w:pPr>
            <w:r>
              <w:rPr>
                <w:rFonts w:ascii="Calibri" w:cs="Calibri" w:eastAsia="Calibri" w:hAnsi="Calibri"/>
                <w:sz w:val="18"/>
                <w:szCs w:val="18"/>
                <w:color w:val="auto"/>
                <w:w w:val="97"/>
              </w:rPr>
              <w:t>Other income (expense)</w:t>
            </w:r>
          </w:p>
        </w:tc>
        <w:tc>
          <w:tcPr>
            <w:tcW w:w="260" w:type="dxa"/>
            <w:vAlign w:val="bottom"/>
          </w:tcPr>
          <w:p>
            <w:pPr>
              <w:spacing w:after="0"/>
              <w:rPr>
                <w:sz w:val="19"/>
                <w:szCs w:val="19"/>
                <w:color w:val="auto"/>
              </w:rPr>
            </w:pPr>
          </w:p>
        </w:tc>
        <w:tc>
          <w:tcPr>
            <w:tcW w:w="106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(1 )</w:t>
            </w:r>
          </w:p>
        </w:tc>
        <w:tc>
          <w:tcPr>
            <w:tcW w:w="24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tcPr>
          <w:p>
            <w:pPr>
              <w:spacing w:after="0"/>
              <w:rPr>
                <w:sz w:val="19"/>
                <w:szCs w:val="19"/>
                <w:color w:val="auto"/>
              </w:rPr>
            </w:pPr>
          </w:p>
        </w:tc>
      </w:tr>
      <w:tr>
        <w:trPr>
          <w:trHeight w:val="23"/>
        </w:trPr>
        <w:tc>
          <w:tcPr>
            <w:tcW w:w="48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484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Total before tax</w:t>
            </w:r>
          </w:p>
        </w:tc>
        <w:tc>
          <w:tcPr>
            <w:tcW w:w="25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(6 )</w:t>
            </w: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w:t>
            </w: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shd w:val="clear" w:color="auto" w:fill="CFF0FC"/>
          </w:tcPr>
          <w:p>
            <w:pPr>
              <w:spacing w:after="0"/>
              <w:rPr>
                <w:sz w:val="24"/>
                <w:szCs w:val="24"/>
                <w:color w:val="auto"/>
              </w:rPr>
            </w:pPr>
          </w:p>
        </w:tc>
      </w:tr>
      <w:tr>
        <w:trPr>
          <w:trHeight w:val="605"/>
        </w:trPr>
        <w:tc>
          <w:tcPr>
            <w:tcW w:w="4840" w:type="dxa"/>
            <w:vAlign w:val="bottom"/>
            <w:tcBorders>
              <w:top w:val="single" w:sz="8" w:color="CFF0FC"/>
            </w:tcBorders>
          </w:tcPr>
          <w:p>
            <w:pPr>
              <w:spacing w:after="0"/>
              <w:rPr>
                <w:sz w:val="24"/>
                <w:szCs w:val="24"/>
                <w:color w:val="auto"/>
              </w:rPr>
            </w:pPr>
          </w:p>
        </w:tc>
        <w:tc>
          <w:tcPr>
            <w:tcW w:w="2520" w:type="dxa"/>
            <w:vAlign w:val="bottom"/>
            <w:tcBorders>
              <w:top w:val="single" w:sz="8" w:color="CFF0FC"/>
            </w:tcBorders>
          </w:tcPr>
          <w:p>
            <w:pPr>
              <w:jc w:val="right"/>
              <w:ind w:right="1553"/>
              <w:spacing w:after="0"/>
              <w:rPr>
                <w:sz w:val="20"/>
                <w:szCs w:val="20"/>
                <w:color w:val="auto"/>
              </w:rPr>
            </w:pPr>
            <w:r>
              <w:rPr>
                <w:rFonts w:ascii="Calibri" w:cs="Calibri" w:eastAsia="Calibri" w:hAnsi="Calibri"/>
                <w:sz w:val="18"/>
                <w:szCs w:val="18"/>
                <w:color w:val="auto"/>
              </w:rPr>
              <w:t>65</w:t>
            </w: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38"/>
        </w:trPr>
        <w:tc>
          <w:tcPr>
            <w:tcW w:w="4840" w:type="dxa"/>
            <w:vAlign w:val="bottom"/>
            <w:tcBorders>
              <w:bottom w:val="single" w:sz="8" w:color="9A9A9A"/>
            </w:tcBorders>
          </w:tcPr>
          <w:p>
            <w:pPr>
              <w:spacing w:after="0"/>
              <w:rPr>
                <w:sz w:val="12"/>
                <w:szCs w:val="12"/>
                <w:color w:val="auto"/>
              </w:rPr>
            </w:pPr>
          </w:p>
        </w:tc>
        <w:tc>
          <w:tcPr>
            <w:tcW w:w="25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-521970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-504825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-521970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-504825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5" w:name="page66"/>
    <w:bookmarkEnd w:id="65"/>
    <w:p>
      <w:pPr>
        <w:spacing w:after="0"/>
        <w:rPr>
          <w:sz w:val="20"/>
          <w:szCs w:val="20"/>
          <w:color w:val="auto"/>
        </w:rPr>
      </w:pPr>
      <w:r>
        <w:rPr>
          <w:rFonts w:ascii="Calibri" w:cs="Calibri" w:eastAsia="Calibri" w:hAnsi="Calibri"/>
          <w:sz w:val="18"/>
          <w:szCs w:val="18"/>
          <w:b w:val="1"/>
          <w:bCs w:val="1"/>
          <w:color w:val="auto"/>
        </w:rPr>
        <w:t>Note P. Earnings Per Share</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tables summarize the components of the basic and diluted earnings per common share (“EPS”) computatons:</w:t>
      </w:r>
    </w:p>
    <w:p>
      <w:pPr>
        <w:spacing w:after="0" w:line="10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20" w:type="dxa"/>
            <w:vAlign w:val="bottom"/>
            <w:gridSpan w:val="6"/>
          </w:tcPr>
          <w:p>
            <w:pPr>
              <w:jc w:val="right"/>
              <w:ind w:right="180"/>
              <w:spacing w:after="0"/>
              <w:rPr>
                <w:sz w:val="20"/>
                <w:szCs w:val="20"/>
                <w:color w:val="auto"/>
              </w:rPr>
            </w:pPr>
            <w:r>
              <w:rPr>
                <w:rFonts w:ascii="Calibri" w:cs="Calibri" w:eastAsia="Calibri" w:hAnsi="Calibri"/>
                <w:sz w:val="14"/>
                <w:szCs w:val="14"/>
                <w:b w:val="1"/>
                <w:bCs w:val="1"/>
                <w:color w:val="auto"/>
              </w:rPr>
              <w:t>Years Ended September 30</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3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36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4"/>
              <w:spacing w:after="0" w:line="164" w:lineRule="exact"/>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4"/>
              <w:spacing w:after="0" w:line="164" w:lineRule="exact"/>
              <w:rPr>
                <w:sz w:val="20"/>
                <w:szCs w:val="20"/>
                <w:color w:val="auto"/>
              </w:rPr>
            </w:pPr>
            <w:r>
              <w:rPr>
                <w:rFonts w:ascii="Calibri" w:cs="Calibri" w:eastAsia="Calibri" w:hAnsi="Calibri"/>
                <w:sz w:val="14"/>
                <w:szCs w:val="14"/>
                <w:b w:val="1"/>
                <w:bCs w:val="1"/>
                <w:color w:val="auto"/>
              </w:rPr>
              <w:t>2021</w:t>
            </w:r>
          </w:p>
        </w:tc>
        <w:tc>
          <w:tcPr>
            <w:tcW w:w="80" w:type="dxa"/>
            <w:vAlign w:val="bottom"/>
          </w:tcPr>
          <w:p>
            <w:pPr>
              <w:spacing w:after="0"/>
              <w:rPr>
                <w:sz w:val="14"/>
                <w:szCs w:val="14"/>
                <w:color w:val="auto"/>
              </w:rPr>
            </w:pPr>
          </w:p>
        </w:tc>
      </w:tr>
      <w:tr>
        <w:trPr>
          <w:trHeight w:val="33"/>
        </w:trPr>
        <w:tc>
          <w:tcPr>
            <w:tcW w:w="536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360" w:type="dxa"/>
            <w:vAlign w:val="bottom"/>
          </w:tcPr>
          <w:p>
            <w:pPr>
              <w:spacing w:after="0"/>
              <w:rPr>
                <w:sz w:val="14"/>
                <w:szCs w:val="14"/>
                <w:color w:val="auto"/>
              </w:rPr>
            </w:pPr>
          </w:p>
        </w:tc>
        <w:tc>
          <w:tcPr>
            <w:tcW w:w="3620" w:type="dxa"/>
            <w:vAlign w:val="bottom"/>
            <w:gridSpan w:val="9"/>
          </w:tcPr>
          <w:p>
            <w:pPr>
              <w:ind w:left="600"/>
              <w:spacing w:after="0" w:line="164" w:lineRule="exact"/>
              <w:rPr>
                <w:sz w:val="20"/>
                <w:szCs w:val="20"/>
                <w:color w:val="auto"/>
              </w:rPr>
            </w:pPr>
            <w:r>
              <w:rPr>
                <w:rFonts w:ascii="Calibri" w:cs="Calibri" w:eastAsia="Calibri" w:hAnsi="Calibri"/>
                <w:sz w:val="14"/>
                <w:szCs w:val="14"/>
                <w:b w:val="1"/>
                <w:bCs w:val="1"/>
                <w:color w:val="auto"/>
              </w:rPr>
              <w:t>(In millions, except per share amounts)</w:t>
            </w:r>
          </w:p>
        </w:tc>
      </w:tr>
      <w:tr>
        <w:trPr>
          <w:trHeight w:val="33"/>
        </w:trPr>
        <w:tc>
          <w:tcPr>
            <w:tcW w:w="5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53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Basic EPS:</w:t>
            </w:r>
          </w:p>
        </w:tc>
        <w:tc>
          <w:tcPr>
            <w:tcW w:w="7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5360" w:type="dxa"/>
            <w:vAlign w:val="bottom"/>
          </w:tcPr>
          <w:p>
            <w:pPr>
              <w:ind w:left="180"/>
              <w:spacing w:after="0" w:line="215" w:lineRule="exact"/>
              <w:rPr>
                <w:sz w:val="20"/>
                <w:szCs w:val="20"/>
                <w:color w:val="auto"/>
              </w:rPr>
            </w:pPr>
            <w:r>
              <w:rPr>
                <w:rFonts w:ascii="Calibri" w:cs="Calibri" w:eastAsia="Calibri" w:hAnsi="Calibri"/>
                <w:sz w:val="18"/>
                <w:szCs w:val="18"/>
                <w:color w:val="auto"/>
              </w:rPr>
              <w:t>Net income (loss) atributable to Cabot Corporaton</w:t>
            </w:r>
          </w:p>
        </w:tc>
        <w:tc>
          <w:tcPr>
            <w:tcW w:w="720" w:type="dxa"/>
            <w:vAlign w:val="bottom"/>
          </w:tcPr>
          <w:p>
            <w:pPr>
              <w:jc w:val="right"/>
              <w:ind w:right="539"/>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445</w:t>
            </w:r>
          </w:p>
        </w:tc>
        <w:tc>
          <w:tcPr>
            <w:tcW w:w="46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209</w:t>
            </w:r>
          </w:p>
        </w:tc>
        <w:tc>
          <w:tcPr>
            <w:tcW w:w="4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250</w:t>
            </w:r>
          </w:p>
        </w:tc>
        <w:tc>
          <w:tcPr>
            <w:tcW w:w="80" w:type="dxa"/>
            <w:vAlign w:val="bottom"/>
          </w:tcPr>
          <w:p>
            <w:pPr>
              <w:spacing w:after="0"/>
              <w:rPr>
                <w:sz w:val="18"/>
                <w:szCs w:val="18"/>
                <w:color w:val="auto"/>
              </w:rPr>
            </w:pPr>
          </w:p>
        </w:tc>
      </w:tr>
      <w:tr>
        <w:trPr>
          <w:trHeight w:val="28"/>
        </w:trPr>
        <w:tc>
          <w:tcPr>
            <w:tcW w:w="5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7"/>
        </w:trPr>
        <w:tc>
          <w:tcPr>
            <w:tcW w:w="5360" w:type="dxa"/>
            <w:vAlign w:val="bottom"/>
            <w:shd w:val="clear" w:color="auto" w:fill="CFF0FC"/>
          </w:tcPr>
          <w:p>
            <w:pPr>
              <w:ind w:left="180"/>
              <w:spacing w:after="0" w:line="207" w:lineRule="exact"/>
              <w:rPr>
                <w:sz w:val="20"/>
                <w:szCs w:val="20"/>
                <w:color w:val="auto"/>
              </w:rPr>
            </w:pPr>
            <w:r>
              <w:rPr>
                <w:rFonts w:ascii="Calibri" w:cs="Calibri" w:eastAsia="Calibri" w:hAnsi="Calibri"/>
                <w:sz w:val="18"/>
                <w:szCs w:val="18"/>
                <w:color w:val="auto"/>
              </w:rPr>
              <w:t>Less: Dividends and dividend equivalents to partcipatng</w:t>
            </w: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2"/>
        </w:trPr>
        <w:tc>
          <w:tcPr>
            <w:tcW w:w="5360" w:type="dxa"/>
            <w:vAlign w:val="bottom"/>
            <w:tcBorders>
              <w:bottom w:val="single" w:sz="8" w:color="CFF0FC"/>
            </w:tcBorders>
            <w:shd w:val="clear" w:color="auto" w:fill="CFF0FC"/>
          </w:tcPr>
          <w:p>
            <w:pPr>
              <w:ind w:left="300"/>
              <w:spacing w:after="0" w:line="215" w:lineRule="exact"/>
              <w:rPr>
                <w:sz w:val="20"/>
                <w:szCs w:val="20"/>
                <w:color w:val="auto"/>
              </w:rPr>
            </w:pPr>
            <w:r>
              <w:rPr>
                <w:rFonts w:ascii="Calibri" w:cs="Calibri" w:eastAsia="Calibri" w:hAnsi="Calibri"/>
                <w:sz w:val="18"/>
                <w:szCs w:val="18"/>
                <w:color w:val="auto"/>
              </w:rPr>
              <w:t>securites</w:t>
            </w:r>
          </w:p>
        </w:tc>
        <w:tc>
          <w:tcPr>
            <w:tcW w:w="7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5360" w:type="dxa"/>
            <w:vAlign w:val="bottom"/>
          </w:tcPr>
          <w:p>
            <w:pPr>
              <w:ind w:left="180"/>
              <w:spacing w:after="0" w:line="183" w:lineRule="exact"/>
              <w:rPr>
                <w:sz w:val="20"/>
                <w:szCs w:val="20"/>
                <w:color w:val="auto"/>
              </w:rPr>
            </w:pPr>
            <w:r>
              <w:rPr>
                <w:rFonts w:ascii="Calibri" w:cs="Calibri" w:eastAsia="Calibri" w:hAnsi="Calibri"/>
                <w:sz w:val="18"/>
                <w:szCs w:val="18"/>
                <w:color w:val="auto"/>
              </w:rPr>
              <w:t>Less: Undistributed earnings allocated to partcipatng</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63"/>
        </w:trPr>
        <w:tc>
          <w:tcPr>
            <w:tcW w:w="5360" w:type="dxa"/>
            <w:vAlign w:val="bottom"/>
          </w:tcPr>
          <w:p>
            <w:pPr>
              <w:ind w:left="300"/>
              <w:spacing w:after="0" w:line="263" w:lineRule="exact"/>
              <w:rPr>
                <w:sz w:val="20"/>
                <w:szCs w:val="20"/>
                <w:color w:val="auto"/>
              </w:rPr>
            </w:pPr>
            <w:r>
              <w:rPr>
                <w:rFonts w:ascii="Calibri" w:cs="Calibri" w:eastAsia="Calibri" w:hAnsi="Calibri"/>
                <w:sz w:val="18"/>
                <w:szCs w:val="18"/>
                <w:color w:val="auto"/>
              </w:rPr>
              <w:t>securites</w:t>
            </w:r>
            <w:r>
              <w:rPr>
                <w:rFonts w:ascii="Calibri" w:cs="Calibri" w:eastAsia="Calibri" w:hAnsi="Calibri"/>
                <w:sz w:val="24"/>
                <w:szCs w:val="24"/>
                <w:color w:val="auto"/>
                <w:vertAlign w:val="superscript"/>
              </w:rPr>
              <w:t>(1)</w:t>
            </w:r>
          </w:p>
        </w:tc>
        <w:tc>
          <w:tcPr>
            <w:tcW w:w="7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7</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2</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2</w:t>
            </w:r>
          </w:p>
        </w:tc>
        <w:tc>
          <w:tcPr>
            <w:tcW w:w="80" w:type="dxa"/>
            <w:vAlign w:val="bottom"/>
          </w:tcPr>
          <w:p>
            <w:pPr>
              <w:spacing w:after="0"/>
              <w:rPr>
                <w:sz w:val="22"/>
                <w:szCs w:val="22"/>
                <w:color w:val="auto"/>
              </w:rPr>
            </w:pPr>
          </w:p>
        </w:tc>
      </w:tr>
      <w:tr>
        <w:trPr>
          <w:trHeight w:val="257"/>
        </w:trPr>
        <w:tc>
          <w:tcPr>
            <w:tcW w:w="5360" w:type="dxa"/>
            <w:vAlign w:val="bottom"/>
            <w:shd w:val="clear" w:color="auto" w:fill="CFF0FC"/>
          </w:tcPr>
          <w:p>
            <w:pPr>
              <w:ind w:left="180"/>
              <w:spacing w:after="0"/>
              <w:rPr>
                <w:sz w:val="20"/>
                <w:szCs w:val="20"/>
                <w:color w:val="auto"/>
              </w:rPr>
            </w:pPr>
            <w:r>
              <w:rPr>
                <w:rFonts w:ascii="Calibri" w:cs="Calibri" w:eastAsia="Calibri" w:hAnsi="Calibri"/>
                <w:sz w:val="18"/>
                <w:szCs w:val="18"/>
                <w:color w:val="auto"/>
              </w:rPr>
              <w:t>Earnings (loss) allocated to common shareholders (numerator)</w:t>
            </w:r>
          </w:p>
        </w:tc>
        <w:tc>
          <w:tcPr>
            <w:tcW w:w="720" w:type="dxa"/>
            <w:vAlign w:val="bottom"/>
            <w:shd w:val="clear" w:color="auto" w:fill="CFF0FC"/>
          </w:tcPr>
          <w:p>
            <w:pPr>
              <w:jc w:val="right"/>
              <w:ind w:right="539"/>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437</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206</w:t>
            </w:r>
          </w:p>
        </w:tc>
        <w:tc>
          <w:tcPr>
            <w:tcW w:w="44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247</w:t>
            </w:r>
          </w:p>
        </w:tc>
        <w:tc>
          <w:tcPr>
            <w:tcW w:w="80" w:type="dxa"/>
            <w:vAlign w:val="bottom"/>
            <w:shd w:val="clear" w:color="auto" w:fill="CFF0FC"/>
          </w:tcPr>
          <w:p>
            <w:pPr>
              <w:spacing w:after="0"/>
              <w:rPr>
                <w:sz w:val="22"/>
                <w:szCs w:val="22"/>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-24765</wp:posOffset>
            </wp:positionV>
            <wp:extent cx="603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03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514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514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sectPr>
      </w:pPr>
    </w:p>
    <w:p>
      <w:pPr>
        <w:spacing w:after="0" w:line="234" w:lineRule="exact"/>
        <w:rPr>
          <w:sz w:val="20"/>
          <w:szCs w:val="20"/>
          <w:color w:val="auto"/>
        </w:rPr>
      </w:pPr>
    </w:p>
    <w:p>
      <w:pPr>
        <w:ind w:left="1440" w:right="1480" w:hanging="118"/>
        <w:spacing w:after="0" w:line="235" w:lineRule="auto"/>
        <w:rPr>
          <w:sz w:val="20"/>
          <w:szCs w:val="20"/>
          <w:color w:val="auto"/>
        </w:rPr>
      </w:pPr>
      <w:r>
        <w:rPr>
          <w:rFonts w:ascii="Calibri" w:cs="Calibri" w:eastAsia="Calibri" w:hAnsi="Calibri"/>
          <w:sz w:val="18"/>
          <w:szCs w:val="18"/>
          <w:color w:val="auto"/>
        </w:rPr>
        <w:t>Weighted average common shares and partcipatng securites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-266700</wp:posOffset>
            </wp:positionV>
            <wp:extent cx="5700395" cy="291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700395" cy="291465"/>
                    </a:xfrm>
                    <a:prstGeom prst="rect">
                      <a:avLst/>
                    </a:prstGeom>
                    <a:noFill/>
                  </pic:spPr>
                </pic:pic>
              </a:graphicData>
            </a:graphic>
          </wp:anchor>
        </w:drawing>
      </w:r>
    </w:p>
    <w:p>
      <w:pPr>
        <w:ind w:left="1320"/>
        <w:spacing w:after="0"/>
        <w:rPr>
          <w:sz w:val="20"/>
          <w:szCs w:val="20"/>
          <w:color w:val="auto"/>
        </w:rPr>
      </w:pPr>
      <w:r>
        <w:rPr>
          <w:rFonts w:ascii="Calibri" w:cs="Calibri" w:eastAsia="Calibri" w:hAnsi="Calibri"/>
          <w:sz w:val="18"/>
          <w:szCs w:val="18"/>
          <w:color w:val="auto"/>
        </w:rPr>
        <w:t>Less: Partcipatng securites</w:t>
      </w:r>
      <w:r>
        <w:rPr>
          <w:rFonts w:ascii="Calibri" w:cs="Calibri" w:eastAsia="Calibri" w:hAnsi="Calibri"/>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-1905</wp:posOffset>
            </wp:positionV>
            <wp:extent cx="5700395" cy="291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700395" cy="291465"/>
                    </a:xfrm>
                    <a:prstGeom prst="rect">
                      <a:avLst/>
                    </a:prstGeom>
                    <a:noFill/>
                  </pic:spPr>
                </pic:pic>
              </a:graphicData>
            </a:graphic>
          </wp:anchor>
        </w:drawing>
      </w:r>
    </w:p>
    <w:p>
      <w:pPr>
        <w:ind w:left="1320"/>
        <w:spacing w:after="0" w:line="221" w:lineRule="auto"/>
        <w:rPr>
          <w:sz w:val="20"/>
          <w:szCs w:val="20"/>
          <w:color w:val="auto"/>
        </w:rPr>
      </w:pPr>
      <w:r>
        <w:rPr>
          <w:rFonts w:ascii="Calibri" w:cs="Calibri" w:eastAsia="Calibri" w:hAnsi="Calibri"/>
          <w:sz w:val="18"/>
          <w:szCs w:val="18"/>
          <w:color w:val="auto"/>
        </w:rPr>
        <w:t>Adjusted weighted average common shares</w:t>
      </w:r>
    </w:p>
    <w:p>
      <w:pPr>
        <w:ind w:left="1440"/>
        <w:spacing w:after="0" w:line="235" w:lineRule="auto"/>
        <w:rPr>
          <w:sz w:val="20"/>
          <w:szCs w:val="20"/>
          <w:color w:val="auto"/>
        </w:rPr>
      </w:pPr>
      <w:r>
        <w:rPr>
          <w:rFonts w:ascii="Calibri" w:cs="Calibri" w:eastAsia="Calibri" w:hAnsi="Calibri"/>
          <w:sz w:val="18"/>
          <w:szCs w:val="18"/>
          <w:color w:val="auto"/>
        </w:rPr>
        <w:t>(denominator)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tabs>
          <w:tab w:leader="none" w:pos="1240" w:val="left"/>
          <w:tab w:leader="none" w:pos="2460" w:val="left"/>
        </w:tabs>
        <w:rPr>
          <w:sz w:val="20"/>
          <w:szCs w:val="20"/>
          <w:color w:val="auto"/>
        </w:rPr>
      </w:pPr>
      <w:r>
        <w:rPr>
          <w:rFonts w:ascii="Calibri" w:cs="Calibri" w:eastAsia="Calibri" w:hAnsi="Calibri"/>
          <w:sz w:val="18"/>
          <w:szCs w:val="18"/>
          <w:color w:val="auto"/>
        </w:rPr>
        <w:t>57.3</w:t>
      </w:r>
      <w:r>
        <w:rPr>
          <w:sz w:val="20"/>
          <w:szCs w:val="20"/>
          <w:color w:val="auto"/>
        </w:rPr>
        <w:tab/>
      </w:r>
      <w:r>
        <w:rPr>
          <w:rFonts w:ascii="Calibri" w:cs="Calibri" w:eastAsia="Calibri" w:hAnsi="Calibri"/>
          <w:sz w:val="18"/>
          <w:szCs w:val="18"/>
          <w:color w:val="auto"/>
        </w:rPr>
        <w:t>57.4</w:t>
      </w:r>
      <w:r>
        <w:rPr>
          <w:sz w:val="20"/>
          <w:szCs w:val="20"/>
          <w:color w:val="auto"/>
        </w:rPr>
        <w:tab/>
      </w:r>
      <w:r>
        <w:rPr>
          <w:rFonts w:ascii="Calibri" w:cs="Calibri" w:eastAsia="Calibri" w:hAnsi="Calibri"/>
          <w:sz w:val="18"/>
          <w:szCs w:val="18"/>
          <w:color w:val="auto"/>
        </w:rPr>
        <w:t>57.5</w:t>
      </w:r>
    </w:p>
    <w:p>
      <w:pPr>
        <w:spacing w:after="0" w:line="23" w:lineRule="exact"/>
        <w:rPr>
          <w:sz w:val="20"/>
          <w:szCs w:val="20"/>
          <w:color w:val="auto"/>
        </w:rPr>
      </w:pPr>
    </w:p>
    <w:p>
      <w:pPr>
        <w:ind w:left="100"/>
        <w:spacing w:after="0"/>
        <w:tabs>
          <w:tab w:leader="none" w:pos="1320" w:val="left"/>
          <w:tab w:leader="none" w:pos="2560" w:val="left"/>
        </w:tabs>
        <w:rPr>
          <w:sz w:val="20"/>
          <w:szCs w:val="20"/>
          <w:color w:val="auto"/>
        </w:rPr>
      </w:pPr>
      <w:r>
        <w:rPr>
          <w:rFonts w:ascii="Calibri" w:cs="Calibri" w:eastAsia="Calibri" w:hAnsi="Calibri"/>
          <w:sz w:val="18"/>
          <w:szCs w:val="18"/>
          <w:color w:val="auto"/>
        </w:rPr>
        <w:t>1.2</w:t>
      </w:r>
      <w:r>
        <w:rPr>
          <w:sz w:val="20"/>
          <w:szCs w:val="20"/>
          <w:color w:val="auto"/>
        </w:rPr>
        <w:tab/>
      </w:r>
      <w:r>
        <w:rPr>
          <w:rFonts w:ascii="Calibri" w:cs="Calibri" w:eastAsia="Calibri" w:hAnsi="Calibri"/>
          <w:sz w:val="18"/>
          <w:szCs w:val="18"/>
          <w:color w:val="auto"/>
        </w:rPr>
        <w:t>0.9</w:t>
      </w:r>
      <w:r>
        <w:rPr>
          <w:sz w:val="20"/>
          <w:szCs w:val="20"/>
          <w:color w:val="auto"/>
        </w:rPr>
        <w:tab/>
      </w:r>
      <w:r>
        <w:rPr>
          <w:rFonts w:ascii="Calibri" w:cs="Calibri" w:eastAsia="Calibri" w:hAnsi="Calibri"/>
          <w:sz w:val="17"/>
          <w:szCs w:val="17"/>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23495</wp:posOffset>
            </wp:positionV>
            <wp:extent cx="224599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92" w:lineRule="exact"/>
        <w:rPr>
          <w:sz w:val="20"/>
          <w:szCs w:val="20"/>
          <w:color w:val="auto"/>
        </w:rPr>
      </w:pPr>
    </w:p>
    <w:p>
      <w:pPr>
        <w:spacing w:after="0"/>
        <w:tabs>
          <w:tab w:leader="none" w:pos="1240" w:val="left"/>
          <w:tab w:leader="none" w:pos="2460" w:val="left"/>
        </w:tabs>
        <w:rPr>
          <w:sz w:val="20"/>
          <w:szCs w:val="20"/>
          <w:color w:val="auto"/>
        </w:rPr>
      </w:pPr>
      <w:r>
        <w:rPr>
          <w:rFonts w:ascii="Calibri" w:cs="Calibri" w:eastAsia="Calibri" w:hAnsi="Calibri"/>
          <w:sz w:val="18"/>
          <w:szCs w:val="18"/>
          <w:color w:val="auto"/>
        </w:rPr>
        <w:t>56.1</w:t>
      </w:r>
      <w:r>
        <w:rPr>
          <w:sz w:val="20"/>
          <w:szCs w:val="20"/>
          <w:color w:val="auto"/>
        </w:rPr>
        <w:tab/>
      </w:r>
      <w:r>
        <w:rPr>
          <w:rFonts w:ascii="Calibri" w:cs="Calibri" w:eastAsia="Calibri" w:hAnsi="Calibri"/>
          <w:sz w:val="18"/>
          <w:szCs w:val="18"/>
          <w:color w:val="auto"/>
        </w:rPr>
        <w:t>56.5</w:t>
      </w:r>
      <w:r>
        <w:rPr>
          <w:sz w:val="20"/>
          <w:szCs w:val="20"/>
          <w:color w:val="auto"/>
        </w:rPr>
        <w:tab/>
      </w:r>
      <w:r>
        <w:rPr>
          <w:rFonts w:ascii="Calibri" w:cs="Calibri" w:eastAsia="Calibri" w:hAnsi="Calibri"/>
          <w:sz w:val="18"/>
          <w:szCs w:val="18"/>
          <w:color w:val="auto"/>
        </w:rPr>
        <w:t>56.7</w:t>
      </w:r>
    </w:p>
    <w:p>
      <w:pPr>
        <w:spacing w:after="0" w:line="239" w:lineRule="exact"/>
        <w:rPr>
          <w:sz w:val="20"/>
          <w:szCs w:val="20"/>
          <w:color w:val="auto"/>
        </w:rPr>
      </w:pPr>
    </w:p>
    <w:p>
      <w:pPr>
        <w:sectPr>
          <w:pgSz w:w="11900" w:h="16838" w:orient="portrait"/>
          <w:cols w:equalWidth="0" w:num="2">
            <w:col w:w="6500" w:space="720"/>
            <w:col w:w="3980"/>
          </w:cols>
          <w:pgMar w:left="320" w:top="409" w:right="379" w:bottom="1440" w:gutter="0" w:footer="0" w:header="0"/>
          <w:type w:val="continuous"/>
        </w:sectPr>
      </w:pPr>
    </w:p>
    <w:p>
      <w:pPr>
        <w:spacing w:after="0" w:line="81"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5360" w:type="dxa"/>
            <w:vAlign w:val="bottom"/>
            <w:shd w:val="clear" w:color="auto" w:fill="CFF0FC"/>
          </w:tcPr>
          <w:p>
            <w:pPr>
              <w:ind w:left="180"/>
              <w:spacing w:after="0"/>
              <w:rPr>
                <w:sz w:val="20"/>
                <w:szCs w:val="20"/>
                <w:color w:val="auto"/>
              </w:rPr>
            </w:pPr>
            <w:r>
              <w:rPr>
                <w:rFonts w:ascii="Calibri" w:cs="Calibri" w:eastAsia="Calibri" w:hAnsi="Calibri"/>
                <w:sz w:val="18"/>
                <w:szCs w:val="18"/>
                <w:color w:val="auto"/>
              </w:rPr>
              <w:t>Per share amounts—basic:</w:t>
            </w:r>
          </w:p>
        </w:tc>
        <w:tc>
          <w:tcPr>
            <w:tcW w:w="4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180"/>
              <w:spacing w:after="0" w:line="215" w:lineRule="exact"/>
              <w:rPr>
                <w:sz w:val="20"/>
                <w:szCs w:val="20"/>
                <w:color w:val="auto"/>
              </w:rPr>
            </w:pPr>
            <w:r>
              <w:rPr>
                <w:rFonts w:ascii="Calibri" w:cs="Calibri" w:eastAsia="Calibri" w:hAnsi="Calibri"/>
                <w:sz w:val="18"/>
                <w:szCs w:val="18"/>
                <w:color w:val="auto"/>
              </w:rPr>
              <w:t>Net income (loss) atributable to Cabot Corporaton</w:t>
            </w:r>
          </w:p>
        </w:tc>
        <w:tc>
          <w:tcPr>
            <w:tcW w:w="42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7.79</w:t>
            </w:r>
          </w:p>
        </w:tc>
        <w:tc>
          <w:tcPr>
            <w:tcW w:w="620" w:type="dxa"/>
            <w:vAlign w:val="bottom"/>
            <w:gridSpan w:val="2"/>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3.65</w:t>
            </w:r>
          </w:p>
        </w:tc>
        <w:tc>
          <w:tcPr>
            <w:tcW w:w="60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4.35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line="215" w:lineRule="exact"/>
              <w:rPr>
                <w:sz w:val="20"/>
                <w:szCs w:val="20"/>
                <w:color w:val="auto"/>
              </w:rPr>
            </w:pPr>
            <w:r>
              <w:rPr>
                <w:rFonts w:ascii="Calibri" w:cs="Calibri" w:eastAsia="Calibri" w:hAnsi="Calibri"/>
                <w:sz w:val="18"/>
                <w:szCs w:val="18"/>
                <w:b w:val="1"/>
                <w:bCs w:val="1"/>
                <w:color w:val="auto"/>
              </w:rPr>
              <w:t>Diluted EPS: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Earnings (loss) allocated to common shareholders</w:t>
            </w:r>
          </w:p>
        </w:tc>
        <w:tc>
          <w:tcPr>
            <w:tcW w:w="420" w:type="dxa"/>
            <w:vAlign w:val="bottom"/>
            <w:tcBorders>
              <w:bottom w:val="single" w:sz="8" w:color="CFF0FC"/>
            </w:tcBorders>
            <w:shd w:val="clear" w:color="auto" w:fill="CFF0FC"/>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437</w:t>
            </w:r>
          </w:p>
        </w:tc>
        <w:tc>
          <w:tcPr>
            <w:tcW w:w="620" w:type="dxa"/>
            <w:vAlign w:val="bottom"/>
            <w:tcBorders>
              <w:bottom w:val="single" w:sz="8" w:color="CFF0FC"/>
            </w:tcBorders>
            <w:gridSpan w:val="2"/>
            <w:shd w:val="clear" w:color="auto" w:fill="CFF0FC"/>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206</w:t>
            </w:r>
          </w:p>
        </w:tc>
        <w:tc>
          <w:tcPr>
            <w:tcW w:w="600" w:type="dxa"/>
            <w:vAlign w:val="bottom"/>
            <w:tcBorders>
              <w:bottom w:val="single" w:sz="8" w:color="CFF0FC"/>
            </w:tcBorders>
            <w:gridSpan w:val="2"/>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180"/>
              <w:spacing w:after="0" w:line="215" w:lineRule="exact"/>
              <w:rPr>
                <w:sz w:val="20"/>
                <w:szCs w:val="20"/>
                <w:color w:val="auto"/>
              </w:rPr>
            </w:pPr>
            <w:r>
              <w:rPr>
                <w:rFonts w:ascii="Calibri" w:cs="Calibri" w:eastAsia="Calibri" w:hAnsi="Calibri"/>
                <w:sz w:val="18"/>
                <w:szCs w:val="18"/>
                <w:color w:val="auto"/>
              </w:rPr>
              <w:t>Plus: Earnings allocated to partcipatng securites</w:t>
            </w:r>
          </w:p>
        </w:tc>
        <w:tc>
          <w:tcPr>
            <w:tcW w:w="42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shd w:val="clear" w:color="auto" w:fill="CFF0FC"/>
          </w:tcPr>
          <w:p>
            <w:pPr>
              <w:ind w:left="180"/>
              <w:spacing w:after="0" w:line="183" w:lineRule="exact"/>
              <w:rPr>
                <w:sz w:val="20"/>
                <w:szCs w:val="20"/>
                <w:color w:val="auto"/>
              </w:rPr>
            </w:pPr>
            <w:r>
              <w:rPr>
                <w:rFonts w:ascii="Calibri" w:cs="Calibri" w:eastAsia="Calibri" w:hAnsi="Calibri"/>
                <w:sz w:val="18"/>
                <w:szCs w:val="18"/>
                <w:color w:val="auto"/>
              </w:rPr>
              <w:t>Less: Adjusted earnings allocated to partcipatng</w:t>
            </w:r>
          </w:p>
        </w:tc>
        <w:tc>
          <w:tcPr>
            <w:tcW w:w="4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360" w:type="dxa"/>
            <w:vAlign w:val="bottom"/>
            <w:tcBorders>
              <w:bottom w:val="single" w:sz="8" w:color="CFF0FC"/>
            </w:tcBorders>
            <w:shd w:val="clear" w:color="auto" w:fill="CFF0FC"/>
          </w:tcPr>
          <w:p>
            <w:pPr>
              <w:ind w:left="300"/>
              <w:spacing w:after="0" w:line="263" w:lineRule="exact"/>
              <w:rPr>
                <w:sz w:val="20"/>
                <w:szCs w:val="20"/>
                <w:color w:val="auto"/>
              </w:rPr>
            </w:pPr>
            <w:r>
              <w:rPr>
                <w:rFonts w:ascii="Calibri" w:cs="Calibri" w:eastAsia="Calibri" w:hAnsi="Calibri"/>
                <w:sz w:val="18"/>
                <w:szCs w:val="18"/>
                <w:color w:val="auto"/>
              </w:rPr>
              <w:t>securites</w:t>
            </w:r>
            <w:r>
              <w:rPr>
                <w:rFonts w:ascii="Calibri" w:cs="Calibri" w:eastAsia="Calibri" w:hAnsi="Calibri"/>
                <w:sz w:val="24"/>
                <w:szCs w:val="24"/>
                <w:color w:val="auto"/>
                <w:vertAlign w:val="superscript"/>
              </w:rPr>
              <w:t>(2)</w:t>
            </w:r>
          </w:p>
        </w:tc>
        <w:tc>
          <w:tcPr>
            <w:tcW w:w="42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8</w:t>
            </w:r>
          </w:p>
        </w:tc>
        <w:tc>
          <w:tcPr>
            <w:tcW w:w="2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3</w:t>
            </w:r>
          </w:p>
        </w:tc>
        <w:tc>
          <w:tcPr>
            <w:tcW w:w="2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3</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180"/>
              <w:spacing w:after="0" w:line="213" w:lineRule="exact"/>
              <w:rPr>
                <w:sz w:val="20"/>
                <w:szCs w:val="20"/>
                <w:color w:val="auto"/>
              </w:rPr>
            </w:pPr>
            <w:r>
              <w:rPr>
                <w:rFonts w:ascii="Calibri" w:cs="Calibri" w:eastAsia="Calibri" w:hAnsi="Calibri"/>
                <w:sz w:val="18"/>
                <w:szCs w:val="18"/>
                <w:color w:val="auto"/>
              </w:rPr>
              <w:t>Earnings (loss) available to common shares (numerator)</w:t>
            </w:r>
          </w:p>
        </w:tc>
        <w:tc>
          <w:tcPr>
            <w:tcW w:w="420" w:type="dxa"/>
            <w:vAlign w:val="bottom"/>
          </w:tcPr>
          <w:p>
            <w:pPr>
              <w:jc w:val="right"/>
              <w:ind w:right="230"/>
              <w:spacing w:after="0" w:line="213" w:lineRule="exact"/>
              <w:rPr>
                <w:sz w:val="20"/>
                <w:szCs w:val="20"/>
                <w:color w:val="auto"/>
              </w:rPr>
            </w:pPr>
            <w:r>
              <w:rPr>
                <w:rFonts w:ascii="Calibri" w:cs="Calibri" w:eastAsia="Calibri" w:hAnsi="Calibri"/>
                <w:sz w:val="18"/>
                <w:szCs w:val="18"/>
                <w:color w:val="auto"/>
                <w:w w:val="87"/>
              </w:rPr>
              <w:t>$</w:t>
            </w:r>
          </w:p>
        </w:tc>
        <w:tc>
          <w:tcPr>
            <w:tcW w:w="640" w:type="dxa"/>
            <w:vAlign w:val="bottom"/>
          </w:tcPr>
          <w:p>
            <w:pPr>
              <w:jc w:val="right"/>
              <w:spacing w:after="0" w:line="213" w:lineRule="exact"/>
              <w:rPr>
                <w:sz w:val="20"/>
                <w:szCs w:val="20"/>
                <w:color w:val="auto"/>
              </w:rPr>
            </w:pPr>
            <w:r>
              <w:rPr>
                <w:rFonts w:ascii="Calibri" w:cs="Calibri" w:eastAsia="Calibri" w:hAnsi="Calibri"/>
                <w:sz w:val="18"/>
                <w:szCs w:val="18"/>
                <w:color w:val="auto"/>
              </w:rPr>
              <w:t>437</w:t>
            </w:r>
          </w:p>
        </w:tc>
        <w:tc>
          <w:tcPr>
            <w:tcW w:w="620" w:type="dxa"/>
            <w:vAlign w:val="bottom"/>
            <w:gridSpan w:val="2"/>
          </w:tcPr>
          <w:p>
            <w:pPr>
              <w:jc w:val="right"/>
              <w:ind w:right="300"/>
              <w:spacing w:after="0" w:line="213" w:lineRule="exact"/>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line="213" w:lineRule="exact"/>
              <w:rPr>
                <w:sz w:val="20"/>
                <w:szCs w:val="20"/>
                <w:color w:val="auto"/>
              </w:rPr>
            </w:pPr>
            <w:r>
              <w:rPr>
                <w:rFonts w:ascii="Calibri" w:cs="Calibri" w:eastAsia="Calibri" w:hAnsi="Calibri"/>
                <w:sz w:val="18"/>
                <w:szCs w:val="18"/>
                <w:color w:val="auto"/>
              </w:rPr>
              <w:t>206</w:t>
            </w:r>
          </w:p>
        </w:tc>
        <w:tc>
          <w:tcPr>
            <w:tcW w:w="600" w:type="dxa"/>
            <w:vAlign w:val="bottom"/>
            <w:gridSpan w:val="2"/>
          </w:tcPr>
          <w:p>
            <w:pPr>
              <w:jc w:val="right"/>
              <w:ind w:right="280"/>
              <w:spacing w:after="0" w:line="213" w:lineRule="exact"/>
              <w:rPr>
                <w:sz w:val="20"/>
                <w:szCs w:val="20"/>
                <w:color w:val="auto"/>
              </w:rPr>
            </w:pPr>
            <w:r>
              <w:rPr>
                <w:rFonts w:ascii="Calibri" w:cs="Calibri" w:eastAsia="Calibri" w:hAnsi="Calibri"/>
                <w:sz w:val="18"/>
                <w:szCs w:val="18"/>
                <w:color w:val="auto"/>
              </w:rPr>
              <w:t>$</w:t>
            </w:r>
          </w:p>
        </w:tc>
        <w:tc>
          <w:tcPr>
            <w:tcW w:w="640" w:type="dxa"/>
            <w:vAlign w:val="bottom"/>
          </w:tcPr>
          <w:p>
            <w:pPr>
              <w:jc w:val="right"/>
              <w:spacing w:after="0" w:line="213" w:lineRule="exact"/>
              <w:rPr>
                <w:sz w:val="20"/>
                <w:szCs w:val="20"/>
                <w:color w:val="auto"/>
              </w:rPr>
            </w:pPr>
            <w:r>
              <w:rPr>
                <w:rFonts w:ascii="Calibri" w:cs="Calibri" w:eastAsia="Calibri" w:hAnsi="Calibri"/>
                <w:sz w:val="18"/>
                <w:szCs w:val="18"/>
                <w:color w:val="auto"/>
              </w:rPr>
              <w:t>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180"/>
              <w:spacing w:after="0" w:line="215" w:lineRule="exact"/>
              <w:rPr>
                <w:sz w:val="20"/>
                <w:szCs w:val="20"/>
                <w:color w:val="auto"/>
              </w:rPr>
            </w:pPr>
            <w:r>
              <w:rPr>
                <w:rFonts w:ascii="Calibri" w:cs="Calibri" w:eastAsia="Calibri" w:hAnsi="Calibri"/>
                <w:sz w:val="18"/>
                <w:szCs w:val="18"/>
                <w:color w:val="auto"/>
              </w:rPr>
              <w:t>Adjusted weighted average common shares outstanding</w:t>
            </w:r>
          </w:p>
        </w:tc>
        <w:tc>
          <w:tcPr>
            <w:tcW w:w="42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56.1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56.5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Efect of dilutve securites:</w:t>
            </w:r>
          </w:p>
        </w:tc>
        <w:tc>
          <w:tcPr>
            <w:tcW w:w="4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line="243" w:lineRule="exact"/>
              <w:rPr>
                <w:sz w:val="20"/>
                <w:szCs w:val="20"/>
                <w:color w:val="auto"/>
              </w:rPr>
            </w:pPr>
            <w:r>
              <w:rPr>
                <w:rFonts w:ascii="Calibri" w:cs="Calibri" w:eastAsia="Calibri" w:hAnsi="Calibri"/>
                <w:sz w:val="18"/>
                <w:szCs w:val="18"/>
                <w:color w:val="auto"/>
              </w:rPr>
              <w:t>Common shares issuable</w:t>
            </w:r>
            <w:r>
              <w:rPr>
                <w:rFonts w:ascii="Calibri" w:cs="Calibri" w:eastAsia="Calibri" w:hAnsi="Calibri"/>
                <w:sz w:val="24"/>
                <w:szCs w:val="24"/>
                <w:color w:val="auto"/>
                <w:vertAlign w:val="superscript"/>
              </w:rPr>
              <w:t>(3)</w:t>
            </w:r>
          </w:p>
        </w:tc>
        <w:tc>
          <w:tcPr>
            <w:tcW w:w="4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0.4</w:t>
            </w: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0.4</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360" w:type="dxa"/>
            <w:vAlign w:val="bottom"/>
            <w:shd w:val="clear" w:color="auto" w:fill="CFF0FC"/>
          </w:tcPr>
          <w:p>
            <w:pPr>
              <w:ind w:left="180"/>
              <w:spacing w:after="0" w:line="201" w:lineRule="exact"/>
              <w:rPr>
                <w:sz w:val="20"/>
                <w:szCs w:val="20"/>
                <w:color w:val="auto"/>
              </w:rPr>
            </w:pPr>
            <w:r>
              <w:rPr>
                <w:rFonts w:ascii="Calibri" w:cs="Calibri" w:eastAsia="Calibri" w:hAnsi="Calibri"/>
                <w:sz w:val="18"/>
                <w:szCs w:val="18"/>
                <w:color w:val="auto"/>
              </w:rPr>
              <w:t>Adjusted weighted average common shares</w:t>
            </w:r>
          </w:p>
        </w:tc>
        <w:tc>
          <w:tcPr>
            <w:tcW w:w="420" w:type="dxa"/>
            <w:vAlign w:val="bottom"/>
            <w:shd w:val="clear" w:color="auto" w:fill="CFF0FC"/>
          </w:tcPr>
          <w:p>
            <w:pPr>
              <w:spacing w:after="0"/>
              <w:rPr>
                <w:sz w:val="17"/>
                <w:szCs w:val="17"/>
                <w:color w:val="auto"/>
              </w:rPr>
            </w:pPr>
          </w:p>
        </w:tc>
        <w:tc>
          <w:tcPr>
            <w:tcW w:w="6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56.5</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56.9</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56.8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360" w:type="dxa"/>
            <w:vAlign w:val="bottom"/>
            <w:tcBorders>
              <w:bottom w:val="single" w:sz="8" w:color="CFF0FC"/>
            </w:tcBorders>
            <w:shd w:val="clear" w:color="auto" w:fill="CFF0FC"/>
          </w:tcPr>
          <w:p>
            <w:pPr>
              <w:ind w:left="300"/>
              <w:spacing w:after="0" w:line="211" w:lineRule="exact"/>
              <w:rPr>
                <w:sz w:val="20"/>
                <w:szCs w:val="20"/>
                <w:color w:val="auto"/>
              </w:rPr>
            </w:pPr>
            <w:r>
              <w:rPr>
                <w:rFonts w:ascii="Calibri" w:cs="Calibri" w:eastAsia="Calibri" w:hAnsi="Calibri"/>
                <w:sz w:val="18"/>
                <w:szCs w:val="18"/>
                <w:color w:val="auto"/>
              </w:rPr>
              <w:t>(denominator)</w:t>
            </w:r>
          </w:p>
        </w:tc>
        <w:tc>
          <w:tcPr>
            <w:tcW w:w="4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Per share amounts—diluted:</w:t>
            </w:r>
          </w:p>
        </w:tc>
        <w:tc>
          <w:tcPr>
            <w:tcW w:w="4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180"/>
              <w:spacing w:after="0" w:line="215" w:lineRule="exact"/>
              <w:rPr>
                <w:sz w:val="20"/>
                <w:szCs w:val="20"/>
                <w:color w:val="auto"/>
              </w:rPr>
            </w:pPr>
            <w:r>
              <w:rPr>
                <w:rFonts w:ascii="Calibri" w:cs="Calibri" w:eastAsia="Calibri" w:hAnsi="Calibri"/>
                <w:sz w:val="18"/>
                <w:szCs w:val="18"/>
                <w:color w:val="auto"/>
              </w:rPr>
              <w:t>Net income (loss) atributable to Cabot Corporaton</w:t>
            </w:r>
          </w:p>
        </w:tc>
        <w:tc>
          <w:tcPr>
            <w:tcW w:w="42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7.73</w:t>
            </w:r>
          </w:p>
        </w:tc>
        <w:tc>
          <w:tcPr>
            <w:tcW w:w="620" w:type="dxa"/>
            <w:vAlign w:val="bottom"/>
            <w:gridSpan w:val="2"/>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3.62</w:t>
            </w:r>
          </w:p>
        </w:tc>
        <w:tc>
          <w:tcPr>
            <w:tcW w:w="60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4.34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-1532890</wp:posOffset>
            </wp:positionV>
            <wp:extent cx="603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-1532890</wp:posOffset>
            </wp:positionV>
            <wp:extent cx="514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-1532890</wp:posOffset>
            </wp:positionV>
            <wp:extent cx="514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-469900</wp:posOffset>
            </wp:positionV>
            <wp:extent cx="603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-452755</wp:posOffset>
            </wp:positionV>
            <wp:extent cx="603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-469900</wp:posOffset>
            </wp:positionV>
            <wp:extent cx="514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-452755</wp:posOffset>
            </wp:positionV>
            <wp:extent cx="514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-469900</wp:posOffset>
            </wp:positionV>
            <wp:extent cx="514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-452755</wp:posOffset>
            </wp:positionV>
            <wp:extent cx="514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11912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1" w:lineRule="exact"/>
        <w:rPr>
          <w:sz w:val="20"/>
          <w:szCs w:val="20"/>
          <w:color w:val="auto"/>
        </w:rPr>
      </w:pPr>
    </w:p>
    <w:p>
      <w:pPr>
        <w:ind w:left="580" w:hanging="518"/>
        <w:spacing w:after="0" w:line="225" w:lineRule="auto"/>
        <w:tabs>
          <w:tab w:leader="none" w:pos="580" w:val="left"/>
        </w:tabs>
        <w:numPr>
          <w:ilvl w:val="0"/>
          <w:numId w:val="24"/>
        </w:numPr>
        <w:rPr>
          <w:rFonts w:ascii="Calibri" w:cs="Calibri" w:eastAsia="Calibri" w:hAnsi="Calibri"/>
          <w:sz w:val="24"/>
          <w:szCs w:val="24"/>
          <w:color w:val="auto"/>
          <w:vertAlign w:val="superscript"/>
        </w:rPr>
      </w:pPr>
      <w:r>
        <w:rPr>
          <w:rFonts w:ascii="Calibri" w:cs="Calibri" w:eastAsia="Calibri" w:hAnsi="Calibri"/>
          <w:sz w:val="18"/>
          <w:szCs w:val="18"/>
          <w:color w:val="auto"/>
        </w:rPr>
        <w:t>Partcipatng securites consist of shares underlying unvested tme-based restricted stock units (the "TSUs"), earned and unvested performance-based restricted stock units (the "PSUs", and referred to in this note collectvely with the TSUs as the "RSUs"), stock units accounted for under the Supplemental 401(k) Plan porton of the Company’s Deferred Compensaton and Supplemental Retrement Plan, and stock units and phantom stock units accounted for under the Company’s Non-Employee Directors’ Deferral Plan. The holders of RSUs are enttled to receive dividend equivalents, payable in cash, to the extent dividends are paid on the outstanding shares of Common Stock, and equal in value to the dividends that would have been paid in respect of the Common Stock underlying the RSU. The accounts of holders of stock units and phantom stock units are credited with dividend equivalents, which are payable, in stock or cash, as the case may be, with the distributon of account balances.</w:t>
      </w:r>
    </w:p>
    <w:p>
      <w:pPr>
        <w:spacing w:after="0" w:line="21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type w:val="continuous"/>
        </w:sectPr>
      </w:pPr>
    </w:p>
    <w:bookmarkStart w:id="66" w:name="page67"/>
    <w:bookmarkEnd w:id="66"/>
    <w:p>
      <w:pPr>
        <w:ind w:left="560" w:right="180"/>
        <w:spacing w:after="0" w:line="235" w:lineRule="auto"/>
        <w:rPr>
          <w:sz w:val="20"/>
          <w:szCs w:val="20"/>
          <w:color w:val="auto"/>
        </w:rPr>
      </w:pPr>
      <w:r>
        <w:rPr>
          <w:rFonts w:ascii="Calibri" w:cs="Calibri" w:eastAsia="Calibri" w:hAnsi="Calibri"/>
          <w:sz w:val="18"/>
          <w:szCs w:val="18"/>
          <w:color w:val="auto"/>
        </w:rPr>
        <w:t>Undistributed earnings are the earnings which remain afer dividends declared during the period are assumed to be distributed to the common and partcipatng shareholders. Undistributed earnings are allocated to common and partcipatng shareholders on the same basis as dividend distributons. The calculaton of undistributed earnings is as follows:</w:t>
      </w:r>
    </w:p>
    <w:p>
      <w:pPr>
        <w:spacing w:after="0" w:line="10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20" w:type="dxa"/>
            <w:vAlign w:val="bottom"/>
            <w:gridSpan w:val="6"/>
          </w:tcPr>
          <w:p>
            <w:pPr>
              <w:jc w:val="right"/>
              <w:ind w:right="180"/>
              <w:spacing w:after="0"/>
              <w:rPr>
                <w:sz w:val="20"/>
                <w:szCs w:val="20"/>
                <w:color w:val="auto"/>
              </w:rPr>
            </w:pPr>
            <w:r>
              <w:rPr>
                <w:rFonts w:ascii="Calibri" w:cs="Calibri" w:eastAsia="Calibri" w:hAnsi="Calibri"/>
                <w:sz w:val="14"/>
                <w:szCs w:val="14"/>
                <w:b w:val="1"/>
                <w:bCs w:val="1"/>
                <w:color w:val="auto"/>
              </w:rPr>
              <w:t>Years Ended September 30</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36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74"/>
              <w:spacing w:after="0" w:line="164" w:lineRule="exact"/>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2"/>
              <w:spacing w:after="0" w:line="164" w:lineRule="exact"/>
              <w:rPr>
                <w:sz w:val="20"/>
                <w:szCs w:val="20"/>
                <w:color w:val="auto"/>
              </w:rPr>
            </w:pPr>
            <w:r>
              <w:rPr>
                <w:rFonts w:ascii="Calibri" w:cs="Calibri" w:eastAsia="Calibri" w:hAnsi="Calibri"/>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4"/>
              <w:spacing w:after="0" w:line="164" w:lineRule="exact"/>
              <w:rPr>
                <w:sz w:val="20"/>
                <w:szCs w:val="20"/>
                <w:color w:val="auto"/>
              </w:rPr>
            </w:pPr>
            <w:r>
              <w:rPr>
                <w:rFonts w:ascii="Calibri" w:cs="Calibri" w:eastAsia="Calibri" w:hAnsi="Calibri"/>
                <w:sz w:val="14"/>
                <w:szCs w:val="14"/>
                <w:b w:val="1"/>
                <w:bCs w:val="1"/>
                <w:color w:val="auto"/>
              </w:rPr>
              <w:t>(In millions)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Calculaton of undistributed earnings:</w:t>
            </w:r>
          </w:p>
        </w:tc>
        <w:tc>
          <w:tcPr>
            <w:tcW w:w="7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180"/>
              <w:spacing w:after="0" w:line="215" w:lineRule="exact"/>
              <w:rPr>
                <w:sz w:val="20"/>
                <w:szCs w:val="20"/>
                <w:color w:val="auto"/>
              </w:rPr>
            </w:pPr>
            <w:r>
              <w:rPr>
                <w:rFonts w:ascii="Calibri" w:cs="Calibri" w:eastAsia="Calibri" w:hAnsi="Calibri"/>
                <w:sz w:val="18"/>
                <w:szCs w:val="18"/>
                <w:color w:val="auto"/>
              </w:rPr>
              <w:t>Net income (loss) atributable to Cabot Corporaton</w:t>
            </w:r>
          </w:p>
        </w:tc>
        <w:tc>
          <w:tcPr>
            <w:tcW w:w="720" w:type="dxa"/>
            <w:vAlign w:val="bottom"/>
          </w:tcPr>
          <w:p>
            <w:pPr>
              <w:jc w:val="right"/>
              <w:ind w:right="534"/>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445</w:t>
            </w:r>
          </w:p>
        </w:tc>
        <w:tc>
          <w:tcPr>
            <w:tcW w:w="3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209</w:t>
            </w:r>
          </w:p>
        </w:tc>
        <w:tc>
          <w:tcPr>
            <w:tcW w:w="4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Less: Dividends declared on common stock</w:t>
            </w:r>
          </w:p>
        </w:tc>
        <w:tc>
          <w:tcPr>
            <w:tcW w:w="7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60" w:type="dxa"/>
            <w:vAlign w:val="bottom"/>
          </w:tcPr>
          <w:p>
            <w:pPr>
              <w:ind w:left="180"/>
              <w:spacing w:after="0" w:line="207" w:lineRule="exact"/>
              <w:rPr>
                <w:sz w:val="20"/>
                <w:szCs w:val="20"/>
                <w:color w:val="auto"/>
              </w:rPr>
            </w:pPr>
            <w:r>
              <w:rPr>
                <w:rFonts w:ascii="Calibri" w:cs="Calibri" w:eastAsia="Calibri" w:hAnsi="Calibri"/>
                <w:sz w:val="18"/>
                <w:szCs w:val="18"/>
                <w:color w:val="auto"/>
              </w:rPr>
              <w:t>Less: Dividends and dividend equivalents to partcipatng</w:t>
            </w:r>
          </w:p>
        </w:tc>
        <w:tc>
          <w:tcPr>
            <w:tcW w:w="720" w:type="dxa"/>
            <w:vAlign w:val="bottom"/>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300"/>
              <w:spacing w:after="0" w:line="215" w:lineRule="exact"/>
              <w:rPr>
                <w:sz w:val="20"/>
                <w:szCs w:val="20"/>
                <w:color w:val="auto"/>
              </w:rPr>
            </w:pPr>
            <w:r>
              <w:rPr>
                <w:rFonts w:ascii="Calibri" w:cs="Calibri" w:eastAsia="Calibri" w:hAnsi="Calibri"/>
                <w:sz w:val="18"/>
                <w:szCs w:val="18"/>
                <w:color w:val="auto"/>
              </w:rPr>
              <w:t>securites</w:t>
            </w:r>
          </w:p>
        </w:tc>
        <w:tc>
          <w:tcPr>
            <w:tcW w:w="7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360" w:type="dxa"/>
            <w:vAlign w:val="bottom"/>
            <w:shd w:val="clear" w:color="auto" w:fill="CFF0FC"/>
          </w:tcPr>
          <w:p>
            <w:pPr>
              <w:ind w:left="180"/>
              <w:spacing w:after="0"/>
              <w:rPr>
                <w:sz w:val="20"/>
                <w:szCs w:val="20"/>
                <w:color w:val="auto"/>
              </w:rPr>
            </w:pPr>
            <w:r>
              <w:rPr>
                <w:rFonts w:ascii="Calibri" w:cs="Calibri" w:eastAsia="Calibri" w:hAnsi="Calibri"/>
                <w:sz w:val="18"/>
                <w:szCs w:val="18"/>
                <w:color w:val="auto"/>
              </w:rPr>
              <w:t>Undistributed earnings (loss)</w:t>
            </w:r>
          </w:p>
        </w:tc>
        <w:tc>
          <w:tcPr>
            <w:tcW w:w="720" w:type="dxa"/>
            <w:vAlign w:val="bottom"/>
            <w:shd w:val="clear" w:color="auto" w:fill="CFF0FC"/>
          </w:tcPr>
          <w:p>
            <w:pPr>
              <w:jc w:val="right"/>
              <w:ind w:right="534"/>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357</w:t>
            </w:r>
          </w:p>
        </w:tc>
        <w:tc>
          <w:tcPr>
            <w:tcW w:w="34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124</w:t>
            </w:r>
          </w:p>
        </w:tc>
        <w:tc>
          <w:tcPr>
            <w:tcW w:w="44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169</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360" w:type="dxa"/>
            <w:vAlign w:val="bottom"/>
            <w:tcBorders>
              <w:top w:val="single" w:sz="8" w:color="CFF0FC"/>
            </w:tcBorders>
          </w:tcPr>
          <w:p>
            <w:pPr>
              <w:spacing w:after="0" w:line="196" w:lineRule="exact"/>
              <w:rPr>
                <w:sz w:val="20"/>
                <w:szCs w:val="20"/>
                <w:color w:val="auto"/>
              </w:rPr>
            </w:pPr>
            <w:r>
              <w:rPr>
                <w:rFonts w:ascii="Calibri" w:cs="Calibri" w:eastAsia="Calibri" w:hAnsi="Calibri"/>
                <w:sz w:val="18"/>
                <w:szCs w:val="18"/>
                <w:b w:val="1"/>
                <w:bCs w:val="1"/>
                <w:color w:val="auto"/>
              </w:rPr>
              <w:t>Allocaton of undistributed earnings:</w:t>
            </w:r>
          </w:p>
        </w:tc>
        <w:tc>
          <w:tcPr>
            <w:tcW w:w="7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5360" w:type="dxa"/>
            <w:vAlign w:val="bottom"/>
            <w:shd w:val="clear" w:color="auto" w:fill="CFF0FC"/>
          </w:tcPr>
          <w:p>
            <w:pPr>
              <w:ind w:left="180"/>
              <w:spacing w:after="0" w:line="207" w:lineRule="exact"/>
              <w:rPr>
                <w:sz w:val="20"/>
                <w:szCs w:val="20"/>
                <w:color w:val="auto"/>
              </w:rPr>
            </w:pPr>
            <w:r>
              <w:rPr>
                <w:rFonts w:ascii="Calibri" w:cs="Calibri" w:eastAsia="Calibri" w:hAnsi="Calibri"/>
                <w:sz w:val="18"/>
                <w:szCs w:val="18"/>
                <w:color w:val="auto"/>
              </w:rPr>
              <w:t>Undistributed earnings (loss) allocated to common</w:t>
            </w: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360" w:type="dxa"/>
            <w:vAlign w:val="bottom"/>
            <w:tcBorders>
              <w:bottom w:val="single" w:sz="8" w:color="CFF0FC"/>
            </w:tcBorders>
            <w:shd w:val="clear" w:color="auto" w:fill="CFF0FC"/>
          </w:tcPr>
          <w:p>
            <w:pPr>
              <w:ind w:left="300"/>
              <w:spacing w:after="0" w:line="215" w:lineRule="exact"/>
              <w:rPr>
                <w:sz w:val="20"/>
                <w:szCs w:val="20"/>
                <w:color w:val="auto"/>
              </w:rPr>
            </w:pPr>
            <w:r>
              <w:rPr>
                <w:rFonts w:ascii="Calibri" w:cs="Calibri" w:eastAsia="Calibri" w:hAnsi="Calibri"/>
                <w:sz w:val="18"/>
                <w:szCs w:val="18"/>
                <w:color w:val="auto"/>
              </w:rPr>
              <w:t>shareholders</w:t>
            </w:r>
          </w:p>
        </w:tc>
        <w:tc>
          <w:tcPr>
            <w:tcW w:w="720" w:type="dxa"/>
            <w:vAlign w:val="bottom"/>
            <w:tcBorders>
              <w:bottom w:val="single" w:sz="8" w:color="CFF0FC"/>
            </w:tcBorders>
            <w:shd w:val="clear" w:color="auto" w:fill="CFF0FC"/>
          </w:tcPr>
          <w:p>
            <w:pPr>
              <w:jc w:val="right"/>
              <w:ind w:right="534"/>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350</w:t>
            </w:r>
          </w:p>
        </w:tc>
        <w:tc>
          <w:tcPr>
            <w:tcW w:w="3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122</w:t>
            </w:r>
          </w:p>
        </w:tc>
        <w:tc>
          <w:tcPr>
            <w:tcW w:w="44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167</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360" w:type="dxa"/>
            <w:vAlign w:val="bottom"/>
          </w:tcPr>
          <w:p>
            <w:pPr>
              <w:ind w:left="180"/>
              <w:spacing w:after="0" w:line="207" w:lineRule="exact"/>
              <w:rPr>
                <w:sz w:val="20"/>
                <w:szCs w:val="20"/>
                <w:color w:val="auto"/>
              </w:rPr>
            </w:pPr>
            <w:r>
              <w:rPr>
                <w:rFonts w:ascii="Calibri" w:cs="Calibri" w:eastAsia="Calibri" w:hAnsi="Calibri"/>
                <w:sz w:val="18"/>
                <w:szCs w:val="18"/>
                <w:color w:val="auto"/>
              </w:rPr>
              <w:t>Undistributed earnings allocated to partcipatng</w:t>
            </w:r>
          </w:p>
        </w:tc>
        <w:tc>
          <w:tcPr>
            <w:tcW w:w="720" w:type="dxa"/>
            <w:vAlign w:val="bottom"/>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Calibri" w:cs="Calibri" w:eastAsia="Calibri" w:hAnsi="Calibri"/>
                <w:sz w:val="18"/>
                <w:szCs w:val="18"/>
                <w:color w:val="auto"/>
              </w:rPr>
              <w:t>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Calibri" w:cs="Calibri" w:eastAsia="Calibri" w:hAnsi="Calibri"/>
                <w:sz w:val="18"/>
                <w:szCs w:val="18"/>
                <w:color w:val="auto"/>
              </w:rPr>
              <w:t>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Calibri" w:cs="Calibri" w:eastAsia="Calibri" w:hAnsi="Calibri"/>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300"/>
              <w:spacing w:after="0" w:line="215" w:lineRule="exact"/>
              <w:rPr>
                <w:sz w:val="20"/>
                <w:szCs w:val="20"/>
                <w:color w:val="auto"/>
              </w:rPr>
            </w:pPr>
            <w:r>
              <w:rPr>
                <w:rFonts w:ascii="Calibri" w:cs="Calibri" w:eastAsia="Calibri" w:hAnsi="Calibri"/>
                <w:sz w:val="18"/>
                <w:szCs w:val="18"/>
                <w:color w:val="auto"/>
              </w:rPr>
              <w:t>securites</w:t>
            </w:r>
          </w:p>
        </w:tc>
        <w:tc>
          <w:tcPr>
            <w:tcW w:w="7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FF0FC"/>
          </w:tcPr>
          <w:p>
            <w:pPr>
              <w:ind w:left="180"/>
              <w:spacing w:after="0"/>
              <w:rPr>
                <w:sz w:val="20"/>
                <w:szCs w:val="20"/>
                <w:color w:val="auto"/>
              </w:rPr>
            </w:pPr>
            <w:r>
              <w:rPr>
                <w:rFonts w:ascii="Calibri" w:cs="Calibri" w:eastAsia="Calibri" w:hAnsi="Calibri"/>
                <w:sz w:val="18"/>
                <w:szCs w:val="18"/>
                <w:color w:val="auto"/>
              </w:rPr>
              <w:t>Undistributed earnings (loss)</w:t>
            </w:r>
          </w:p>
        </w:tc>
        <w:tc>
          <w:tcPr>
            <w:tcW w:w="720" w:type="dxa"/>
            <w:vAlign w:val="bottom"/>
            <w:shd w:val="clear" w:color="auto" w:fill="CFF0FC"/>
          </w:tcPr>
          <w:p>
            <w:pPr>
              <w:jc w:val="right"/>
              <w:ind w:right="534"/>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357</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124</w:t>
            </w:r>
          </w:p>
        </w:tc>
        <w:tc>
          <w:tcPr>
            <w:tcW w:w="44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169</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-942340</wp:posOffset>
            </wp:positionV>
            <wp:extent cx="603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-925195</wp:posOffset>
            </wp:positionV>
            <wp:extent cx="603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-942340</wp:posOffset>
            </wp:positionV>
            <wp:extent cx="514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-925195</wp:posOffset>
            </wp:positionV>
            <wp:extent cx="514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-942340</wp:posOffset>
            </wp:positionV>
            <wp:extent cx="514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-925195</wp:posOffset>
            </wp:positionV>
            <wp:extent cx="514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603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03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514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514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3" w:lineRule="exact"/>
        <w:rPr>
          <w:sz w:val="20"/>
          <w:szCs w:val="20"/>
          <w:color w:val="auto"/>
        </w:rPr>
      </w:pPr>
    </w:p>
    <w:p>
      <w:pPr>
        <w:ind w:left="580" w:right="120" w:hanging="559"/>
        <w:spacing w:after="0" w:line="201" w:lineRule="auto"/>
        <w:tabs>
          <w:tab w:leader="none" w:pos="580" w:val="left"/>
        </w:tabs>
        <w:numPr>
          <w:ilvl w:val="0"/>
          <w:numId w:val="25"/>
        </w:numPr>
        <w:rPr>
          <w:rFonts w:ascii="Calibri" w:cs="Calibri" w:eastAsia="Calibri" w:hAnsi="Calibri"/>
          <w:sz w:val="24"/>
          <w:szCs w:val="24"/>
          <w:color w:val="auto"/>
          <w:vertAlign w:val="superscript"/>
        </w:rPr>
      </w:pPr>
      <w:r>
        <w:rPr>
          <w:rFonts w:ascii="Calibri" w:cs="Calibri" w:eastAsia="Calibri" w:hAnsi="Calibri"/>
          <w:sz w:val="18"/>
          <w:szCs w:val="18"/>
          <w:color w:val="auto"/>
        </w:rPr>
        <w:t>Undistributed earnings (loss) are adjusted for the assumed conversion of dilutve securites, which are described in (3) below, to common shares and then reallocated to partcipatng securites.</w:t>
      </w:r>
    </w:p>
    <w:p>
      <w:pPr>
        <w:spacing w:after="0" w:line="43" w:lineRule="exact"/>
        <w:rPr>
          <w:rFonts w:ascii="Calibri" w:cs="Calibri" w:eastAsia="Calibri" w:hAnsi="Calibri"/>
          <w:sz w:val="24"/>
          <w:szCs w:val="24"/>
          <w:color w:val="auto"/>
          <w:vertAlign w:val="superscript"/>
        </w:rPr>
      </w:pPr>
    </w:p>
    <w:p>
      <w:pPr>
        <w:ind w:left="580" w:right="60" w:hanging="559"/>
        <w:spacing w:after="0" w:line="211" w:lineRule="auto"/>
        <w:tabs>
          <w:tab w:leader="none" w:pos="580" w:val="left"/>
        </w:tabs>
        <w:numPr>
          <w:ilvl w:val="0"/>
          <w:numId w:val="25"/>
        </w:numPr>
        <w:rPr>
          <w:rFonts w:ascii="Calibri" w:cs="Calibri" w:eastAsia="Calibri" w:hAnsi="Calibri"/>
          <w:sz w:val="24"/>
          <w:szCs w:val="24"/>
          <w:color w:val="auto"/>
          <w:vertAlign w:val="superscript"/>
        </w:rPr>
      </w:pPr>
      <w:r>
        <w:rPr>
          <w:rFonts w:ascii="Calibri" w:cs="Calibri" w:eastAsia="Calibri" w:hAnsi="Calibri"/>
          <w:sz w:val="18"/>
          <w:szCs w:val="18"/>
          <w:color w:val="auto"/>
        </w:rPr>
        <w:t>Represents incremental shares of common stock from the assumed exercise of stock optons issued under Cabot’s equity incentve plans. For fscal 2023, 2022 and 2021, respectvely, 138,966, 214,180 and 525,131 incremental shares of common stock were excluded from the calculaton of diluted earnings per share because the inclusion of these shares would have been antdilutve.</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Q. Income Taxes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Income from operatons before income taxes and equity in net earnings of afliated companies was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60" w:type="dxa"/>
            <w:vAlign w:val="bottom"/>
            <w:gridSpan w:val="6"/>
          </w:tcPr>
          <w:p>
            <w:pPr>
              <w:jc w:val="center"/>
              <w:spacing w:after="0"/>
              <w:rPr>
                <w:sz w:val="20"/>
                <w:szCs w:val="20"/>
                <w:color w:val="auto"/>
              </w:rPr>
            </w:pPr>
            <w:r>
              <w:rPr>
                <w:rFonts w:ascii="Calibri" w:cs="Calibri" w:eastAsia="Calibri" w:hAnsi="Calibri"/>
                <w:sz w:val="14"/>
                <w:szCs w:val="14"/>
                <w:b w:val="1"/>
                <w:bCs w:val="1"/>
                <w:color w:val="auto"/>
              </w:rPr>
              <w:t>Years Ended September 30</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center"/>
              <w:ind w:right="35"/>
              <w:spacing w:after="0" w:line="164" w:lineRule="exact"/>
              <w:rPr>
                <w:sz w:val="20"/>
                <w:szCs w:val="20"/>
                <w:color w:val="auto"/>
              </w:rPr>
            </w:pPr>
            <w:r>
              <w:rPr>
                <w:rFonts w:ascii="Calibri" w:cs="Calibri" w:eastAsia="Calibri" w:hAnsi="Calibri"/>
                <w:sz w:val="14"/>
                <w:szCs w:val="14"/>
                <w:b w:val="1"/>
                <w:bCs w:val="1"/>
                <w:color w:val="auto"/>
                <w:w w:val="98"/>
              </w:rPr>
              <w:t>2022</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93"/>
              <w:spacing w:after="0" w:line="164" w:lineRule="exact"/>
              <w:rPr>
                <w:sz w:val="20"/>
                <w:szCs w:val="20"/>
                <w:color w:val="auto"/>
              </w:rPr>
            </w:pPr>
            <w:r>
              <w:rPr>
                <w:rFonts w:ascii="Calibri" w:cs="Calibri" w:eastAsia="Calibri" w:hAnsi="Calibri"/>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75"/>
              <w:spacing w:after="0" w:line="164" w:lineRule="exact"/>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42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Domestc</w:t>
            </w:r>
          </w:p>
        </w:tc>
        <w:tc>
          <w:tcPr>
            <w:tcW w:w="1800" w:type="dxa"/>
            <w:vAlign w:val="bottom"/>
            <w:tcBorders>
              <w:bottom w:val="single" w:sz="8" w:color="CFF0FC"/>
            </w:tcBorders>
            <w:gridSpan w:val="2"/>
            <w:shd w:val="clear" w:color="auto" w:fill="CFF0FC"/>
          </w:tcPr>
          <w:p>
            <w:pPr>
              <w:jc w:val="right"/>
              <w:ind w:right="522"/>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65</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11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(20 )</w:t>
            </w: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(73 )</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Calibri" w:cs="Calibri" w:eastAsia="Calibri" w:hAnsi="Calibri"/>
                <w:sz w:val="18"/>
                <w:szCs w:val="18"/>
                <w:color w:val="auto"/>
              </w:rPr>
              <w:t>Foreign</w:t>
            </w: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386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355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479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4240" w:type="dxa"/>
            <w:vAlign w:val="bottom"/>
            <w:shd w:val="clear" w:color="auto" w:fill="CFF0FC"/>
          </w:tcPr>
          <w:p>
            <w:pPr>
              <w:spacing w:after="0" w:line="201" w:lineRule="exact"/>
              <w:rPr>
                <w:sz w:val="20"/>
                <w:szCs w:val="20"/>
                <w:color w:val="auto"/>
              </w:rPr>
            </w:pPr>
            <w:r>
              <w:rPr>
                <w:rFonts w:ascii="Calibri" w:cs="Calibri" w:eastAsia="Calibri" w:hAnsi="Calibri"/>
                <w:sz w:val="18"/>
                <w:szCs w:val="18"/>
                <w:color w:val="auto"/>
              </w:rPr>
              <w:t>Income from operatons before income taxes and</w:t>
            </w:r>
          </w:p>
        </w:tc>
        <w:tc>
          <w:tcPr>
            <w:tcW w:w="1100" w:type="dxa"/>
            <w:vAlign w:val="bottom"/>
            <w:vMerge w:val="restart"/>
            <w:shd w:val="clear" w:color="auto" w:fill="CFF0FC"/>
          </w:tcPr>
          <w:p>
            <w:pPr>
              <w:spacing w:after="0"/>
              <w:rPr>
                <w:sz w:val="17"/>
                <w:szCs w:val="17"/>
                <w:color w:val="auto"/>
              </w:rPr>
            </w:pPr>
          </w:p>
        </w:tc>
        <w:tc>
          <w:tcPr>
            <w:tcW w:w="700" w:type="dxa"/>
            <w:vAlign w:val="bottom"/>
            <w:vMerge w:val="restart"/>
            <w:shd w:val="clear" w:color="auto" w:fill="CFF0FC"/>
          </w:tcPr>
          <w:p>
            <w:pPr>
              <w:jc w:val="right"/>
              <w:ind w:right="522"/>
              <w:spacing w:after="0"/>
              <w:rPr>
                <w:sz w:val="20"/>
                <w:szCs w:val="20"/>
                <w:color w:val="auto"/>
              </w:rPr>
            </w:pPr>
            <w:r>
              <w:rPr>
                <w:rFonts w:ascii="Calibri" w:cs="Calibri" w:eastAsia="Calibri" w:hAnsi="Calibri"/>
                <w:sz w:val="18"/>
                <w:szCs w:val="18"/>
                <w:color w:val="auto"/>
                <w:w w:val="87"/>
              </w:rPr>
              <w:t>$</w:t>
            </w:r>
          </w:p>
        </w:tc>
        <w:tc>
          <w:tcPr>
            <w:tcW w:w="3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451</w:t>
            </w:r>
          </w:p>
        </w:tc>
        <w:tc>
          <w:tcPr>
            <w:tcW w:w="240" w:type="dxa"/>
            <w:vAlign w:val="bottom"/>
            <w:shd w:val="clear" w:color="auto" w:fill="CFF0FC"/>
          </w:tcPr>
          <w:p>
            <w:pPr>
              <w:spacing w:after="0"/>
              <w:rPr>
                <w:sz w:val="17"/>
                <w:szCs w:val="17"/>
                <w:color w:val="auto"/>
              </w:rPr>
            </w:pPr>
          </w:p>
        </w:tc>
        <w:tc>
          <w:tcPr>
            <w:tcW w:w="100" w:type="dxa"/>
            <w:vAlign w:val="bottom"/>
            <w:vMerge w:val="restart"/>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9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335</w:t>
            </w:r>
          </w:p>
        </w:tc>
        <w:tc>
          <w:tcPr>
            <w:tcW w:w="200" w:type="dxa"/>
            <w:vAlign w:val="bottom"/>
            <w:shd w:val="clear" w:color="auto" w:fill="CFF0FC"/>
          </w:tcPr>
          <w:p>
            <w:pPr>
              <w:spacing w:after="0"/>
              <w:rPr>
                <w:sz w:val="17"/>
                <w:szCs w:val="17"/>
                <w:color w:val="auto"/>
              </w:rPr>
            </w:pPr>
          </w:p>
        </w:tc>
        <w:tc>
          <w:tcPr>
            <w:tcW w:w="240" w:type="dxa"/>
            <w:vAlign w:val="bottom"/>
            <w:vMerge w:val="restart"/>
            <w:shd w:val="clear" w:color="auto" w:fill="CFF0FC"/>
          </w:tcPr>
          <w:p>
            <w:pPr>
              <w:jc w:val="right"/>
              <w:ind w:right="50"/>
              <w:spacing w:after="0"/>
              <w:rPr>
                <w:sz w:val="20"/>
                <w:szCs w:val="20"/>
                <w:color w:val="auto"/>
              </w:rPr>
            </w:pPr>
            <w:r>
              <w:rPr>
                <w:rFonts w:ascii="Calibri" w:cs="Calibri" w:eastAsia="Calibri" w:hAnsi="Calibri"/>
                <w:sz w:val="18"/>
                <w:szCs w:val="18"/>
                <w:color w:val="auto"/>
                <w:w w:val="87"/>
              </w:rPr>
              <w:t>$</w:t>
            </w:r>
          </w:p>
        </w:tc>
        <w:tc>
          <w:tcPr>
            <w:tcW w:w="8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406</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40" w:type="dxa"/>
            <w:vAlign w:val="bottom"/>
          </w:tcPr>
          <w:p>
            <w:pPr>
              <w:spacing w:after="0"/>
              <w:rPr>
                <w:sz w:val="21"/>
                <w:szCs w:val="21"/>
                <w:color w:val="auto"/>
              </w:rPr>
            </w:pPr>
          </w:p>
        </w:tc>
        <w:tc>
          <w:tcPr>
            <w:tcW w:w="4240" w:type="dxa"/>
            <w:vAlign w:val="bottom"/>
            <w:tcBorders>
              <w:bottom w:val="single" w:sz="8" w:color="CFF0FC"/>
            </w:tcBorders>
            <w:shd w:val="clear" w:color="auto" w:fill="CFF0FC"/>
          </w:tcPr>
          <w:p>
            <w:pPr>
              <w:ind w:left="120"/>
              <w:spacing w:after="0" w:line="211" w:lineRule="exact"/>
              <w:rPr>
                <w:sz w:val="20"/>
                <w:szCs w:val="20"/>
                <w:color w:val="auto"/>
              </w:rPr>
            </w:pPr>
            <w:r>
              <w:rPr>
                <w:rFonts w:ascii="Calibri" w:cs="Calibri" w:eastAsia="Calibri" w:hAnsi="Calibri"/>
                <w:sz w:val="18"/>
                <w:szCs w:val="18"/>
                <w:color w:val="auto"/>
              </w:rPr>
              <w:t>equity in earnings of afliated companies</w:t>
            </w:r>
          </w:p>
        </w:tc>
        <w:tc>
          <w:tcPr>
            <w:tcW w:w="1100" w:type="dxa"/>
            <w:vAlign w:val="bottom"/>
            <w:tcBorders>
              <w:bottom w:val="single" w:sz="8" w:color="CFF0FC"/>
            </w:tcBorders>
            <w:vMerge w:val="continue"/>
            <w:shd w:val="clear" w:color="auto" w:fill="CFF0FC"/>
          </w:tcPr>
          <w:p>
            <w:pPr>
              <w:spacing w:after="0"/>
              <w:rPr>
                <w:sz w:val="21"/>
                <w:szCs w:val="21"/>
                <w:color w:val="auto"/>
              </w:rPr>
            </w:pPr>
          </w:p>
        </w:tc>
        <w:tc>
          <w:tcPr>
            <w:tcW w:w="700" w:type="dxa"/>
            <w:vAlign w:val="bottom"/>
            <w:tcBorders>
              <w:bottom w:val="single" w:sz="8" w:color="auto"/>
            </w:tcBorders>
            <w:vMerge w:val="continue"/>
            <w:shd w:val="clear" w:color="auto" w:fill="CFF0FC"/>
          </w:tcPr>
          <w:p>
            <w:pPr>
              <w:spacing w:after="0"/>
              <w:rPr>
                <w:sz w:val="21"/>
                <w:szCs w:val="21"/>
                <w:color w:val="auto"/>
              </w:rPr>
            </w:pPr>
          </w:p>
        </w:tc>
        <w:tc>
          <w:tcPr>
            <w:tcW w:w="36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vMerge w:val="continue"/>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80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5"/>
        </w:trPr>
        <w:tc>
          <w:tcPr>
            <w:tcW w:w="5380" w:type="dxa"/>
            <w:vAlign w:val="bottom"/>
            <w:gridSpan w:val="2"/>
          </w:tcPr>
          <w:p>
            <w:pPr>
              <w:ind w:left="520"/>
              <w:spacing w:after="0"/>
              <w:rPr>
                <w:sz w:val="20"/>
                <w:szCs w:val="20"/>
                <w:color w:val="auto"/>
              </w:rPr>
            </w:pPr>
            <w:r>
              <w:rPr>
                <w:rFonts w:ascii="Calibri" w:cs="Calibri" w:eastAsia="Calibri" w:hAnsi="Calibri"/>
                <w:sz w:val="18"/>
                <w:szCs w:val="18"/>
                <w:color w:val="auto"/>
              </w:rPr>
              <w:t>Tax provision (beneft) for income taxes consisted of the following:</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60" w:type="dxa"/>
            <w:vAlign w:val="bottom"/>
            <w:gridSpan w:val="6"/>
          </w:tcPr>
          <w:p>
            <w:pPr>
              <w:jc w:val="center"/>
              <w:spacing w:after="0"/>
              <w:rPr>
                <w:sz w:val="20"/>
                <w:szCs w:val="20"/>
                <w:color w:val="auto"/>
              </w:rPr>
            </w:pPr>
            <w:r>
              <w:rPr>
                <w:rFonts w:ascii="Calibri" w:cs="Calibri" w:eastAsia="Calibri" w:hAnsi="Calibri"/>
                <w:sz w:val="14"/>
                <w:szCs w:val="14"/>
                <w:b w:val="1"/>
                <w:bCs w:val="1"/>
                <w:color w:val="auto"/>
              </w:rPr>
              <w:t>Years Ended September 30</w:t>
            </w: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center"/>
              <w:ind w:right="35"/>
              <w:spacing w:after="0" w:line="164" w:lineRule="exact"/>
              <w:rPr>
                <w:sz w:val="20"/>
                <w:szCs w:val="20"/>
                <w:color w:val="auto"/>
              </w:rPr>
            </w:pPr>
            <w:r>
              <w:rPr>
                <w:rFonts w:ascii="Calibri" w:cs="Calibri" w:eastAsia="Calibri" w:hAnsi="Calibri"/>
                <w:sz w:val="14"/>
                <w:szCs w:val="14"/>
                <w:b w:val="1"/>
                <w:bCs w:val="1"/>
                <w:color w:val="auto"/>
                <w:w w:val="98"/>
              </w:rPr>
              <w:t>2022</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93"/>
              <w:spacing w:after="0" w:line="164" w:lineRule="exact"/>
              <w:rPr>
                <w:sz w:val="20"/>
                <w:szCs w:val="20"/>
                <w:color w:val="auto"/>
              </w:rPr>
            </w:pPr>
            <w:r>
              <w:rPr>
                <w:rFonts w:ascii="Calibri" w:cs="Calibri" w:eastAsia="Calibri" w:hAnsi="Calibri"/>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center"/>
              <w:ind w:right="75"/>
              <w:spacing w:after="0" w:line="164" w:lineRule="exact"/>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42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U.S. federal and state:</w:t>
            </w:r>
          </w:p>
        </w:tc>
        <w:tc>
          <w:tcPr>
            <w:tcW w:w="11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240" w:type="dxa"/>
            <w:vAlign w:val="bottom"/>
          </w:tcPr>
          <w:p>
            <w:pPr>
              <w:ind w:left="180"/>
              <w:spacing w:after="0" w:line="215" w:lineRule="exact"/>
              <w:rPr>
                <w:sz w:val="20"/>
                <w:szCs w:val="20"/>
                <w:color w:val="auto"/>
              </w:rPr>
            </w:pPr>
            <w:r>
              <w:rPr>
                <w:rFonts w:ascii="Calibri" w:cs="Calibri" w:eastAsia="Calibri" w:hAnsi="Calibri"/>
                <w:sz w:val="18"/>
                <w:szCs w:val="18"/>
                <w:color w:val="auto"/>
              </w:rPr>
              <w:t>Current</w:t>
            </w:r>
          </w:p>
        </w:tc>
        <w:tc>
          <w:tcPr>
            <w:tcW w:w="1800" w:type="dxa"/>
            <w:vAlign w:val="bottom"/>
            <w:gridSpan w:val="2"/>
          </w:tcPr>
          <w:p>
            <w:pPr>
              <w:jc w:val="right"/>
              <w:ind w:right="522"/>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7</w:t>
            </w:r>
          </w:p>
        </w:tc>
        <w:tc>
          <w:tcPr>
            <w:tcW w:w="200" w:type="dxa"/>
            <w:vAlign w:val="bottom"/>
          </w:tcPr>
          <w:p>
            <w:pPr>
              <w:spacing w:after="0"/>
              <w:rPr>
                <w:sz w:val="18"/>
                <w:szCs w:val="18"/>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4240" w:type="dxa"/>
            <w:vAlign w:val="bottom"/>
            <w:tcBorders>
              <w:bottom w:val="single" w:sz="8" w:color="CFF0FC"/>
            </w:tcBorders>
            <w:shd w:val="clear" w:color="auto" w:fill="CFF0FC"/>
          </w:tcPr>
          <w:p>
            <w:pPr>
              <w:ind w:left="180"/>
              <w:spacing w:after="0"/>
              <w:rPr>
                <w:sz w:val="20"/>
                <w:szCs w:val="20"/>
                <w:color w:val="auto"/>
              </w:rPr>
            </w:pPr>
            <w:r>
              <w:rPr>
                <w:rFonts w:ascii="Calibri" w:cs="Calibri" w:eastAsia="Calibri" w:hAnsi="Calibri"/>
                <w:sz w:val="18"/>
                <w:szCs w:val="18"/>
                <w:color w:val="auto"/>
              </w:rPr>
              <w:t>Deferred</w:t>
            </w:r>
          </w:p>
        </w:tc>
        <w:tc>
          <w:tcPr>
            <w:tcW w:w="11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w w:val="94"/>
              </w:rPr>
              <w:t>(156 )</w:t>
            </w:r>
          </w:p>
        </w:tc>
        <w:tc>
          <w:tcPr>
            <w:tcW w:w="1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(1 )</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40" w:type="dxa"/>
            <w:vAlign w:val="bottom"/>
          </w:tcPr>
          <w:p>
            <w:pPr>
              <w:spacing w:after="0"/>
              <w:rPr>
                <w:sz w:val="18"/>
                <w:szCs w:val="18"/>
                <w:color w:val="auto"/>
              </w:rPr>
            </w:pPr>
          </w:p>
        </w:tc>
        <w:tc>
          <w:tcPr>
            <w:tcW w:w="4240" w:type="dxa"/>
            <w:vAlign w:val="bottom"/>
          </w:tcPr>
          <w:p>
            <w:pPr>
              <w:ind w:left="360"/>
              <w:spacing w:after="0" w:line="213" w:lineRule="exact"/>
              <w:rPr>
                <w:sz w:val="20"/>
                <w:szCs w:val="20"/>
                <w:color w:val="auto"/>
              </w:rPr>
            </w:pPr>
            <w:r>
              <w:rPr>
                <w:rFonts w:ascii="Calibri" w:cs="Calibri" w:eastAsia="Calibri" w:hAnsi="Calibri"/>
                <w:sz w:val="18"/>
                <w:szCs w:val="18"/>
                <w:color w:val="auto"/>
              </w:rPr>
              <w:t>Total</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180"/>
              <w:spacing w:after="0" w:line="213" w:lineRule="exact"/>
              <w:rPr>
                <w:sz w:val="20"/>
                <w:szCs w:val="20"/>
                <w:color w:val="auto"/>
              </w:rPr>
            </w:pPr>
            <w:r>
              <w:rPr>
                <w:rFonts w:ascii="Calibri" w:cs="Calibri" w:eastAsia="Calibri" w:hAnsi="Calibri"/>
                <w:sz w:val="18"/>
                <w:szCs w:val="18"/>
                <w:color w:val="auto"/>
                <w:w w:val="94"/>
              </w:rPr>
              <w:t>(151 )</w:t>
            </w:r>
          </w:p>
        </w:tc>
        <w:tc>
          <w:tcPr>
            <w:tcW w:w="100" w:type="dxa"/>
            <w:vAlign w:val="bottom"/>
          </w:tcPr>
          <w:p>
            <w:pPr>
              <w:spacing w:after="0"/>
              <w:rPr>
                <w:sz w:val="18"/>
                <w:szCs w:val="18"/>
                <w:color w:val="auto"/>
              </w:rPr>
            </w:pPr>
          </w:p>
        </w:tc>
        <w:tc>
          <w:tcPr>
            <w:tcW w:w="920" w:type="dxa"/>
            <w:vAlign w:val="bottom"/>
          </w:tcPr>
          <w:p>
            <w:pPr>
              <w:jc w:val="right"/>
              <w:spacing w:after="0" w:line="213" w:lineRule="exact"/>
              <w:rPr>
                <w:sz w:val="20"/>
                <w:szCs w:val="20"/>
                <w:color w:val="auto"/>
              </w:rPr>
            </w:pPr>
            <w:r>
              <w:rPr>
                <w:rFonts w:ascii="Calibri" w:cs="Calibri" w:eastAsia="Calibri" w:hAnsi="Calibri"/>
                <w:sz w:val="18"/>
                <w:szCs w:val="18"/>
                <w:color w:val="auto"/>
              </w:rPr>
              <w:t>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line="213" w:lineRule="exact"/>
              <w:rPr>
                <w:sz w:val="20"/>
                <w:szCs w:val="20"/>
                <w:color w:val="auto"/>
              </w:rPr>
            </w:pPr>
            <w:r>
              <w:rPr>
                <w:rFonts w:ascii="Calibri" w:cs="Calibri" w:eastAsia="Calibri" w:hAnsi="Calibri"/>
                <w:sz w:val="18"/>
                <w:szCs w:val="18"/>
                <w:color w:val="auto"/>
              </w:rPr>
              <w:t>10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24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Foreign:</w:t>
            </w:r>
          </w:p>
        </w:tc>
        <w:tc>
          <w:tcPr>
            <w:tcW w:w="1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240" w:type="dxa"/>
            <w:vAlign w:val="bottom"/>
          </w:tcPr>
          <w:p>
            <w:pPr>
              <w:ind w:left="180"/>
              <w:spacing w:after="0" w:line="215" w:lineRule="exact"/>
              <w:rPr>
                <w:sz w:val="20"/>
                <w:szCs w:val="20"/>
                <w:color w:val="auto"/>
              </w:rPr>
            </w:pPr>
            <w:r>
              <w:rPr>
                <w:rFonts w:ascii="Calibri" w:cs="Calibri" w:eastAsia="Calibri" w:hAnsi="Calibri"/>
                <w:sz w:val="18"/>
                <w:szCs w:val="18"/>
                <w:color w:val="auto"/>
              </w:rPr>
              <w:t>Current</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123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103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140" w:type="dxa"/>
            <w:vAlign w:val="bottom"/>
          </w:tcPr>
          <w:p>
            <w:pPr>
              <w:spacing w:after="0"/>
              <w:rPr>
                <w:sz w:val="21"/>
                <w:szCs w:val="21"/>
                <w:color w:val="auto"/>
              </w:rPr>
            </w:pPr>
          </w:p>
        </w:tc>
        <w:tc>
          <w:tcPr>
            <w:tcW w:w="4240" w:type="dxa"/>
            <w:vAlign w:val="bottom"/>
            <w:tcBorders>
              <w:bottom w:val="single" w:sz="8" w:color="CFF0FC"/>
            </w:tcBorders>
            <w:shd w:val="clear" w:color="auto" w:fill="CFF0FC"/>
          </w:tcPr>
          <w:p>
            <w:pPr>
              <w:ind w:left="180"/>
              <w:spacing w:after="0"/>
              <w:rPr>
                <w:sz w:val="20"/>
                <w:szCs w:val="20"/>
                <w:color w:val="auto"/>
              </w:rPr>
            </w:pPr>
            <w:r>
              <w:rPr>
                <w:rFonts w:ascii="Calibri" w:cs="Calibri" w:eastAsia="Calibri" w:hAnsi="Calibri"/>
                <w:sz w:val="18"/>
                <w:szCs w:val="18"/>
                <w:color w:val="auto"/>
              </w:rPr>
              <w:t>Deferred</w:t>
            </w:r>
          </w:p>
        </w:tc>
        <w:tc>
          <w:tcPr>
            <w:tcW w:w="11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(42 )</w:t>
            </w:r>
          </w:p>
        </w:tc>
        <w:tc>
          <w:tcPr>
            <w:tcW w:w="2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4240" w:type="dxa"/>
            <w:vAlign w:val="bottom"/>
            <w:tcBorders>
              <w:top w:val="single" w:sz="8" w:color="CFF0FC"/>
            </w:tcBorders>
          </w:tcPr>
          <w:p>
            <w:pPr>
              <w:ind w:left="360"/>
              <w:spacing w:after="0" w:line="213" w:lineRule="exact"/>
              <w:rPr>
                <w:sz w:val="20"/>
                <w:szCs w:val="20"/>
                <w:color w:val="auto"/>
              </w:rPr>
            </w:pPr>
            <w:r>
              <w:rPr>
                <w:rFonts w:ascii="Calibri" w:cs="Calibri" w:eastAsia="Calibri" w:hAnsi="Calibri"/>
                <w:sz w:val="18"/>
                <w:szCs w:val="18"/>
                <w:color w:val="auto"/>
              </w:rPr>
              <w:t>Total</w:t>
            </w:r>
          </w:p>
        </w:tc>
        <w:tc>
          <w:tcPr>
            <w:tcW w:w="110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123</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93</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113</w:t>
            </w:r>
          </w:p>
        </w:tc>
        <w:tc>
          <w:tcPr>
            <w:tcW w:w="80" w:type="dxa"/>
            <w:vAlign w:val="bottom"/>
            <w:tcBorders>
              <w:top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4240" w:type="dxa"/>
            <w:vAlign w:val="bottom"/>
            <w:shd w:val="clear" w:color="auto" w:fill="CFF0FC"/>
          </w:tcPr>
          <w:p>
            <w:pPr>
              <w:ind w:left="540"/>
              <w:spacing w:after="0"/>
              <w:rPr>
                <w:sz w:val="20"/>
                <w:szCs w:val="20"/>
                <w:color w:val="auto"/>
              </w:rPr>
            </w:pPr>
            <w:r>
              <w:rPr>
                <w:rFonts w:ascii="Calibri" w:cs="Calibri" w:eastAsia="Calibri" w:hAnsi="Calibri"/>
                <w:sz w:val="18"/>
                <w:szCs w:val="18"/>
                <w:color w:val="auto"/>
              </w:rPr>
              <w:t>Provision (beneft) for income taxes</w:t>
            </w:r>
          </w:p>
        </w:tc>
        <w:tc>
          <w:tcPr>
            <w:tcW w:w="1800" w:type="dxa"/>
            <w:vAlign w:val="bottom"/>
            <w:gridSpan w:val="2"/>
            <w:shd w:val="clear" w:color="auto" w:fill="CFF0FC"/>
          </w:tcPr>
          <w:p>
            <w:pPr>
              <w:jc w:val="right"/>
              <w:ind w:right="522"/>
              <w:spacing w:after="0" w:line="215" w:lineRule="exact"/>
              <w:rPr>
                <w:sz w:val="20"/>
                <w:szCs w:val="20"/>
                <w:color w:val="auto"/>
              </w:rPr>
            </w:pPr>
            <w:r>
              <w:rPr>
                <w:rFonts w:ascii="Calibri" w:cs="Calibri" w:eastAsia="Calibri" w:hAnsi="Calibri"/>
                <w:sz w:val="18"/>
                <w:szCs w:val="18"/>
                <w:color w:val="auto"/>
              </w:rPr>
              <w:t>$</w:t>
            </w:r>
          </w:p>
        </w:tc>
        <w:tc>
          <w:tcPr>
            <w:tcW w:w="600" w:type="dxa"/>
            <w:vAlign w:val="bottom"/>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(28 )</w:t>
            </w:r>
          </w:p>
        </w:tc>
        <w:tc>
          <w:tcPr>
            <w:tcW w:w="1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9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102</w:t>
            </w:r>
          </w:p>
        </w:tc>
        <w:tc>
          <w:tcPr>
            <w:tcW w:w="20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123</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5"/>
        </w:trPr>
        <w:tc>
          <w:tcPr>
            <w:tcW w:w="1140" w:type="dxa"/>
            <w:vAlign w:val="bottom"/>
          </w:tcPr>
          <w:p>
            <w:pPr>
              <w:spacing w:after="0"/>
              <w:rPr>
                <w:sz w:val="24"/>
                <w:szCs w:val="24"/>
                <w:color w:val="auto"/>
              </w:rPr>
            </w:pPr>
          </w:p>
        </w:tc>
        <w:tc>
          <w:tcPr>
            <w:tcW w:w="424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jc w:val="right"/>
              <w:ind w:right="670"/>
              <w:spacing w:after="0"/>
              <w:rPr>
                <w:sz w:val="20"/>
                <w:szCs w:val="20"/>
                <w:color w:val="auto"/>
              </w:rPr>
            </w:pPr>
            <w:r>
              <w:rPr>
                <w:rFonts w:ascii="Calibri" w:cs="Calibri" w:eastAsia="Calibri" w:hAnsi="Calibri"/>
                <w:sz w:val="18"/>
                <w:szCs w:val="18"/>
                <w:color w:val="auto"/>
              </w:rPr>
              <w:t>67</w:t>
            </w:r>
          </w:p>
        </w:tc>
        <w:tc>
          <w:tcPr>
            <w:tcW w:w="7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14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-2682240</wp:posOffset>
            </wp:positionV>
            <wp:extent cx="603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-2665095</wp:posOffset>
            </wp:positionV>
            <wp:extent cx="6032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-2682240</wp:posOffset>
            </wp:positionV>
            <wp:extent cx="514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-2665095</wp:posOffset>
            </wp:positionV>
            <wp:extent cx="5143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-2682240</wp:posOffset>
            </wp:positionV>
            <wp:extent cx="514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-2665095</wp:posOffset>
            </wp:positionV>
            <wp:extent cx="5143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-1473835</wp:posOffset>
            </wp:positionV>
            <wp:extent cx="603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-1473835</wp:posOffset>
            </wp:positionV>
            <wp:extent cx="5143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-1473835</wp:posOffset>
            </wp:positionV>
            <wp:extent cx="5143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-839470</wp:posOffset>
            </wp:positionV>
            <wp:extent cx="603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-839470</wp:posOffset>
            </wp:positionV>
            <wp:extent cx="514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-839470</wp:posOffset>
            </wp:positionV>
            <wp:extent cx="514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-513715</wp:posOffset>
            </wp:positionV>
            <wp:extent cx="6032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-496570</wp:posOffset>
            </wp:positionV>
            <wp:extent cx="603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-513715</wp:posOffset>
            </wp:positionV>
            <wp:extent cx="5143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-496570</wp:posOffset>
            </wp:positionV>
            <wp:extent cx="514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-513715</wp:posOffset>
            </wp:positionV>
            <wp:extent cx="5143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-496570</wp:posOffset>
            </wp:positionV>
            <wp:extent cx="514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7" w:name="page68"/>
    <w:bookmarkEnd w:id="67"/>
    <w:p>
      <w:pPr>
        <w:ind w:left="520"/>
        <w:spacing w:after="0"/>
        <w:rPr>
          <w:sz w:val="20"/>
          <w:szCs w:val="20"/>
          <w:color w:val="auto"/>
        </w:rPr>
      </w:pPr>
      <w:r>
        <w:rPr>
          <w:rFonts w:ascii="Calibri" w:cs="Calibri" w:eastAsia="Calibri" w:hAnsi="Calibri"/>
          <w:sz w:val="18"/>
          <w:szCs w:val="18"/>
          <w:color w:val="auto"/>
        </w:rPr>
        <w:t>The provision (</w:t>
      </w:r>
      <w:r>
        <w:rPr>
          <w:rFonts w:ascii="Calibri" w:cs="Calibri" w:eastAsia="Calibri" w:hAnsi="Calibri"/>
          <w:sz w:val="18"/>
          <w:szCs w:val="18"/>
          <w:color w:val="212529"/>
        </w:rPr>
        <w:t>beneft</w:t>
      </w:r>
      <w:r>
        <w:rPr>
          <w:rFonts w:ascii="Calibri" w:cs="Calibri" w:eastAsia="Calibri" w:hAnsi="Calibri"/>
          <w:sz w:val="18"/>
          <w:szCs w:val="18"/>
          <w:color w:val="auto"/>
        </w:rPr>
        <w:t>) for income taxes difered from the provision for income taxes as calculated using the U.S. statutory rate as follows:</w:t>
      </w:r>
    </w:p>
    <w:p>
      <w:pPr>
        <w:spacing w:after="0" w:line="103"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8"/>
          </w:tcPr>
          <w:p>
            <w:pPr>
              <w:jc w:val="right"/>
              <w:spacing w:after="0"/>
              <w:rPr>
                <w:sz w:val="20"/>
                <w:szCs w:val="20"/>
                <w:color w:val="auto"/>
              </w:rPr>
            </w:pPr>
            <w:r>
              <w:rPr>
                <w:rFonts w:ascii="Calibri" w:cs="Calibri" w:eastAsia="Calibri" w:hAnsi="Calibri"/>
                <w:sz w:val="14"/>
                <w:szCs w:val="14"/>
                <w:b w:val="1"/>
                <w:bCs w:val="1"/>
                <w:color w:val="auto"/>
              </w:rPr>
              <w:t>Years Ended September 30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ind w:right="318"/>
              <w:spacing w:after="0" w:line="164" w:lineRule="exact"/>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292"/>
              <w:spacing w:after="0" w:line="164" w:lineRule="exact"/>
              <w:rPr>
                <w:sz w:val="20"/>
                <w:szCs w:val="20"/>
                <w:color w:val="auto"/>
              </w:rPr>
            </w:pPr>
            <w:r>
              <w:rPr>
                <w:rFonts w:ascii="Calibri" w:cs="Calibri" w:eastAsia="Calibri" w:hAnsi="Calibri"/>
                <w:sz w:val="14"/>
                <w:szCs w:val="14"/>
                <w:b w:val="1"/>
                <w:bCs w:val="1"/>
                <w:color w:val="auto"/>
              </w:rPr>
              <w:t>2022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290"/>
              <w:spacing w:after="0" w:line="164" w:lineRule="exact"/>
              <w:rPr>
                <w:sz w:val="20"/>
                <w:szCs w:val="20"/>
                <w:color w:val="auto"/>
              </w:rPr>
            </w:pPr>
            <w:r>
              <w:rPr>
                <w:rFonts w:ascii="Calibri" w:cs="Calibri" w:eastAsia="Calibri" w:hAnsi="Calibri"/>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ind w:left="40"/>
              <w:spacing w:after="0" w:line="164" w:lineRule="exact"/>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5360" w:type="dxa"/>
            <w:vAlign w:val="bottom"/>
            <w:tcBorders>
              <w:bottom w:val="single" w:sz="8" w:color="CFF0FC"/>
            </w:tcBorders>
            <w:gridSpan w:val="2"/>
            <w:shd w:val="clear" w:color="auto" w:fill="CFF0FC"/>
          </w:tcPr>
          <w:p>
            <w:pPr>
              <w:spacing w:after="0" w:line="215" w:lineRule="exact"/>
              <w:rPr>
                <w:sz w:val="20"/>
                <w:szCs w:val="20"/>
                <w:color w:val="auto"/>
              </w:rPr>
            </w:pPr>
            <w:r>
              <w:rPr>
                <w:rFonts w:ascii="Calibri" w:cs="Calibri" w:eastAsia="Calibri" w:hAnsi="Calibri"/>
                <w:sz w:val="18"/>
                <w:szCs w:val="18"/>
                <w:color w:val="auto"/>
              </w:rPr>
              <w:t>Computed tax expense at the federal statutory rate</w:t>
            </w: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95</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CFF0FC"/>
            </w:tcBorders>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8"/>
                <w:szCs w:val="18"/>
                <w:color w:val="auto"/>
              </w:rPr>
            </w:pPr>
          </w:p>
        </w:tc>
        <w:tc>
          <w:tcPr>
            <w:tcW w:w="5360" w:type="dxa"/>
            <w:vAlign w:val="bottom"/>
            <w:gridSpan w:val="2"/>
          </w:tcPr>
          <w:p>
            <w:pPr>
              <w:spacing w:after="0" w:line="207" w:lineRule="exact"/>
              <w:rPr>
                <w:sz w:val="20"/>
                <w:szCs w:val="20"/>
                <w:color w:val="auto"/>
              </w:rPr>
            </w:pPr>
            <w:r>
              <w:rPr>
                <w:rFonts w:ascii="Calibri" w:cs="Calibri" w:eastAsia="Calibri" w:hAnsi="Calibri"/>
                <w:sz w:val="18"/>
                <w:szCs w:val="18"/>
                <w:color w:val="auto"/>
              </w:rPr>
              <w:t>Foreign impact of taxaton at diferent rates, repatriaton,</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536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valuaton allowance, and other</w:t>
            </w:r>
          </w:p>
        </w:tc>
        <w:tc>
          <w:tcPr>
            <w:tcW w:w="240" w:type="dxa"/>
            <w:vAlign w:val="bottom"/>
          </w:tcPr>
          <w:p>
            <w:pPr>
              <w:spacing w:after="0"/>
              <w:rPr>
                <w:sz w:val="18"/>
                <w:szCs w:val="18"/>
                <w:color w:val="auto"/>
              </w:rPr>
            </w:pPr>
          </w:p>
        </w:tc>
        <w:tc>
          <w:tcPr>
            <w:tcW w:w="8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5360" w:type="dxa"/>
            <w:vAlign w:val="bottom"/>
            <w:tcBorders>
              <w:bottom w:val="single" w:sz="8" w:color="CFF0FC"/>
            </w:tcBorders>
            <w:gridSpan w:val="2"/>
            <w:shd w:val="clear" w:color="auto" w:fill="CFF0FC"/>
          </w:tcPr>
          <w:p>
            <w:pPr>
              <w:spacing w:after="0" w:line="215" w:lineRule="exact"/>
              <w:rPr>
                <w:sz w:val="20"/>
                <w:szCs w:val="20"/>
                <w:color w:val="auto"/>
              </w:rPr>
            </w:pPr>
            <w:r>
              <w:rPr>
                <w:rFonts w:ascii="Calibri" w:cs="Calibri" w:eastAsia="Calibri" w:hAnsi="Calibri"/>
                <w:sz w:val="18"/>
                <w:szCs w:val="18"/>
                <w:color w:val="auto"/>
              </w:rPr>
              <w:t>Global Intangible Low Taxed Income (GILTI)</w:t>
            </w: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5360" w:type="dxa"/>
            <w:vAlign w:val="bottom"/>
            <w:gridSpan w:val="2"/>
          </w:tcPr>
          <w:p>
            <w:pPr>
              <w:spacing w:after="0" w:line="215" w:lineRule="exact"/>
              <w:rPr>
                <w:sz w:val="20"/>
                <w:szCs w:val="20"/>
                <w:color w:val="auto"/>
              </w:rPr>
            </w:pPr>
            <w:r>
              <w:rPr>
                <w:rFonts w:ascii="Calibri" w:cs="Calibri" w:eastAsia="Calibri" w:hAnsi="Calibri"/>
                <w:sz w:val="18"/>
                <w:szCs w:val="18"/>
                <w:color w:val="auto"/>
              </w:rPr>
              <w:t>Purifcaton Solutons business divestture</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(179 )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8"/>
                <w:szCs w:val="18"/>
                <w:color w:val="auto"/>
              </w:rPr>
            </w:pPr>
          </w:p>
        </w:tc>
        <w:tc>
          <w:tcPr>
            <w:tcW w:w="5360" w:type="dxa"/>
            <w:vAlign w:val="bottom"/>
            <w:gridSpan w:val="2"/>
            <w:shd w:val="clear" w:color="auto" w:fill="CFF0FC"/>
          </w:tcPr>
          <w:p>
            <w:pPr>
              <w:spacing w:after="0" w:line="207" w:lineRule="exact"/>
              <w:rPr>
                <w:sz w:val="20"/>
                <w:szCs w:val="20"/>
                <w:color w:val="auto"/>
              </w:rPr>
            </w:pPr>
            <w:r>
              <w:rPr>
                <w:rFonts w:ascii="Calibri" w:cs="Calibri" w:eastAsia="Calibri" w:hAnsi="Calibri"/>
                <w:sz w:val="18"/>
                <w:szCs w:val="18"/>
                <w:color w:val="auto"/>
              </w:rPr>
              <w:t>Impact of the Coronavirus Aid, Relief, and Economic</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20" w:type="dxa"/>
            <w:vAlign w:val="bottom"/>
          </w:tcPr>
          <w:p>
            <w:pPr>
              <w:spacing w:after="0"/>
              <w:rPr>
                <w:sz w:val="20"/>
                <w:szCs w:val="20"/>
                <w:color w:val="auto"/>
              </w:rPr>
            </w:pPr>
          </w:p>
        </w:tc>
        <w:tc>
          <w:tcPr>
            <w:tcW w:w="5360" w:type="dxa"/>
            <w:vAlign w:val="bottom"/>
            <w:tcBorders>
              <w:bottom w:val="single" w:sz="8" w:color="CFF0FC"/>
            </w:tcBorders>
            <w:gridSpan w:val="2"/>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Security ("CARES") Act of 2020</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8"/>
                <w:szCs w:val="18"/>
                <w:color w:val="auto"/>
              </w:rPr>
            </w:pPr>
          </w:p>
        </w:tc>
        <w:tc>
          <w:tcPr>
            <w:tcW w:w="5360" w:type="dxa"/>
            <w:vAlign w:val="bottom"/>
            <w:gridSpan w:val="2"/>
          </w:tcPr>
          <w:p>
            <w:pPr>
              <w:spacing w:after="0" w:line="207" w:lineRule="exact"/>
              <w:rPr>
                <w:sz w:val="20"/>
                <w:szCs w:val="20"/>
                <w:color w:val="auto"/>
              </w:rPr>
            </w:pPr>
            <w:r>
              <w:rPr>
                <w:rFonts w:ascii="Calibri" w:cs="Calibri" w:eastAsia="Calibri" w:hAnsi="Calibri"/>
                <w:sz w:val="18"/>
                <w:szCs w:val="18"/>
                <w:color w:val="auto"/>
              </w:rPr>
              <w:t>Impact of increase (decrease) in valuaton allowance on</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536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U.S. deferred taxes</w:t>
            </w:r>
          </w:p>
        </w:tc>
        <w:tc>
          <w:tcPr>
            <w:tcW w:w="240" w:type="dxa"/>
            <w:vAlign w:val="bottom"/>
          </w:tcPr>
          <w:p>
            <w:pPr>
              <w:spacing w:after="0"/>
              <w:rPr>
                <w:sz w:val="18"/>
                <w:szCs w:val="18"/>
                <w:color w:val="auto"/>
              </w:rPr>
            </w:pPr>
          </w:p>
        </w:tc>
        <w:tc>
          <w:tcPr>
            <w:tcW w:w="1040" w:type="dxa"/>
            <w:vAlign w:val="bottom"/>
            <w:gridSpan w:val="3"/>
          </w:tcPr>
          <w:p>
            <w:pPr>
              <w:jc w:val="right"/>
              <w:ind w:right="160"/>
              <w:spacing w:after="0" w:line="215" w:lineRule="exact"/>
              <w:rPr>
                <w:sz w:val="20"/>
                <w:szCs w:val="20"/>
                <w:color w:val="auto"/>
              </w:rPr>
            </w:pPr>
            <w:r>
              <w:rPr>
                <w:rFonts w:ascii="Calibri" w:cs="Calibri" w:eastAsia="Calibri" w:hAnsi="Calibri"/>
                <w:sz w:val="18"/>
                <w:szCs w:val="18"/>
                <w:color w:val="auto"/>
              </w:rPr>
              <w:t>(156 )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160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20"/>
              <w:spacing w:after="0" w:line="215"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37"/>
        </w:trPr>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8"/>
                <w:szCs w:val="18"/>
                <w:color w:val="auto"/>
              </w:rPr>
            </w:pPr>
          </w:p>
        </w:tc>
        <w:tc>
          <w:tcPr>
            <w:tcW w:w="5360" w:type="dxa"/>
            <w:vAlign w:val="bottom"/>
            <w:gridSpan w:val="2"/>
            <w:shd w:val="clear" w:color="auto" w:fill="CFF0FC"/>
          </w:tcPr>
          <w:p>
            <w:pPr>
              <w:spacing w:after="0" w:line="207" w:lineRule="exact"/>
              <w:rPr>
                <w:sz w:val="20"/>
                <w:szCs w:val="20"/>
                <w:color w:val="auto"/>
              </w:rPr>
            </w:pPr>
            <w:r>
              <w:rPr>
                <w:rFonts w:ascii="Calibri" w:cs="Calibri" w:eastAsia="Calibri" w:hAnsi="Calibri"/>
                <w:sz w:val="18"/>
                <w:szCs w:val="18"/>
                <w:color w:val="auto"/>
              </w:rPr>
              <w:t>U.S. and state benefts from research and experimentaton</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20" w:type="dxa"/>
            <w:vAlign w:val="bottom"/>
          </w:tcPr>
          <w:p>
            <w:pPr>
              <w:spacing w:after="0"/>
              <w:rPr>
                <w:sz w:val="20"/>
                <w:szCs w:val="20"/>
                <w:color w:val="auto"/>
              </w:rPr>
            </w:pPr>
          </w:p>
        </w:tc>
        <w:tc>
          <w:tcPr>
            <w:tcW w:w="5360" w:type="dxa"/>
            <w:vAlign w:val="bottom"/>
            <w:tcBorders>
              <w:bottom w:val="single" w:sz="8" w:color="CFF0FC"/>
            </w:tcBorders>
            <w:gridSpan w:val="2"/>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actvites</w:t>
            </w:r>
          </w:p>
        </w:tc>
        <w:tc>
          <w:tcPr>
            <w:tcW w:w="2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gridSpan w:val="3"/>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(2 )</w:t>
            </w: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(2 )</w:t>
            </w:r>
          </w:p>
        </w:tc>
        <w:tc>
          <w:tcPr>
            <w:tcW w:w="1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gridSpan w:val="4"/>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(2 )</w:t>
            </w: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5360" w:type="dxa"/>
            <w:vAlign w:val="bottom"/>
            <w:gridSpan w:val="2"/>
          </w:tcPr>
          <w:p>
            <w:pPr>
              <w:spacing w:after="0" w:line="215" w:lineRule="exact"/>
              <w:rPr>
                <w:sz w:val="20"/>
                <w:szCs w:val="20"/>
                <w:color w:val="auto"/>
              </w:rPr>
            </w:pPr>
            <w:r>
              <w:rPr>
                <w:rFonts w:ascii="Calibri" w:cs="Calibri" w:eastAsia="Calibri" w:hAnsi="Calibri"/>
                <w:sz w:val="18"/>
                <w:szCs w:val="18"/>
                <w:color w:val="auto"/>
              </w:rPr>
              <w:t>Provision (setlement) of unrecognized tax benefts</w:t>
            </w:r>
          </w:p>
        </w:tc>
        <w:tc>
          <w:tcPr>
            <w:tcW w:w="240" w:type="dxa"/>
            <w:vAlign w:val="bottom"/>
          </w:tcPr>
          <w:p>
            <w:pPr>
              <w:spacing w:after="0"/>
              <w:rPr>
                <w:sz w:val="18"/>
                <w:szCs w:val="18"/>
                <w:color w:val="auto"/>
              </w:rPr>
            </w:pPr>
          </w:p>
        </w:tc>
        <w:tc>
          <w:tcPr>
            <w:tcW w:w="8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5360" w:type="dxa"/>
            <w:vAlign w:val="bottom"/>
            <w:tcBorders>
              <w:bottom w:val="single" w:sz="8" w:color="CFF0FC"/>
            </w:tcBorders>
            <w:gridSpan w:val="2"/>
            <w:shd w:val="clear" w:color="auto" w:fill="CFF0FC"/>
          </w:tcPr>
          <w:p>
            <w:pPr>
              <w:spacing w:after="0" w:line="215" w:lineRule="exact"/>
              <w:rPr>
                <w:sz w:val="20"/>
                <w:szCs w:val="20"/>
                <w:color w:val="auto"/>
              </w:rPr>
            </w:pPr>
            <w:r>
              <w:rPr>
                <w:rFonts w:ascii="Calibri" w:cs="Calibri" w:eastAsia="Calibri" w:hAnsi="Calibri"/>
                <w:sz w:val="18"/>
                <w:szCs w:val="18"/>
                <w:color w:val="auto"/>
              </w:rPr>
              <w:t>Permanent diferences, net</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gridSpan w:val="3"/>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(4 )</w:t>
            </w: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Calibri" w:cs="Calibri" w:eastAsia="Calibri" w:hAnsi="Calibri"/>
                <w:sz w:val="18"/>
                <w:szCs w:val="18"/>
                <w:color w:val="auto"/>
              </w:rPr>
              <w:t>State taxes, net of federal efect</w:t>
            </w:r>
          </w:p>
        </w:tc>
        <w:tc>
          <w:tcPr>
            <w:tcW w:w="240" w:type="dxa"/>
            <w:vAlign w:val="bottom"/>
          </w:tcPr>
          <w:p>
            <w:pPr>
              <w:spacing w:after="0"/>
              <w:rPr>
                <w:sz w:val="19"/>
                <w:szCs w:val="19"/>
                <w:color w:val="auto"/>
              </w:rPr>
            </w:pPr>
          </w:p>
        </w:tc>
        <w:tc>
          <w:tcPr>
            <w:tcW w:w="1040" w:type="dxa"/>
            <w:vAlign w:val="bottom"/>
            <w:gridSpan w:val="3"/>
          </w:tcPr>
          <w:p>
            <w:pPr>
              <w:jc w:val="right"/>
              <w:ind w:right="160"/>
              <w:spacing w:after="0" w:line="215" w:lineRule="exact"/>
              <w:rPr>
                <w:sz w:val="20"/>
                <w:szCs w:val="20"/>
                <w:color w:val="auto"/>
              </w:rPr>
            </w:pPr>
            <w:r>
              <w:rPr>
                <w:rFonts w:ascii="Calibri" w:cs="Calibri" w:eastAsia="Calibri" w:hAnsi="Calibri"/>
                <w:sz w:val="18"/>
                <w:szCs w:val="18"/>
                <w:color w:val="auto"/>
              </w:rPr>
              <w:t>(8 )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(19 )</w:t>
            </w:r>
          </w:p>
        </w:tc>
        <w:tc>
          <w:tcPr>
            <w:tcW w:w="120" w:type="dxa"/>
            <w:vAlign w:val="bottom"/>
          </w:tcPr>
          <w:p>
            <w:pPr>
              <w:spacing w:after="0"/>
              <w:rPr>
                <w:sz w:val="19"/>
                <w:szCs w:val="19"/>
                <w:color w:val="auto"/>
              </w:rPr>
            </w:pPr>
          </w:p>
        </w:tc>
        <w:tc>
          <w:tcPr>
            <w:tcW w:w="1000" w:type="dxa"/>
            <w:vAlign w:val="bottom"/>
            <w:gridSpan w:val="4"/>
          </w:tcPr>
          <w:p>
            <w:pPr>
              <w:jc w:val="right"/>
              <w:ind w:right="20"/>
              <w:spacing w:after="0" w:line="215" w:lineRule="exact"/>
              <w:rPr>
                <w:sz w:val="20"/>
                <w:szCs w:val="20"/>
                <w:color w:val="auto"/>
              </w:rPr>
            </w:pPr>
            <w:r>
              <w:rPr>
                <w:rFonts w:ascii="Calibri" w:cs="Calibri" w:eastAsia="Calibri" w:hAnsi="Calibri"/>
                <w:sz w:val="18"/>
                <w:szCs w:val="18"/>
                <w:color w:val="auto"/>
              </w:rPr>
              <w:t>(3 )</w:t>
            </w:r>
          </w:p>
        </w:tc>
        <w:tc>
          <w:tcPr>
            <w:tcW w:w="0" w:type="dxa"/>
            <w:vAlign w:val="bottom"/>
          </w:tcPr>
          <w:p>
            <w:pPr>
              <w:spacing w:after="0"/>
              <w:rPr>
                <w:sz w:val="1"/>
                <w:szCs w:val="1"/>
                <w:color w:val="auto"/>
              </w:rPr>
            </w:pPr>
          </w:p>
        </w:tc>
      </w:tr>
      <w:tr>
        <w:trPr>
          <w:trHeight w:val="23"/>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0" w:type="dxa"/>
            <w:vAlign w:val="bottom"/>
          </w:tcPr>
          <w:p>
            <w:pPr>
              <w:spacing w:after="0"/>
              <w:rPr>
                <w:sz w:val="22"/>
                <w:szCs w:val="22"/>
                <w:color w:val="auto"/>
              </w:rPr>
            </w:pPr>
          </w:p>
        </w:tc>
        <w:tc>
          <w:tcPr>
            <w:tcW w:w="5360" w:type="dxa"/>
            <w:vAlign w:val="bottom"/>
            <w:gridSpan w:val="2"/>
            <w:shd w:val="clear" w:color="auto" w:fill="CFF0FC"/>
          </w:tcPr>
          <w:p>
            <w:pPr>
              <w:ind w:left="180"/>
              <w:spacing w:after="0"/>
              <w:rPr>
                <w:sz w:val="20"/>
                <w:szCs w:val="20"/>
                <w:color w:val="auto"/>
              </w:rPr>
            </w:pPr>
            <w:r>
              <w:rPr>
                <w:rFonts w:ascii="Calibri" w:cs="Calibri" w:eastAsia="Calibri" w:hAnsi="Calibri"/>
                <w:sz w:val="18"/>
                <w:szCs w:val="18"/>
                <w:color w:val="auto"/>
              </w:rPr>
              <w:t>Provision (beneft) for income taxes</w:t>
            </w:r>
          </w:p>
        </w:tc>
        <w:tc>
          <w:tcPr>
            <w:tcW w:w="240" w:type="dxa"/>
            <w:vAlign w:val="bottom"/>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gridSpan w:val="3"/>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(28 )</w:t>
            </w:r>
          </w:p>
        </w:tc>
        <w:tc>
          <w:tcPr>
            <w:tcW w:w="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102</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123</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4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980" w:type="dxa"/>
            <w:vAlign w:val="bottom"/>
            <w:gridSpan w:val="3"/>
          </w:tcPr>
          <w:p>
            <w:pPr>
              <w:spacing w:after="0"/>
              <w:rPr>
                <w:sz w:val="20"/>
                <w:szCs w:val="20"/>
                <w:color w:val="auto"/>
              </w:rPr>
            </w:pPr>
            <w:r>
              <w:rPr>
                <w:rFonts w:ascii="Calibri" w:cs="Calibri" w:eastAsia="Calibri" w:hAnsi="Calibri"/>
                <w:sz w:val="18"/>
                <w:szCs w:val="18"/>
                <w:color w:val="auto"/>
              </w:rPr>
              <w:t>Signifcant components of deferred income taxes were as follows:</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4"/>
          </w:tcPr>
          <w:p>
            <w:pPr>
              <w:ind w:left="20"/>
              <w:spacing w:after="0"/>
              <w:rPr>
                <w:sz w:val="20"/>
                <w:szCs w:val="20"/>
                <w:color w:val="auto"/>
              </w:rPr>
            </w:pPr>
            <w:r>
              <w:rPr>
                <w:rFonts w:ascii="Calibri" w:cs="Calibri" w:eastAsia="Calibri" w:hAnsi="Calibri"/>
                <w:sz w:val="14"/>
                <w:szCs w:val="14"/>
                <w:b w:val="1"/>
                <w:bCs w:val="1"/>
                <w:color w:val="auto"/>
              </w:rPr>
              <w:t>September 30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4"/>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Borders>
              <w:top w:val="single" w:sz="8" w:color="auto"/>
            </w:tcBorders>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800" w:type="dxa"/>
            <w:vAlign w:val="bottom"/>
            <w:gridSpan w:val="3"/>
          </w:tcPr>
          <w:p>
            <w:pPr>
              <w:jc w:val="right"/>
              <w:ind w:right="340"/>
              <w:spacing w:after="0" w:line="164" w:lineRule="exact"/>
              <w:rPr>
                <w:sz w:val="20"/>
                <w:szCs w:val="20"/>
                <w:color w:val="auto"/>
              </w:rPr>
            </w:pPr>
            <w:r>
              <w:rPr>
                <w:rFonts w:ascii="Calibri" w:cs="Calibri" w:eastAsia="Calibri" w:hAnsi="Calibri"/>
                <w:sz w:val="14"/>
                <w:szCs w:val="14"/>
                <w:b w:val="1"/>
                <w:bCs w:val="1"/>
                <w:color w:val="auto"/>
                <w:w w:val="87"/>
              </w:rPr>
              <w:t>millions)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Deferred tax assets:</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0" w:type="dxa"/>
            <w:vAlign w:val="bottom"/>
          </w:tcPr>
          <w:p>
            <w:pPr>
              <w:ind w:left="180"/>
              <w:spacing w:after="0" w:line="215" w:lineRule="exact"/>
              <w:rPr>
                <w:sz w:val="20"/>
                <w:szCs w:val="20"/>
                <w:color w:val="auto"/>
              </w:rPr>
            </w:pPr>
            <w:r>
              <w:rPr>
                <w:rFonts w:ascii="Calibri" w:cs="Calibri" w:eastAsia="Calibri" w:hAnsi="Calibri"/>
                <w:sz w:val="18"/>
                <w:szCs w:val="18"/>
                <w:color w:val="auto"/>
              </w:rPr>
              <w:t>Deferred expenses</w:t>
            </w:r>
          </w:p>
        </w:tc>
        <w:tc>
          <w:tcPr>
            <w:tcW w:w="240" w:type="dxa"/>
            <w:vAlign w:val="bottom"/>
          </w:tcPr>
          <w:p>
            <w:pPr>
              <w:spacing w:after="0"/>
              <w:rPr>
                <w:sz w:val="18"/>
                <w:szCs w:val="18"/>
                <w:color w:val="auto"/>
              </w:rPr>
            </w:pPr>
          </w:p>
        </w:tc>
        <w:tc>
          <w:tcPr>
            <w:tcW w:w="820" w:type="dxa"/>
            <w:vAlign w:val="bottom"/>
            <w:gridSpan w:val="2"/>
          </w:tcPr>
          <w:p>
            <w:pPr>
              <w:jc w:val="right"/>
              <w:ind w:right="258"/>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200" w:type="dxa"/>
            <w:vAlign w:val="bottom"/>
          </w:tcPr>
          <w:p>
            <w:pPr>
              <w:spacing w:after="0"/>
              <w:rPr>
                <w:sz w:val="18"/>
                <w:szCs w:val="18"/>
                <w:color w:val="auto"/>
              </w:rPr>
            </w:pPr>
          </w:p>
        </w:tc>
        <w:tc>
          <w:tcPr>
            <w:tcW w:w="400" w:type="dxa"/>
            <w:vAlign w:val="bottom"/>
          </w:tcPr>
          <w:p>
            <w:pPr>
              <w:jc w:val="right"/>
              <w:ind w:right="212"/>
              <w:spacing w:after="0" w:line="215" w:lineRule="exact"/>
              <w:rPr>
                <w:sz w:val="20"/>
                <w:szCs w:val="20"/>
                <w:color w:val="auto"/>
              </w:rPr>
            </w:pPr>
            <w:r>
              <w:rPr>
                <w:rFonts w:ascii="Calibri" w:cs="Calibri" w:eastAsia="Calibri" w:hAnsi="Calibri"/>
                <w:sz w:val="18"/>
                <w:szCs w:val="18"/>
                <w:color w:val="auto"/>
                <w:w w:val="87"/>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Intangible assets</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w:t>
            </w:r>
          </w:p>
        </w:tc>
        <w:tc>
          <w:tcPr>
            <w:tcW w:w="80" w:type="dxa"/>
            <w:vAlign w:val="bottom"/>
            <w:tcBorders>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0" w:type="dxa"/>
            <w:vAlign w:val="bottom"/>
          </w:tcPr>
          <w:p>
            <w:pPr>
              <w:ind w:left="180"/>
              <w:spacing w:after="0" w:line="215" w:lineRule="exact"/>
              <w:rPr>
                <w:sz w:val="20"/>
                <w:szCs w:val="20"/>
                <w:color w:val="auto"/>
              </w:rPr>
            </w:pPr>
            <w:r>
              <w:rPr>
                <w:rFonts w:ascii="Calibri" w:cs="Calibri" w:eastAsia="Calibri" w:hAnsi="Calibri"/>
                <w:sz w:val="18"/>
                <w:szCs w:val="18"/>
                <w:color w:val="auto"/>
              </w:rPr>
              <w:t>Inventory</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15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Operatng lease liability</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w:t>
            </w:r>
          </w:p>
        </w:tc>
        <w:tc>
          <w:tcPr>
            <w:tcW w:w="80" w:type="dxa"/>
            <w:vAlign w:val="bottom"/>
            <w:tcBorders>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0" w:type="dxa"/>
            <w:vAlign w:val="bottom"/>
          </w:tcPr>
          <w:p>
            <w:pPr>
              <w:ind w:left="180"/>
              <w:spacing w:after="0" w:line="215" w:lineRule="exact"/>
              <w:rPr>
                <w:sz w:val="20"/>
                <w:szCs w:val="20"/>
                <w:color w:val="auto"/>
              </w:rPr>
            </w:pPr>
            <w:r>
              <w:rPr>
                <w:rFonts w:ascii="Calibri" w:cs="Calibri" w:eastAsia="Calibri" w:hAnsi="Calibri"/>
                <w:sz w:val="18"/>
                <w:szCs w:val="18"/>
                <w:color w:val="auto"/>
              </w:rPr>
              <w:t>Other</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32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U.S. federal interest expense carryforward</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w:t>
            </w:r>
          </w:p>
        </w:tc>
        <w:tc>
          <w:tcPr>
            <w:tcW w:w="80" w:type="dxa"/>
            <w:vAlign w:val="bottom"/>
            <w:tcBorders>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0" w:type="dxa"/>
            <w:vAlign w:val="bottom"/>
          </w:tcPr>
          <w:p>
            <w:pPr>
              <w:ind w:left="180"/>
              <w:spacing w:after="0" w:line="215" w:lineRule="exact"/>
              <w:rPr>
                <w:sz w:val="20"/>
                <w:szCs w:val="20"/>
                <w:color w:val="auto"/>
              </w:rPr>
            </w:pPr>
            <w:r>
              <w:rPr>
                <w:rFonts w:ascii="Calibri" w:cs="Calibri" w:eastAsia="Calibri" w:hAnsi="Calibri"/>
                <w:sz w:val="18"/>
                <w:szCs w:val="18"/>
                <w:color w:val="auto"/>
              </w:rPr>
              <w:t>Pension and other benefts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24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29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Net operatng loss carryforwards</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244</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224</w:t>
            </w:r>
          </w:p>
        </w:tc>
        <w:tc>
          <w:tcPr>
            <w:tcW w:w="80" w:type="dxa"/>
            <w:vAlign w:val="bottom"/>
            <w:tcBorders>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0" w:type="dxa"/>
            <w:vAlign w:val="bottom"/>
          </w:tcPr>
          <w:p>
            <w:pPr>
              <w:ind w:left="180"/>
              <w:spacing w:after="0" w:line="215" w:lineRule="exact"/>
              <w:rPr>
                <w:sz w:val="20"/>
                <w:szCs w:val="20"/>
                <w:color w:val="auto"/>
              </w:rPr>
            </w:pPr>
            <w:r>
              <w:rPr>
                <w:rFonts w:ascii="Calibri" w:cs="Calibri" w:eastAsia="Calibri" w:hAnsi="Calibri"/>
                <w:sz w:val="18"/>
                <w:szCs w:val="18"/>
                <w:color w:val="auto"/>
              </w:rPr>
              <w:t>Capital loss carryforwards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132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137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Foreign tax credit carryforwards</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68</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w:t>
            </w:r>
          </w:p>
        </w:tc>
        <w:tc>
          <w:tcPr>
            <w:tcW w:w="80" w:type="dxa"/>
            <w:vAlign w:val="bottom"/>
            <w:tcBorders>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0" w:type="dxa"/>
            <w:vAlign w:val="bottom"/>
          </w:tcPr>
          <w:p>
            <w:pPr>
              <w:ind w:left="180"/>
              <w:spacing w:after="0" w:line="215" w:lineRule="exact"/>
              <w:rPr>
                <w:sz w:val="20"/>
                <w:szCs w:val="20"/>
                <w:color w:val="auto"/>
              </w:rPr>
            </w:pPr>
            <w:r>
              <w:rPr>
                <w:rFonts w:ascii="Calibri" w:cs="Calibri" w:eastAsia="Calibri" w:hAnsi="Calibri"/>
                <w:sz w:val="18"/>
                <w:szCs w:val="18"/>
                <w:color w:val="auto"/>
              </w:rPr>
              <w:t>R&amp;D credit carryforwards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49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47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0" w:type="dxa"/>
            <w:vAlign w:val="bottom"/>
            <w:tcBorders>
              <w:bottom w:val="single" w:sz="8" w:color="CFF0FC"/>
            </w:tcBorders>
            <w:shd w:val="clear" w:color="auto" w:fill="CFF0FC"/>
          </w:tcPr>
          <w:p>
            <w:pPr>
              <w:ind w:left="180"/>
              <w:spacing w:after="0"/>
              <w:rPr>
                <w:sz w:val="20"/>
                <w:szCs w:val="20"/>
                <w:color w:val="auto"/>
              </w:rPr>
            </w:pPr>
            <w:r>
              <w:rPr>
                <w:rFonts w:ascii="Calibri" w:cs="Calibri" w:eastAsia="Calibri" w:hAnsi="Calibri"/>
                <w:sz w:val="18"/>
                <w:szCs w:val="18"/>
                <w:color w:val="auto"/>
              </w:rPr>
              <w:t>Other business credit carryforwards</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w:t>
            </w: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0" w:type="dxa"/>
            <w:vAlign w:val="bottom"/>
            <w:tcBorders>
              <w:top w:val="single" w:sz="8" w:color="CFF0FC"/>
            </w:tcBorders>
          </w:tcPr>
          <w:p>
            <w:pPr>
              <w:ind w:left="360"/>
              <w:spacing w:after="0" w:line="208" w:lineRule="exact"/>
              <w:rPr>
                <w:sz w:val="20"/>
                <w:szCs w:val="20"/>
                <w:color w:val="auto"/>
              </w:rPr>
            </w:pPr>
            <w:r>
              <w:rPr>
                <w:rFonts w:ascii="Calibri" w:cs="Calibri" w:eastAsia="Calibri" w:hAnsi="Calibri"/>
                <w:sz w:val="18"/>
                <w:szCs w:val="18"/>
                <w:color w:val="auto"/>
              </w:rPr>
              <w:t>Subtotal</w:t>
            </w:r>
          </w:p>
        </w:tc>
        <w:tc>
          <w:tcPr>
            <w:tcW w:w="24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712</w:t>
            </w:r>
          </w:p>
        </w:tc>
        <w:tc>
          <w:tcPr>
            <w:tcW w:w="20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662</w:t>
            </w:r>
          </w:p>
        </w:tc>
        <w:tc>
          <w:tcPr>
            <w:tcW w:w="80" w:type="dxa"/>
            <w:vAlign w:val="bottom"/>
            <w:tcBorders>
              <w:top w:val="single" w:sz="8" w:color="CFF0FC"/>
            </w:tcBorders>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0" w:type="dxa"/>
            <w:vAlign w:val="bottom"/>
            <w:tcBorders>
              <w:bottom w:val="single" w:sz="8" w:color="CFF0FC"/>
            </w:tcBorders>
            <w:shd w:val="clear" w:color="auto" w:fill="CFF0FC"/>
          </w:tcPr>
          <w:p>
            <w:pPr>
              <w:ind w:left="180"/>
              <w:spacing w:after="0"/>
              <w:rPr>
                <w:sz w:val="20"/>
                <w:szCs w:val="20"/>
                <w:color w:val="auto"/>
              </w:rPr>
            </w:pPr>
            <w:r>
              <w:rPr>
                <w:rFonts w:ascii="Calibri" w:cs="Calibri" w:eastAsia="Calibri" w:hAnsi="Calibri"/>
                <w:sz w:val="18"/>
                <w:szCs w:val="18"/>
                <w:color w:val="auto"/>
              </w:rPr>
              <w:t>Valuaton allowance</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gridSpan w:val="2"/>
            <w:shd w:val="clear" w:color="auto" w:fill="CFF0FC"/>
          </w:tcPr>
          <w:p>
            <w:pPr>
              <w:jc w:val="right"/>
              <w:ind w:right="48"/>
              <w:spacing w:after="0" w:line="215" w:lineRule="exact"/>
              <w:rPr>
                <w:sz w:val="20"/>
                <w:szCs w:val="20"/>
                <w:color w:val="auto"/>
              </w:rPr>
            </w:pPr>
            <w:r>
              <w:rPr>
                <w:rFonts w:ascii="Calibri" w:cs="Calibri" w:eastAsia="Calibri" w:hAnsi="Calibri"/>
                <w:sz w:val="18"/>
                <w:szCs w:val="18"/>
                <w:color w:val="auto"/>
                <w:w w:val="94"/>
              </w:rPr>
              <w:t>(498 )</w:t>
            </w:r>
          </w:p>
        </w:tc>
        <w:tc>
          <w:tcPr>
            <w:tcW w:w="4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9"/>
              </w:rPr>
              <w:t>(580 )</w:t>
            </w:r>
          </w:p>
        </w:tc>
        <w:tc>
          <w:tcPr>
            <w:tcW w:w="4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0" w:type="dxa"/>
            <w:vAlign w:val="bottom"/>
            <w:tcBorders>
              <w:top w:val="single" w:sz="8" w:color="CFF0FC"/>
            </w:tcBorders>
          </w:tcPr>
          <w:p>
            <w:pPr>
              <w:ind w:left="360"/>
              <w:spacing w:after="0"/>
              <w:rPr>
                <w:sz w:val="20"/>
                <w:szCs w:val="20"/>
                <w:color w:val="auto"/>
              </w:rPr>
            </w:pPr>
            <w:r>
              <w:rPr>
                <w:rFonts w:ascii="Calibri" w:cs="Calibri" w:eastAsia="Calibri" w:hAnsi="Calibri"/>
                <w:sz w:val="18"/>
                <w:szCs w:val="18"/>
                <w:color w:val="auto"/>
              </w:rPr>
              <w:t>Total deferred tax assets</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58"/>
              <w:spacing w:after="0" w:line="215" w:lineRule="exact"/>
              <w:rPr>
                <w:sz w:val="20"/>
                <w:szCs w:val="20"/>
                <w:color w:val="auto"/>
              </w:rPr>
            </w:pPr>
            <w:r>
              <w:rPr>
                <w:rFonts w:ascii="Calibri" w:cs="Calibri" w:eastAsia="Calibri" w:hAnsi="Calibri"/>
                <w:sz w:val="18"/>
                <w:szCs w:val="18"/>
                <w:color w:val="auto"/>
                <w:w w:val="87"/>
              </w:rPr>
              <w:t>$</w:t>
            </w:r>
          </w:p>
        </w:tc>
        <w:tc>
          <w:tcPr>
            <w:tcW w:w="2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214</w:t>
            </w:r>
          </w:p>
        </w:tc>
        <w:tc>
          <w:tcPr>
            <w:tcW w:w="20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2"/>
              <w:spacing w:after="0" w:line="215" w:lineRule="exact"/>
              <w:rPr>
                <w:sz w:val="20"/>
                <w:szCs w:val="20"/>
                <w:color w:val="auto"/>
              </w:rPr>
            </w:pPr>
            <w:r>
              <w:rPr>
                <w:rFonts w:ascii="Calibri" w:cs="Calibri" w:eastAsia="Calibri" w:hAnsi="Calibri"/>
                <w:sz w:val="18"/>
                <w:szCs w:val="18"/>
                <w:color w:val="auto"/>
                <w:w w:val="87"/>
              </w:rPr>
              <w:t>$</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82</w:t>
            </w:r>
          </w:p>
        </w:tc>
        <w:tc>
          <w:tcPr>
            <w:tcW w:w="80" w:type="dxa"/>
            <w:vAlign w:val="bottom"/>
            <w:tcBorders>
              <w:top w:val="single" w:sz="8" w:color="CFF0FC"/>
            </w:tcBorders>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4"/>
          </w:tcPr>
          <w:p>
            <w:pPr>
              <w:ind w:left="20"/>
              <w:spacing w:after="0"/>
              <w:rPr>
                <w:sz w:val="20"/>
                <w:szCs w:val="20"/>
                <w:color w:val="auto"/>
              </w:rPr>
            </w:pPr>
            <w:r>
              <w:rPr>
                <w:rFonts w:ascii="Calibri" w:cs="Calibri" w:eastAsia="Calibri" w:hAnsi="Calibri"/>
                <w:sz w:val="14"/>
                <w:szCs w:val="14"/>
                <w:b w:val="1"/>
                <w:bCs w:val="1"/>
                <w:color w:val="auto"/>
              </w:rPr>
              <w:t>September 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4"/>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Borders>
              <w:top w:val="single" w:sz="8" w:color="auto"/>
            </w:tcBorders>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2022</w:t>
            </w:r>
          </w:p>
        </w:tc>
        <w:tc>
          <w:tcPr>
            <w:tcW w:w="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800" w:type="dxa"/>
            <w:vAlign w:val="bottom"/>
            <w:gridSpan w:val="3"/>
          </w:tcPr>
          <w:p>
            <w:pPr>
              <w:jc w:val="right"/>
              <w:ind w:right="340"/>
              <w:spacing w:after="0" w:line="164" w:lineRule="exact"/>
              <w:rPr>
                <w:sz w:val="20"/>
                <w:szCs w:val="20"/>
                <w:color w:val="auto"/>
              </w:rPr>
            </w:pPr>
            <w:r>
              <w:rPr>
                <w:rFonts w:ascii="Calibri" w:cs="Calibri" w:eastAsia="Calibri" w:hAnsi="Calibri"/>
                <w:sz w:val="14"/>
                <w:szCs w:val="14"/>
                <w:b w:val="1"/>
                <w:bCs w:val="1"/>
                <w:color w:val="auto"/>
                <w:w w:val="87"/>
              </w:rPr>
              <w:t>millions)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Deferred tax liabilites:</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0" w:type="dxa"/>
            <w:vAlign w:val="bottom"/>
          </w:tcPr>
          <w:p>
            <w:pPr>
              <w:ind w:left="180"/>
              <w:spacing w:after="0" w:line="215" w:lineRule="exact"/>
              <w:rPr>
                <w:sz w:val="20"/>
                <w:szCs w:val="20"/>
                <w:color w:val="auto"/>
              </w:rPr>
            </w:pPr>
            <w:r>
              <w:rPr>
                <w:rFonts w:ascii="Calibri" w:cs="Calibri" w:eastAsia="Calibri" w:hAnsi="Calibri"/>
                <w:sz w:val="18"/>
                <w:szCs w:val="18"/>
                <w:color w:val="auto"/>
              </w:rPr>
              <w:t>Property, plant and equipment</w:t>
            </w:r>
          </w:p>
        </w:tc>
        <w:tc>
          <w:tcPr>
            <w:tcW w:w="240" w:type="dxa"/>
            <w:vAlign w:val="bottom"/>
          </w:tcPr>
          <w:p>
            <w:pPr>
              <w:spacing w:after="0"/>
              <w:rPr>
                <w:sz w:val="18"/>
                <w:szCs w:val="18"/>
                <w:color w:val="auto"/>
              </w:rPr>
            </w:pPr>
          </w:p>
        </w:tc>
        <w:tc>
          <w:tcPr>
            <w:tcW w:w="820" w:type="dxa"/>
            <w:vAlign w:val="bottom"/>
            <w:gridSpan w:val="2"/>
          </w:tcPr>
          <w:p>
            <w:pPr>
              <w:jc w:val="right"/>
              <w:ind w:right="258"/>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8"/>
              <w:spacing w:after="0" w:line="215" w:lineRule="exact"/>
              <w:rPr>
                <w:sz w:val="20"/>
                <w:szCs w:val="20"/>
                <w:color w:val="auto"/>
              </w:rPr>
            </w:pPr>
            <w:r>
              <w:rPr>
                <w:rFonts w:ascii="Calibri" w:cs="Calibri" w:eastAsia="Calibri" w:hAnsi="Calibri"/>
                <w:sz w:val="18"/>
                <w:szCs w:val="18"/>
                <w:color w:val="auto"/>
              </w:rPr>
              <w:t>(47 )</w:t>
            </w:r>
          </w:p>
        </w:tc>
        <w:tc>
          <w:tcPr>
            <w:tcW w:w="400" w:type="dxa"/>
            <w:vAlign w:val="bottom"/>
          </w:tcPr>
          <w:p>
            <w:pPr>
              <w:jc w:val="right"/>
              <w:ind w:right="212"/>
              <w:spacing w:after="0" w:line="215" w:lineRule="exact"/>
              <w:rPr>
                <w:sz w:val="20"/>
                <w:szCs w:val="20"/>
                <w:color w:val="auto"/>
              </w:rPr>
            </w:pPr>
            <w:r>
              <w:rPr>
                <w:rFonts w:ascii="Calibri" w:cs="Calibri" w:eastAsia="Calibri" w:hAnsi="Calibri"/>
                <w:sz w:val="18"/>
                <w:szCs w:val="18"/>
                <w:color w:val="auto"/>
                <w:w w:val="87"/>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(59 )</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48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Right of use asset</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gridSpan w:val="2"/>
            <w:shd w:val="clear" w:color="auto" w:fill="CFF0FC"/>
          </w:tcPr>
          <w:p>
            <w:pPr>
              <w:jc w:val="right"/>
              <w:ind w:right="48"/>
              <w:spacing w:after="0" w:line="215" w:lineRule="exact"/>
              <w:rPr>
                <w:sz w:val="20"/>
                <w:szCs w:val="20"/>
                <w:color w:val="auto"/>
              </w:rPr>
            </w:pPr>
            <w:r>
              <w:rPr>
                <w:rFonts w:ascii="Calibri" w:cs="Calibri" w:eastAsia="Calibri" w:hAnsi="Calibri"/>
                <w:sz w:val="18"/>
                <w:szCs w:val="18"/>
                <w:color w:val="auto"/>
              </w:rPr>
              <w:t>(22 )</w:t>
            </w:r>
          </w:p>
        </w:tc>
        <w:tc>
          <w:tcPr>
            <w:tcW w:w="4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(21 )</w:t>
            </w:r>
          </w:p>
        </w:tc>
        <w:tc>
          <w:tcPr>
            <w:tcW w:w="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Calibri" w:cs="Calibri" w:eastAsia="Calibri" w:hAnsi="Calibri"/>
                <w:sz w:val="18"/>
                <w:szCs w:val="18"/>
                <w:color w:val="auto"/>
              </w:rPr>
              <w:t>Unremited earnings of non-U.S. subsidiaries</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48"/>
              <w:spacing w:after="0" w:line="215" w:lineRule="exact"/>
              <w:rPr>
                <w:sz w:val="20"/>
                <w:szCs w:val="20"/>
                <w:color w:val="auto"/>
              </w:rPr>
            </w:pPr>
            <w:r>
              <w:rPr>
                <w:rFonts w:ascii="Calibri" w:cs="Calibri" w:eastAsia="Calibri" w:hAnsi="Calibri"/>
                <w:sz w:val="18"/>
                <w:szCs w:val="18"/>
                <w:color w:val="auto"/>
              </w:rPr>
              <w:t>(15 )</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(22 )</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0" w:type="dxa"/>
            <w:vAlign w:val="bottom"/>
            <w:shd w:val="clear" w:color="auto" w:fill="CFF0FC"/>
          </w:tcPr>
          <w:p>
            <w:pPr>
              <w:ind w:left="360"/>
              <w:spacing w:after="0"/>
              <w:rPr>
                <w:sz w:val="20"/>
                <w:szCs w:val="20"/>
                <w:color w:val="auto"/>
              </w:rPr>
            </w:pPr>
            <w:r>
              <w:rPr>
                <w:rFonts w:ascii="Calibri" w:cs="Calibri" w:eastAsia="Calibri" w:hAnsi="Calibri"/>
                <w:sz w:val="18"/>
                <w:szCs w:val="18"/>
                <w:color w:val="auto"/>
              </w:rPr>
              <w:t>Total deferred tax liabilites</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258"/>
              <w:spacing w:after="0" w:line="215" w:lineRule="exact"/>
              <w:rPr>
                <w:sz w:val="20"/>
                <w:szCs w:val="20"/>
                <w:color w:val="auto"/>
              </w:rPr>
            </w:pPr>
            <w:r>
              <w:rPr>
                <w:rFonts w:ascii="Calibri" w:cs="Calibri" w:eastAsia="Calibri" w:hAnsi="Calibri"/>
                <w:sz w:val="18"/>
                <w:szCs w:val="18"/>
                <w:color w:val="auto"/>
                <w:w w:val="87"/>
              </w:rPr>
              <w:t>$</w:t>
            </w:r>
          </w:p>
        </w:tc>
        <w:tc>
          <w:tcPr>
            <w:tcW w:w="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540" w:type="dxa"/>
            <w:vAlign w:val="bottom"/>
            <w:gridSpan w:val="2"/>
            <w:shd w:val="clear" w:color="auto" w:fill="CFF0FC"/>
          </w:tcPr>
          <w:p>
            <w:pPr>
              <w:jc w:val="right"/>
              <w:ind w:right="48"/>
              <w:spacing w:after="0" w:line="215" w:lineRule="exact"/>
              <w:rPr>
                <w:sz w:val="20"/>
                <w:szCs w:val="20"/>
                <w:color w:val="auto"/>
              </w:rPr>
            </w:pPr>
            <w:r>
              <w:rPr>
                <w:rFonts w:ascii="Calibri" w:cs="Calibri" w:eastAsia="Calibri" w:hAnsi="Calibri"/>
                <w:sz w:val="18"/>
                <w:szCs w:val="18"/>
                <w:color w:val="auto"/>
              </w:rPr>
              <w:t>(84 )</w:t>
            </w:r>
          </w:p>
        </w:tc>
        <w:tc>
          <w:tcPr>
            <w:tcW w:w="400" w:type="dxa"/>
            <w:vAlign w:val="bottom"/>
            <w:shd w:val="clear" w:color="auto" w:fill="CFF0FC"/>
          </w:tcPr>
          <w:p>
            <w:pPr>
              <w:jc w:val="right"/>
              <w:ind w:right="212"/>
              <w:spacing w:after="0" w:line="215" w:lineRule="exact"/>
              <w:rPr>
                <w:sz w:val="20"/>
                <w:szCs w:val="20"/>
                <w:color w:val="auto"/>
              </w:rPr>
            </w:pPr>
            <w:r>
              <w:rPr>
                <w:rFonts w:ascii="Calibri" w:cs="Calibri" w:eastAsia="Calibri" w:hAnsi="Calibri"/>
                <w:sz w:val="18"/>
                <w:szCs w:val="18"/>
                <w:color w:val="auto"/>
                <w:w w:val="87"/>
              </w:rPr>
              <w:t>$</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4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9"/>
              </w:rPr>
              <w:t>(102 )</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-4439920</wp:posOffset>
            </wp:positionV>
            <wp:extent cx="603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-4422775</wp:posOffset>
            </wp:positionV>
            <wp:extent cx="603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-4439920</wp:posOffset>
            </wp:positionV>
            <wp:extent cx="514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-4422775</wp:posOffset>
            </wp:positionV>
            <wp:extent cx="514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-4439920</wp:posOffset>
            </wp:positionV>
            <wp:extent cx="514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-4422775</wp:posOffset>
            </wp:positionV>
            <wp:extent cx="514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-1765300</wp:posOffset>
            </wp:positionV>
            <wp:extent cx="514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-1765300</wp:posOffset>
            </wp:positionV>
            <wp:extent cx="431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-1447800</wp:posOffset>
            </wp:positionV>
            <wp:extent cx="5143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-1447800</wp:posOffset>
            </wp:positionV>
            <wp:extent cx="431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5143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5143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49" w:lineRule="exact"/>
        <w:rPr>
          <w:sz w:val="20"/>
          <w:szCs w:val="20"/>
          <w:color w:val="auto"/>
        </w:rPr>
      </w:pPr>
    </w:p>
    <w:p>
      <w:pPr>
        <w:ind w:firstLine="469"/>
        <w:spacing w:after="0" w:line="235" w:lineRule="auto"/>
        <w:rPr>
          <w:sz w:val="20"/>
          <w:szCs w:val="20"/>
          <w:color w:val="auto"/>
        </w:rPr>
      </w:pPr>
      <w:r>
        <w:rPr>
          <w:rFonts w:ascii="Calibri" w:cs="Calibri" w:eastAsia="Calibri" w:hAnsi="Calibri"/>
          <w:sz w:val="18"/>
          <w:szCs w:val="18"/>
          <w:color w:val="212529"/>
        </w:rPr>
        <w:t>The Company assesses the available positve and negatve evidence to estmate whether sufcient future taxable income will be generated to permit utlizaton of the existng deferred tax assets. When performing this assessment, the Company looks to the potental future reversal of existng taxable temporary diferences, taxable income in carryback years and the feasibility of tax planning strategies and estmated future taxable income. Failure to achieve operatng income targets resultng in a cumulatve loss may change the Company’s assessment regarding the realizaton of Cabot’s deferred tax assets, resultng in valuaton allowance</w:t>
      </w:r>
    </w:p>
    <w:p>
      <w:pPr>
        <w:spacing w:after="0" w:line="215"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68" w:name="page69"/>
    <w:bookmarkEnd w:id="68"/>
    <w:p>
      <w:pPr>
        <w:ind w:right="300"/>
        <w:spacing w:after="0" w:line="235" w:lineRule="auto"/>
        <w:rPr>
          <w:sz w:val="20"/>
          <w:szCs w:val="20"/>
          <w:color w:val="auto"/>
        </w:rPr>
      </w:pPr>
      <w:r>
        <w:rPr>
          <w:rFonts w:ascii="Calibri" w:cs="Calibri" w:eastAsia="Calibri" w:hAnsi="Calibri"/>
          <w:sz w:val="18"/>
          <w:szCs w:val="18"/>
          <w:color w:val="212529"/>
        </w:rPr>
        <w:t>being recorded against some or all of the Company’s deferred tax assets. The need for a valuaton allowance can also be afected by changes to tax laws, changes to statutory tax rates and changes to future taxable income estmates. A valuaton allowance represents management’s best estmate of the non-realizable porton of the deferred tax assets. Any adjustments in a valuaton allowance would result in an adjustment to income tax expense.</w:t>
      </w:r>
    </w:p>
    <w:p>
      <w:pPr>
        <w:spacing w:after="0" w:line="84" w:lineRule="exact"/>
        <w:rPr>
          <w:sz w:val="20"/>
          <w:szCs w:val="20"/>
          <w:color w:val="auto"/>
        </w:rPr>
      </w:pPr>
    </w:p>
    <w:p>
      <w:pPr>
        <w:ind w:right="40" w:firstLine="469"/>
        <w:spacing w:after="0" w:line="235" w:lineRule="auto"/>
        <w:rPr>
          <w:sz w:val="20"/>
          <w:szCs w:val="20"/>
          <w:color w:val="auto"/>
        </w:rPr>
      </w:pPr>
      <w:r>
        <w:rPr>
          <w:rFonts w:ascii="Calibri" w:cs="Calibri" w:eastAsia="Calibri" w:hAnsi="Calibri"/>
          <w:sz w:val="18"/>
          <w:szCs w:val="18"/>
          <w:color w:val="212529"/>
        </w:rPr>
        <w:t>Since 2020, the Company has maintained a valuaton allowance against its net U.S. deferred tax assets. On a quarterly basis, the Company evaluates all positve and negatve evidence to determine if a valuaton allowance is required. In analyzing all available evidence as of September 30, 2023, the Company determined that there is sufcient positve evidence outweighing the negatve evidence to conclude that it is more likely than not that a porton of the U.S. deferred tax assets are realizable. As a result, the Company reversed a porton of the valuaton allowance that was recorded against U.S. net deferred tax assets. This reversal resulted in a non-cash income tax beneft of $152 million. The Company contnues to maintain a valuaton allowance in the U.S. against capital losses, interest expense limitaton carryforwards, certain foreign tax credits, certain R&amp;D tax credits, and certain state deferred tax assets that the Company does not expect to realize.</w:t>
      </w:r>
    </w:p>
    <w:p>
      <w:pPr>
        <w:spacing w:after="0" w:line="87" w:lineRule="exact"/>
        <w:rPr>
          <w:sz w:val="20"/>
          <w:szCs w:val="20"/>
          <w:color w:val="auto"/>
        </w:rPr>
      </w:pPr>
    </w:p>
    <w:p>
      <w:pPr>
        <w:ind w:firstLine="469"/>
        <w:spacing w:after="0" w:line="235" w:lineRule="auto"/>
        <w:rPr>
          <w:sz w:val="20"/>
          <w:szCs w:val="20"/>
          <w:color w:val="auto"/>
        </w:rPr>
      </w:pPr>
      <w:r>
        <w:rPr>
          <w:rFonts w:ascii="Calibri" w:cs="Calibri" w:eastAsia="Calibri" w:hAnsi="Calibri"/>
          <w:sz w:val="18"/>
          <w:szCs w:val="18"/>
          <w:color w:val="212529"/>
        </w:rPr>
        <w:t>The valuaton allowance decreased by $82 million from $580 million in fscal 2022 compared to $498 million in fscal 2023, primarily due to the reversal of a porton of the valuaton allowance on the ending U.S. net deferred tax assets, which was partally ofset by an increase in valuaton allowance on current year actvity of U.S. deferred tax assets and an increase in valuaton allowance on foreign deferred tax assets on some of the Company's net operatng losses. The valuaton allowance increased by $110 million from $470 million in fscal 2021 compared to $580 million in fscal 2022, primarily due to the tax loss related to the divestture of the Purifcaton Solutons business.</w:t>
      </w:r>
    </w:p>
    <w:p>
      <w:pPr>
        <w:spacing w:after="0" w:line="85" w:lineRule="exact"/>
        <w:rPr>
          <w:sz w:val="20"/>
          <w:szCs w:val="20"/>
          <w:color w:val="auto"/>
        </w:rPr>
      </w:pPr>
    </w:p>
    <w:p>
      <w:pPr>
        <w:ind w:right="300" w:firstLine="469"/>
        <w:spacing w:after="0" w:line="235" w:lineRule="auto"/>
        <w:rPr>
          <w:sz w:val="20"/>
          <w:szCs w:val="20"/>
          <w:color w:val="auto"/>
        </w:rPr>
      </w:pPr>
      <w:r>
        <w:rPr>
          <w:rFonts w:ascii="Calibri" w:cs="Calibri" w:eastAsia="Calibri" w:hAnsi="Calibri"/>
          <w:sz w:val="18"/>
          <w:szCs w:val="18"/>
          <w:color w:val="212529"/>
        </w:rPr>
        <w:t>Afer the valuaton allowance, approximately $24 million of foreign NOLs and less than $1 million of other tax credit carryforwards remained at September 30, 2023. The benefts of these carryforwards are dependent upon taxable income during the carryforward period in the jurisdictons in which they arose.</w:t>
      </w:r>
    </w:p>
    <w:p>
      <w:pPr>
        <w:spacing w:after="0" w:line="219" w:lineRule="exact"/>
        <w:rPr>
          <w:sz w:val="20"/>
          <w:szCs w:val="20"/>
          <w:color w:val="auto"/>
        </w:rPr>
      </w:pPr>
    </w:p>
    <w:p>
      <w:pPr>
        <w:ind w:right="780" w:firstLine="469"/>
        <w:spacing w:after="0" w:line="235" w:lineRule="auto"/>
        <w:rPr>
          <w:sz w:val="20"/>
          <w:szCs w:val="20"/>
          <w:color w:val="auto"/>
        </w:rPr>
      </w:pPr>
      <w:r>
        <w:rPr>
          <w:rFonts w:ascii="Calibri" w:cs="Calibri" w:eastAsia="Calibri" w:hAnsi="Calibri"/>
          <w:sz w:val="18"/>
          <w:szCs w:val="18"/>
          <w:color w:val="auto"/>
        </w:rPr>
        <w:t>The following table provides detail surrounding the expiraton dates of NOLs, capital loss and other tax credit carryforwards before valuaton allowances:</w:t>
      </w:r>
    </w:p>
    <w:p>
      <w:pPr>
        <w:spacing w:after="0" w:line="10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98"/>
              <w:spacing w:after="0"/>
              <w:rPr>
                <w:sz w:val="20"/>
                <w:szCs w:val="20"/>
                <w:color w:val="auto"/>
              </w:rPr>
            </w:pPr>
            <w:r>
              <w:rPr>
                <w:rFonts w:ascii="Calibri" w:cs="Calibri" w:eastAsia="Calibri" w:hAnsi="Calibri"/>
                <w:sz w:val="14"/>
                <w:szCs w:val="14"/>
                <w:b w:val="1"/>
                <w:bCs w:val="1"/>
                <w:color w:val="auto"/>
              </w:rPr>
              <w:t>NOLs/Capital</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5280" w:type="dxa"/>
            <w:vAlign w:val="bottom"/>
          </w:tcPr>
          <w:p>
            <w:pPr>
              <w:ind w:left="1840"/>
              <w:spacing w:after="0"/>
              <w:rPr>
                <w:sz w:val="20"/>
                <w:szCs w:val="20"/>
                <w:color w:val="auto"/>
              </w:rPr>
            </w:pPr>
            <w:r>
              <w:rPr>
                <w:rFonts w:ascii="Calibri" w:cs="Calibri" w:eastAsia="Calibri" w:hAnsi="Calibri"/>
                <w:sz w:val="14"/>
                <w:szCs w:val="14"/>
                <w:b w:val="1"/>
                <w:bCs w:val="1"/>
                <w:color w:val="auto"/>
              </w:rPr>
              <w:t>Years Ending September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278"/>
              <w:spacing w:after="0"/>
              <w:rPr>
                <w:sz w:val="20"/>
                <w:szCs w:val="20"/>
                <w:color w:val="auto"/>
              </w:rPr>
            </w:pPr>
            <w:r>
              <w:rPr>
                <w:rFonts w:ascii="Calibri" w:cs="Calibri" w:eastAsia="Calibri" w:hAnsi="Calibri"/>
                <w:sz w:val="14"/>
                <w:szCs w:val="14"/>
                <w:b w:val="1"/>
                <w:bCs w:val="1"/>
                <w:color w:val="auto"/>
              </w:rPr>
              <w:t>Losses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Calibri" w:cs="Calibri" w:eastAsia="Calibri" w:hAnsi="Calibri"/>
                <w:sz w:val="14"/>
                <w:szCs w:val="14"/>
                <w:b w:val="1"/>
                <w:bCs w:val="1"/>
                <w:color w:val="auto"/>
              </w:rPr>
              <w:t>Credits</w:t>
            </w:r>
          </w:p>
        </w:tc>
      </w:tr>
      <w:tr>
        <w:trPr>
          <w:trHeight w:val="33"/>
        </w:trPr>
        <w:tc>
          <w:tcPr>
            <w:tcW w:w="5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8"/>
              <w:spacing w:after="0" w:line="164" w:lineRule="exact"/>
              <w:rPr>
                <w:sz w:val="20"/>
                <w:szCs w:val="20"/>
                <w:color w:val="auto"/>
              </w:rPr>
            </w:pPr>
            <w:r>
              <w:rPr>
                <w:rFonts w:ascii="Calibri" w:cs="Calibri" w:eastAsia="Calibri" w:hAnsi="Calibri"/>
                <w:sz w:val="14"/>
                <w:szCs w:val="14"/>
                <w:b w:val="1"/>
                <w:bCs w:val="1"/>
                <w:color w:val="auto"/>
              </w:rPr>
              <w:t>(In</w:t>
            </w:r>
          </w:p>
        </w:tc>
        <w:tc>
          <w:tcPr>
            <w:tcW w:w="48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w w:val="83"/>
              </w:rPr>
              <w:t>millions)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528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2024 - 2030</w:t>
            </w:r>
          </w:p>
        </w:tc>
        <w:tc>
          <w:tcPr>
            <w:tcW w:w="2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1,051</w:t>
            </w:r>
          </w:p>
        </w:tc>
        <w:tc>
          <w:tcPr>
            <w:tcW w:w="480" w:type="dxa"/>
            <w:vAlign w:val="bottom"/>
            <w:tcBorders>
              <w:bottom w:val="single" w:sz="8" w:color="CFF0FC"/>
            </w:tcBorders>
            <w:gridSpan w:val="2"/>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5280" w:type="dxa"/>
            <w:vAlign w:val="bottom"/>
          </w:tcPr>
          <w:p>
            <w:pPr>
              <w:ind w:left="180"/>
              <w:spacing w:after="0" w:line="215" w:lineRule="exact"/>
              <w:rPr>
                <w:sz w:val="20"/>
                <w:szCs w:val="20"/>
                <w:color w:val="auto"/>
              </w:rPr>
            </w:pPr>
            <w:r>
              <w:rPr>
                <w:rFonts w:ascii="Calibri" w:cs="Calibri" w:eastAsia="Calibri" w:hAnsi="Calibri"/>
                <w:sz w:val="18"/>
                <w:szCs w:val="18"/>
                <w:color w:val="auto"/>
              </w:rPr>
              <w:t>2031 and thereafer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268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103</w:t>
            </w:r>
          </w:p>
        </w:tc>
        <w:tc>
          <w:tcPr>
            <w:tcW w:w="80" w:type="dxa"/>
            <w:vAlign w:val="bottom"/>
          </w:tcPr>
          <w:p>
            <w:pPr>
              <w:spacing w:after="0"/>
              <w:rPr>
                <w:sz w:val="18"/>
                <w:szCs w:val="18"/>
                <w:color w:val="auto"/>
              </w:rPr>
            </w:pPr>
          </w:p>
        </w:tc>
      </w:tr>
      <w:tr>
        <w:trPr>
          <w:trHeight w:val="28"/>
        </w:trPr>
        <w:tc>
          <w:tcPr>
            <w:tcW w:w="5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5280" w:type="dxa"/>
            <w:vAlign w:val="bottom"/>
            <w:tcBorders>
              <w:bottom w:val="single" w:sz="8" w:color="CFF0FC"/>
            </w:tcBorders>
            <w:shd w:val="clear" w:color="auto" w:fill="CFF0FC"/>
          </w:tcPr>
          <w:p>
            <w:pPr>
              <w:ind w:left="180"/>
              <w:spacing w:after="0"/>
              <w:rPr>
                <w:sz w:val="20"/>
                <w:szCs w:val="20"/>
                <w:color w:val="auto"/>
              </w:rPr>
            </w:pPr>
            <w:r>
              <w:rPr>
                <w:rFonts w:ascii="Calibri" w:cs="Calibri" w:eastAsia="Calibri" w:hAnsi="Calibri"/>
                <w:sz w:val="18"/>
                <w:szCs w:val="18"/>
                <w:color w:val="auto"/>
              </w:rPr>
              <w:t>Indefnite carryforwards</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793</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280" w:type="dxa"/>
            <w:vAlign w:val="bottom"/>
            <w:tcBorders>
              <w:top w:val="single" w:sz="8" w:color="CFF0FC"/>
            </w:tcBorders>
          </w:tcPr>
          <w:p>
            <w:pPr>
              <w:ind w:left="360"/>
              <w:spacing w:after="0"/>
              <w:rPr>
                <w:sz w:val="20"/>
                <w:szCs w:val="20"/>
                <w:color w:val="auto"/>
              </w:rPr>
            </w:pPr>
            <w:r>
              <w:rPr>
                <w:rFonts w:ascii="Calibri" w:cs="Calibri" w:eastAsia="Calibri" w:hAnsi="Calibri"/>
                <w:sz w:val="18"/>
                <w:szCs w:val="18"/>
                <w:color w:val="auto"/>
              </w:rPr>
              <w:t>Total</w:t>
            </w:r>
          </w:p>
        </w:tc>
        <w:tc>
          <w:tcPr>
            <w:tcW w:w="1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2,112</w:t>
            </w:r>
          </w:p>
        </w:tc>
        <w:tc>
          <w:tcPr>
            <w:tcW w:w="2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136</w:t>
            </w:r>
          </w:p>
        </w:tc>
        <w:tc>
          <w:tcPr>
            <w:tcW w:w="80" w:type="dxa"/>
            <w:vAlign w:val="bottom"/>
            <w:tcBorders>
              <w:top w:val="single" w:sz="8" w:color="CFF0FC"/>
            </w:tcBorders>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-187960</wp:posOffset>
            </wp:positionV>
            <wp:extent cx="514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 w:lineRule="exact"/>
        <w:rPr>
          <w:sz w:val="20"/>
          <w:szCs w:val="20"/>
          <w:color w:val="auto"/>
        </w:rPr>
      </w:pPr>
    </w:p>
    <w:p>
      <w:pPr>
        <w:ind w:right="40" w:firstLine="469"/>
        <w:spacing w:after="0" w:line="235" w:lineRule="auto"/>
        <w:rPr>
          <w:sz w:val="20"/>
          <w:szCs w:val="20"/>
          <w:color w:val="auto"/>
        </w:rPr>
      </w:pPr>
      <w:r>
        <w:rPr>
          <w:rFonts w:ascii="Calibri" w:cs="Calibri" w:eastAsia="Calibri" w:hAnsi="Calibri"/>
          <w:sz w:val="18"/>
          <w:szCs w:val="18"/>
          <w:color w:val="212529"/>
        </w:rPr>
        <w:t>As of September 30, 2023, provisions have not been made for non-U.S. withholding taxes or other applicable taxes on $1,359 million of undistributed earnings of non-U.S. subsidiaries, as these earnings are considered indefnitely reinvested. It is not practcable to calculate the unrecognized deferred tax liability on undistributed earnings. Cabot contnually reviews the fnancial positon and forecasted cash fows of its U.S. consolidated group and foreign subsidiaries in order to reafrm the Company’s intent and ability to contnue to indefnitely reinvest earnings of its foreign subsidiaries or whether such earnings will need to be repatriated in the foreseeable future. Such review encompasses operatonal needs and future capital investments. From tme to tme, however, the Company’s intentons relatve to specifc indefnitely reinvested amounts change because of certain unique circumstances. These earnings could become subject to non-U.S. withholding taxes and other applicable taxes if they were remited to the U.S.</w:t>
      </w:r>
    </w:p>
    <w:p>
      <w:pPr>
        <w:spacing w:after="0" w:line="87" w:lineRule="exact"/>
        <w:rPr>
          <w:sz w:val="20"/>
          <w:szCs w:val="20"/>
          <w:color w:val="auto"/>
        </w:rPr>
      </w:pPr>
    </w:p>
    <w:p>
      <w:pPr>
        <w:ind w:right="20" w:firstLine="469"/>
        <w:spacing w:after="0" w:line="235" w:lineRule="auto"/>
        <w:rPr>
          <w:sz w:val="20"/>
          <w:szCs w:val="20"/>
          <w:color w:val="auto"/>
        </w:rPr>
      </w:pPr>
      <w:r>
        <w:rPr>
          <w:rFonts w:ascii="Calibri" w:cs="Calibri" w:eastAsia="Calibri" w:hAnsi="Calibri"/>
          <w:sz w:val="18"/>
          <w:szCs w:val="18"/>
          <w:color w:val="212529"/>
        </w:rPr>
        <w:t>Cabot has fled its tax returns in accordance with the tax laws in each jurisdicton and recognizes tax benefts for uncertain tax positons when the positon would more likely than not be sustained based on its technical merits and recognizes measurement adjustments when needed. As of September 30, 2023, the total amount of unrecognized tax benefts was $20 million, of which $6 million was recorded in Other liabilites in the Consolidated Balance Sheet and, $14 million was ofset against deferred tax assets. In 2022, we reported an uncertain tax positon of $137 million related to the initally antcipated fling positon on the character of a porton of the tax loss from Purifcaton Solutons business divestture. Upon completon of the U.S. Consolidated tax return in 2023, the Company has reversed the $137 million unrecognized tax beneft which refects the fnal positon ultmately taken on the fled tax return. In additon, accruals of $5 million have been recorded for penaltes and interest, as of September 30, 2023. Total penaltes and interest recorded in the tax provision in the Consolidated Statements of Operatons was $2 million in fscal 2023, $2 million in fscal 2022 and $1 million in fscal 2021. If the unrecognized tax benefts were recognized as of September 30, 2023, there would be $20 million favorable impact on the Company’s tax provision before consideraton of the impact of the potental need for valuaton allowances.</w:t>
      </w:r>
    </w:p>
    <w:p>
      <w:pPr>
        <w:spacing w:after="0" w:line="22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69" w:name="page70"/>
    <w:bookmarkEnd w:id="69"/>
    <w:p>
      <w:pPr>
        <w:ind w:left="520"/>
        <w:spacing w:after="0"/>
        <w:rPr>
          <w:sz w:val="20"/>
          <w:szCs w:val="20"/>
          <w:color w:val="auto"/>
        </w:rPr>
      </w:pPr>
      <w:r>
        <w:rPr>
          <w:rFonts w:ascii="Calibri" w:cs="Calibri" w:eastAsia="Calibri" w:hAnsi="Calibri"/>
          <w:sz w:val="18"/>
          <w:szCs w:val="18"/>
          <w:color w:val="auto"/>
        </w:rPr>
        <w:t>A reconciliaton of the beginning and ending amount of unrecognized tax benefts for fscal 2023, 2022 and 2021 is as follows:</w:t>
      </w:r>
    </w:p>
    <w:p>
      <w:pPr>
        <w:spacing w:after="0" w:line="10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60" w:type="dxa"/>
            <w:vAlign w:val="bottom"/>
            <w:gridSpan w:val="6"/>
          </w:tcPr>
          <w:p>
            <w:pPr>
              <w:jc w:val="center"/>
              <w:spacing w:after="0"/>
              <w:rPr>
                <w:sz w:val="20"/>
                <w:szCs w:val="20"/>
                <w:color w:val="auto"/>
              </w:rPr>
            </w:pPr>
            <w:r>
              <w:rPr>
                <w:rFonts w:ascii="Calibri" w:cs="Calibri" w:eastAsia="Calibri" w:hAnsi="Calibri"/>
                <w:sz w:val="14"/>
                <w:szCs w:val="14"/>
                <w:b w:val="1"/>
                <w:bCs w:val="1"/>
                <w:color w:val="auto"/>
              </w:rPr>
              <w:t>Years Ended September 30</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3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340" w:type="dxa"/>
            <w:vAlign w:val="bottom"/>
          </w:tcPr>
          <w:p>
            <w:pPr>
              <w:spacing w:after="0"/>
              <w:rPr>
                <w:sz w:val="14"/>
                <w:szCs w:val="14"/>
                <w:color w:val="auto"/>
              </w:rPr>
            </w:pPr>
          </w:p>
        </w:tc>
        <w:tc>
          <w:tcPr>
            <w:tcW w:w="7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4"/>
              <w:spacing w:after="0" w:line="164" w:lineRule="exact"/>
              <w:rPr>
                <w:sz w:val="20"/>
                <w:szCs w:val="20"/>
                <w:color w:val="auto"/>
              </w:rPr>
            </w:pPr>
            <w:r>
              <w:rPr>
                <w:rFonts w:ascii="Calibri" w:cs="Calibri" w:eastAsia="Calibri" w:hAnsi="Calibri"/>
                <w:sz w:val="14"/>
                <w:szCs w:val="14"/>
                <w:b w:val="1"/>
                <w:bCs w:val="1"/>
                <w:color w:val="auto"/>
                <w:w w:val="98"/>
              </w:rPr>
              <w:t>2022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2"/>
              <w:spacing w:after="0" w:line="164" w:lineRule="exact"/>
              <w:rPr>
                <w:sz w:val="20"/>
                <w:szCs w:val="20"/>
                <w:color w:val="auto"/>
              </w:rPr>
            </w:pPr>
            <w:r>
              <w:rPr>
                <w:rFonts w:ascii="Calibri" w:cs="Calibri" w:eastAsia="Calibri" w:hAnsi="Calibri"/>
                <w:sz w:val="14"/>
                <w:szCs w:val="14"/>
                <w:b w:val="1"/>
                <w:bCs w:val="1"/>
                <w:color w:val="auto"/>
              </w:rPr>
              <w:t>2021</w:t>
            </w:r>
          </w:p>
        </w:tc>
        <w:tc>
          <w:tcPr>
            <w:tcW w:w="80" w:type="dxa"/>
            <w:vAlign w:val="bottom"/>
          </w:tcPr>
          <w:p>
            <w:pPr>
              <w:spacing w:after="0"/>
              <w:rPr>
                <w:sz w:val="14"/>
                <w:szCs w:val="14"/>
                <w:color w:val="auto"/>
              </w:rPr>
            </w:pPr>
          </w:p>
        </w:tc>
      </w:tr>
      <w:tr>
        <w:trPr>
          <w:trHeight w:val="33"/>
        </w:trPr>
        <w:tc>
          <w:tcPr>
            <w:tcW w:w="53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3"/>
        </w:trPr>
        <w:tc>
          <w:tcPr>
            <w:tcW w:w="5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74"/>
              <w:spacing w:after="0" w:line="164" w:lineRule="exact"/>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5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53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Balance at beginning of the year</w:t>
            </w:r>
          </w:p>
        </w:tc>
        <w:tc>
          <w:tcPr>
            <w:tcW w:w="700" w:type="dxa"/>
            <w:vAlign w:val="bottom"/>
            <w:tcBorders>
              <w:bottom w:val="single" w:sz="8" w:color="CFF0FC"/>
            </w:tcBorders>
            <w:shd w:val="clear" w:color="auto" w:fill="CFF0FC"/>
          </w:tcPr>
          <w:p>
            <w:pPr>
              <w:jc w:val="right"/>
              <w:ind w:right="516"/>
              <w:spacing w:after="0" w:line="215" w:lineRule="exact"/>
              <w:rPr>
                <w:sz w:val="20"/>
                <w:szCs w:val="20"/>
                <w:color w:val="auto"/>
              </w:rPr>
            </w:pPr>
            <w:r>
              <w:rPr>
                <w:rFonts w:ascii="Calibri" w:cs="Calibri" w:eastAsia="Calibri" w:hAnsi="Calibri"/>
                <w:sz w:val="18"/>
                <w:szCs w:val="18"/>
                <w:color w:val="auto"/>
                <w:w w:val="87"/>
              </w:rPr>
              <w:t>$</w:t>
            </w:r>
          </w:p>
        </w:tc>
        <w:tc>
          <w:tcPr>
            <w:tcW w:w="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159</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7"/>
        </w:trPr>
        <w:tc>
          <w:tcPr>
            <w:tcW w:w="5340" w:type="dxa"/>
            <w:vAlign w:val="bottom"/>
          </w:tcPr>
          <w:p>
            <w:pPr>
              <w:ind w:left="180"/>
              <w:spacing w:after="0" w:line="207" w:lineRule="exact"/>
              <w:rPr>
                <w:sz w:val="20"/>
                <w:szCs w:val="20"/>
                <w:color w:val="auto"/>
              </w:rPr>
            </w:pPr>
            <w:r>
              <w:rPr>
                <w:rFonts w:ascii="Calibri" w:cs="Calibri" w:eastAsia="Calibri" w:hAnsi="Calibri"/>
                <w:sz w:val="18"/>
                <w:szCs w:val="18"/>
                <w:color w:val="auto"/>
              </w:rPr>
              <w:t>Additons based on tax positons related to the current</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5340" w:type="dxa"/>
            <w:vAlign w:val="bottom"/>
          </w:tcPr>
          <w:p>
            <w:pPr>
              <w:ind w:left="300"/>
              <w:spacing w:after="0" w:line="215" w:lineRule="exact"/>
              <w:rPr>
                <w:sz w:val="20"/>
                <w:szCs w:val="20"/>
                <w:color w:val="auto"/>
              </w:rPr>
            </w:pPr>
            <w:r>
              <w:rPr>
                <w:rFonts w:ascii="Calibri" w:cs="Calibri" w:eastAsia="Calibri" w:hAnsi="Calibri"/>
                <w:sz w:val="18"/>
                <w:szCs w:val="18"/>
                <w:color w:val="auto"/>
              </w:rPr>
              <w:t>year</w:t>
            </w:r>
          </w:p>
        </w:tc>
        <w:tc>
          <w:tcPr>
            <w:tcW w:w="70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r>
      <w:tr>
        <w:trPr>
          <w:trHeight w:val="37"/>
        </w:trPr>
        <w:tc>
          <w:tcPr>
            <w:tcW w:w="5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23"/>
        </w:trPr>
        <w:tc>
          <w:tcPr>
            <w:tcW w:w="534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Additons for tax positons of prior years</w:t>
            </w:r>
          </w:p>
        </w:tc>
        <w:tc>
          <w:tcPr>
            <w:tcW w:w="7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5340" w:type="dxa"/>
            <w:vAlign w:val="bottom"/>
          </w:tcPr>
          <w:p>
            <w:pPr>
              <w:ind w:left="180"/>
              <w:spacing w:after="0" w:line="215" w:lineRule="exact"/>
              <w:rPr>
                <w:sz w:val="20"/>
                <w:szCs w:val="20"/>
                <w:color w:val="auto"/>
              </w:rPr>
            </w:pPr>
            <w:r>
              <w:rPr>
                <w:rFonts w:ascii="Calibri" w:cs="Calibri" w:eastAsia="Calibri" w:hAnsi="Calibri"/>
                <w:sz w:val="18"/>
                <w:szCs w:val="18"/>
                <w:color w:val="auto"/>
              </w:rPr>
              <w:t>Reductons of tax positons of prior years</w:t>
            </w:r>
          </w:p>
        </w:tc>
        <w:tc>
          <w:tcPr>
            <w:tcW w:w="700" w:type="dxa"/>
            <w:vAlign w:val="bottom"/>
          </w:tcPr>
          <w:p>
            <w:pPr>
              <w:spacing w:after="0"/>
              <w:rPr>
                <w:sz w:val="18"/>
                <w:szCs w:val="18"/>
                <w:color w:val="auto"/>
              </w:rPr>
            </w:pPr>
          </w:p>
        </w:tc>
        <w:tc>
          <w:tcPr>
            <w:tcW w:w="6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w w:val="94"/>
              </w:rPr>
              <w:t>(137 )</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(1 )</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(2 )</w:t>
            </w:r>
          </w:p>
        </w:tc>
      </w:tr>
      <w:tr>
        <w:trPr>
          <w:trHeight w:val="28"/>
        </w:trPr>
        <w:tc>
          <w:tcPr>
            <w:tcW w:w="5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534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Reductons related to setlements</w:t>
            </w:r>
          </w:p>
        </w:tc>
        <w:tc>
          <w:tcPr>
            <w:tcW w:w="7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(2 )</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20"/>
        </w:trPr>
        <w:tc>
          <w:tcPr>
            <w:tcW w:w="5340" w:type="dxa"/>
            <w:vAlign w:val="bottom"/>
          </w:tcPr>
          <w:p>
            <w:pPr>
              <w:ind w:left="180"/>
              <w:spacing w:after="0"/>
              <w:rPr>
                <w:sz w:val="20"/>
                <w:szCs w:val="20"/>
                <w:color w:val="auto"/>
              </w:rPr>
            </w:pPr>
            <w:r>
              <w:rPr>
                <w:rFonts w:ascii="Calibri" w:cs="Calibri" w:eastAsia="Calibri" w:hAnsi="Calibri"/>
                <w:sz w:val="18"/>
                <w:szCs w:val="18"/>
                <w:color w:val="auto"/>
              </w:rPr>
              <w:t>Reductons from lapse of statute of limitatons</w:t>
            </w:r>
          </w:p>
        </w:tc>
        <w:tc>
          <w:tcPr>
            <w:tcW w:w="700" w:type="dxa"/>
            <w:vAlign w:val="bottom"/>
          </w:tcPr>
          <w:p>
            <w:pPr>
              <w:spacing w:after="0"/>
              <w:rPr>
                <w:sz w:val="19"/>
                <w:szCs w:val="19"/>
                <w:color w:val="auto"/>
              </w:rPr>
            </w:pPr>
          </w:p>
        </w:tc>
        <w:tc>
          <w:tcPr>
            <w:tcW w:w="6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(1 )</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(1 )</w:t>
            </w:r>
          </w:p>
        </w:tc>
        <w:tc>
          <w:tcPr>
            <w:tcW w:w="240" w:type="dxa"/>
            <w:vAlign w:val="bottom"/>
          </w:tcPr>
          <w:p>
            <w:pPr>
              <w:spacing w:after="0"/>
              <w:rPr>
                <w:sz w:val="19"/>
                <w:szCs w:val="19"/>
                <w:color w:val="auto"/>
              </w:rPr>
            </w:pPr>
          </w:p>
        </w:tc>
        <w:tc>
          <w:tcPr>
            <w:tcW w:w="8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(1 )</w:t>
            </w:r>
          </w:p>
        </w:tc>
      </w:tr>
      <w:tr>
        <w:trPr>
          <w:trHeight w:val="23"/>
        </w:trPr>
        <w:tc>
          <w:tcPr>
            <w:tcW w:w="53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77"/>
        </w:trPr>
        <w:tc>
          <w:tcPr>
            <w:tcW w:w="53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Balance at end of the year</w:t>
            </w:r>
          </w:p>
        </w:tc>
        <w:tc>
          <w:tcPr>
            <w:tcW w:w="700" w:type="dxa"/>
            <w:vAlign w:val="bottom"/>
            <w:tcBorders>
              <w:bottom w:val="single" w:sz="8" w:color="auto"/>
            </w:tcBorders>
            <w:shd w:val="clear" w:color="auto" w:fill="CFF0FC"/>
          </w:tcPr>
          <w:p>
            <w:pPr>
              <w:jc w:val="right"/>
              <w:ind w:right="516"/>
              <w:spacing w:after="0" w:line="215" w:lineRule="exact"/>
              <w:rPr>
                <w:sz w:val="20"/>
                <w:szCs w:val="20"/>
                <w:color w:val="auto"/>
              </w:rPr>
            </w:pPr>
            <w:r>
              <w:rPr>
                <w:rFonts w:ascii="Calibri" w:cs="Calibri" w:eastAsia="Calibri" w:hAnsi="Calibri"/>
                <w:sz w:val="18"/>
                <w:szCs w:val="18"/>
                <w:color w:val="auto"/>
                <w:w w:val="87"/>
              </w:rPr>
              <w:t>$</w:t>
            </w:r>
          </w:p>
        </w:tc>
        <w:tc>
          <w:tcPr>
            <w:tcW w:w="3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9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159</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-24765</wp:posOffset>
            </wp:positionV>
            <wp:extent cx="6032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03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514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514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1"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Cabot and certain subsidiaries are under audit in a number of jurisdictons. In additon, certain statutes of limitatons are scheduled to expire in the near future. It is reasonably possible that a further change in the unrecognized tax benefts may occur within the next twelve months related to the setlement of one or more of these audits or the lapse of applicable statutes of limitatons; however, an estmated range of the impact on the unrecognized tax benefts cannot be quantfed at this tme.</w:t>
      </w:r>
    </w:p>
    <w:p>
      <w:pPr>
        <w:spacing w:after="0" w:line="84" w:lineRule="exact"/>
        <w:rPr>
          <w:sz w:val="20"/>
          <w:szCs w:val="20"/>
          <w:color w:val="auto"/>
        </w:rPr>
      </w:pPr>
    </w:p>
    <w:p>
      <w:pPr>
        <w:ind w:right="100" w:firstLine="469"/>
        <w:spacing w:after="0" w:line="235" w:lineRule="auto"/>
        <w:rPr>
          <w:sz w:val="20"/>
          <w:szCs w:val="20"/>
          <w:color w:val="auto"/>
        </w:rPr>
      </w:pPr>
      <w:r>
        <w:rPr>
          <w:rFonts w:ascii="Calibri" w:cs="Calibri" w:eastAsia="Calibri" w:hAnsi="Calibri"/>
          <w:sz w:val="18"/>
          <w:szCs w:val="18"/>
          <w:color w:val="auto"/>
        </w:rPr>
        <w:t>Cabot is subject to taxaton in the United States and various states and foreign jurisdictons. The 2020 through 2022 tax years generally remain subject to examinaton by the IRS and various tax years from 2010 through 2022 remain subject to examinaton by the respectve state tax authorites. In foreign jurisdictons, various tax years from 2006 through 2022 remain subject to examinaton by their respectve tax authorites.</w:t>
      </w:r>
    </w:p>
    <w:p>
      <w:pPr>
        <w:spacing w:after="0" w:line="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R. Leases</w:t>
      </w:r>
    </w:p>
    <w:p>
      <w:pPr>
        <w:spacing w:after="0" w:line="82" w:lineRule="exact"/>
        <w:rPr>
          <w:sz w:val="20"/>
          <w:szCs w:val="20"/>
          <w:color w:val="auto"/>
        </w:rPr>
      </w:pPr>
    </w:p>
    <w:p>
      <w:pPr>
        <w:jc w:val="both"/>
        <w:ind w:right="600" w:firstLine="469"/>
        <w:spacing w:after="0" w:line="258" w:lineRule="auto"/>
        <w:rPr>
          <w:sz w:val="20"/>
          <w:szCs w:val="20"/>
          <w:color w:val="auto"/>
        </w:rPr>
      </w:pPr>
      <w:r>
        <w:rPr>
          <w:rFonts w:ascii="Calibri" w:cs="Calibri" w:eastAsia="Calibri" w:hAnsi="Calibri"/>
          <w:sz w:val="17"/>
          <w:szCs w:val="17"/>
          <w:color w:val="212529"/>
        </w:rPr>
        <w:t>The Company determines if an arrangement is a lease at incepton. The Company considers a contract to be or to contain a lease if the contract conveys the right to control the use of identfed property, plant or equipment (an identfed asset) for a period of tme in exchange for consideraton.</w:t>
      </w:r>
    </w:p>
    <w:p>
      <w:pPr>
        <w:spacing w:after="0" w:line="67" w:lineRule="exact"/>
        <w:rPr>
          <w:sz w:val="20"/>
          <w:szCs w:val="20"/>
          <w:color w:val="auto"/>
        </w:rPr>
      </w:pPr>
    </w:p>
    <w:p>
      <w:pPr>
        <w:ind w:right="240" w:firstLine="464"/>
        <w:spacing w:after="0" w:line="235" w:lineRule="auto"/>
        <w:rPr>
          <w:sz w:val="20"/>
          <w:szCs w:val="20"/>
          <w:color w:val="auto"/>
        </w:rPr>
      </w:pPr>
      <w:r>
        <w:rPr>
          <w:rFonts w:ascii="Calibri" w:cs="Calibri" w:eastAsia="Calibri" w:hAnsi="Calibri"/>
          <w:sz w:val="18"/>
          <w:szCs w:val="18"/>
          <w:color w:val="212529"/>
        </w:rPr>
        <w:t>A lease liability is recorded at commencement for the net present value of future lease payments over the lease term. The discount rate used is generally the Company’s estmated incremental borrowing rate based on credit-adjusted and term-specifc discount rates, using a third-party yield curve. A right of use (“ROU”) asset is recorded and recognized at commencement at the lease liability amount, adjusted for lease prepayments, inital direct costs incurred and lease incentves received. The Company’s lease terms include optons to extend or terminate the lease when it is reasonably certain that the Company will exercise that opton.</w:t>
      </w:r>
    </w:p>
    <w:p>
      <w:pPr>
        <w:spacing w:after="0" w:line="85" w:lineRule="exact"/>
        <w:rPr>
          <w:sz w:val="20"/>
          <w:szCs w:val="20"/>
          <w:color w:val="auto"/>
        </w:rPr>
      </w:pPr>
    </w:p>
    <w:p>
      <w:pPr>
        <w:ind w:right="80" w:firstLine="464"/>
        <w:spacing w:after="0" w:line="235" w:lineRule="auto"/>
        <w:rPr>
          <w:sz w:val="20"/>
          <w:szCs w:val="20"/>
          <w:color w:val="auto"/>
        </w:rPr>
      </w:pPr>
      <w:r>
        <w:rPr>
          <w:rFonts w:ascii="Calibri" w:cs="Calibri" w:eastAsia="Calibri" w:hAnsi="Calibri"/>
          <w:sz w:val="18"/>
          <w:szCs w:val="18"/>
          <w:color w:val="212529"/>
        </w:rPr>
        <w:t>In the normal course of its business, the Company enters into various leases as the lessee, primarily related to certain transportaton vehicles, warehouse facilites, ofce space, and machinery and equipment. These leases have remaining lease terms between one and sixteen years, some of which may include optons to extend the leases for up to ffeen years or optons to terminate the leases. The Company’s land leases have remaining lease terms up to seventy-nine years.</w:t>
      </w:r>
    </w:p>
    <w:p>
      <w:pPr>
        <w:spacing w:after="0" w:line="84" w:lineRule="exact"/>
        <w:rPr>
          <w:sz w:val="20"/>
          <w:szCs w:val="20"/>
          <w:color w:val="auto"/>
        </w:rPr>
      </w:pPr>
    </w:p>
    <w:p>
      <w:pPr>
        <w:ind w:right="180" w:firstLine="397"/>
        <w:spacing w:after="0" w:line="235" w:lineRule="auto"/>
        <w:rPr>
          <w:sz w:val="20"/>
          <w:szCs w:val="20"/>
          <w:color w:val="auto"/>
        </w:rPr>
      </w:pPr>
      <w:r>
        <w:rPr>
          <w:rFonts w:ascii="Calibri" w:cs="Calibri" w:eastAsia="Calibri" w:hAnsi="Calibri"/>
          <w:sz w:val="18"/>
          <w:szCs w:val="18"/>
          <w:color w:val="212529"/>
        </w:rPr>
        <w:t>The Company has elected not to recognize short-term leases on the balance sheet for all underlying asset classes. Short-term leases are leases that, at the commencement date, have a lease term of twelve months or less and do not include a purchase opton that the Company is reasonably certain to exercise. Short-term leases are expensed on a straight-line basis over the lease term.</w:t>
      </w:r>
    </w:p>
    <w:p>
      <w:pPr>
        <w:spacing w:after="0" w:line="79"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The components of the Company’s lease costs were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Years Ended September 30</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440" w:type="dxa"/>
            <w:vAlign w:val="bottom"/>
          </w:tcPr>
          <w:p>
            <w:pPr>
              <w:spacing w:after="0"/>
              <w:rPr>
                <w:sz w:val="14"/>
                <w:szCs w:val="14"/>
                <w:color w:val="auto"/>
              </w:rPr>
            </w:pPr>
          </w:p>
        </w:tc>
        <w:tc>
          <w:tcPr>
            <w:tcW w:w="920" w:type="dxa"/>
            <w:vAlign w:val="bottom"/>
          </w:tcPr>
          <w:p>
            <w:pPr>
              <w:jc w:val="right"/>
              <w:ind w:right="56"/>
              <w:spacing w:after="0" w:line="164" w:lineRule="exact"/>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497"/>
              <w:spacing w:after="0" w:line="164" w:lineRule="exact"/>
              <w:rPr>
                <w:sz w:val="20"/>
                <w:szCs w:val="20"/>
                <w:color w:val="auto"/>
              </w:rPr>
            </w:pPr>
            <w:r>
              <w:rPr>
                <w:rFonts w:ascii="Calibri" w:cs="Calibri" w:eastAsia="Calibri" w:hAnsi="Calibri"/>
                <w:sz w:val="14"/>
                <w:szCs w:val="14"/>
                <w:b w:val="1"/>
                <w:bCs w:val="1"/>
                <w:color w:val="auto"/>
              </w:rPr>
              <w:t>2022</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95"/>
              <w:spacing w:after="0" w:line="164" w:lineRule="exact"/>
              <w:rPr>
                <w:sz w:val="20"/>
                <w:szCs w:val="20"/>
                <w:color w:val="auto"/>
              </w:rPr>
            </w:pPr>
            <w:r>
              <w:rPr>
                <w:rFonts w:ascii="Calibri" w:cs="Calibri" w:eastAsia="Calibri" w:hAnsi="Calibri"/>
                <w:sz w:val="14"/>
                <w:szCs w:val="14"/>
                <w:b w:val="1"/>
                <w:bCs w:val="1"/>
                <w:color w:val="auto"/>
              </w:rPr>
              <w:t>2021</w:t>
            </w:r>
          </w:p>
        </w:tc>
        <w:tc>
          <w:tcPr>
            <w:tcW w:w="100" w:type="dxa"/>
            <w:vAlign w:val="bottom"/>
          </w:tcPr>
          <w:p>
            <w:pPr>
              <w:spacing w:after="0"/>
              <w:rPr>
                <w:sz w:val="14"/>
                <w:szCs w:val="14"/>
                <w:color w:val="auto"/>
              </w:rPr>
            </w:pPr>
          </w:p>
        </w:tc>
      </w:tr>
      <w:tr>
        <w:trPr>
          <w:trHeight w:val="33"/>
        </w:trPr>
        <w:tc>
          <w:tcPr>
            <w:tcW w:w="6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217"/>
              <w:spacing w:after="0" w:line="164" w:lineRule="exact"/>
              <w:rPr>
                <w:sz w:val="20"/>
                <w:szCs w:val="20"/>
                <w:color w:val="auto"/>
              </w:rPr>
            </w:pPr>
            <w:r>
              <w:rPr>
                <w:rFonts w:ascii="Calibri" w:cs="Calibri" w:eastAsia="Calibri" w:hAnsi="Calibri"/>
                <w:sz w:val="14"/>
                <w:szCs w:val="14"/>
                <w:b w:val="1"/>
                <w:bCs w:val="1"/>
                <w:color w:val="auto"/>
              </w:rPr>
              <w:t>(In millions)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4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Operatng lease cost</w:t>
            </w:r>
          </w:p>
        </w:tc>
        <w:tc>
          <w:tcPr>
            <w:tcW w:w="920" w:type="dxa"/>
            <w:vAlign w:val="bottom"/>
            <w:tcBorders>
              <w:bottom w:val="single" w:sz="8" w:color="CFF0FC"/>
            </w:tcBorders>
            <w:shd w:val="clear" w:color="auto" w:fill="CFF0FC"/>
          </w:tcPr>
          <w:p>
            <w:pPr>
              <w:jc w:val="right"/>
              <w:ind w:right="716"/>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w:t>
            </w:r>
          </w:p>
        </w:tc>
        <w:tc>
          <w:tcPr>
            <w:tcW w:w="560" w:type="dxa"/>
            <w:vAlign w:val="bottom"/>
            <w:tcBorders>
              <w:bottom w:val="single" w:sz="8" w:color="CFF0FC"/>
            </w:tcBorders>
            <w:gridSpan w:val="2"/>
            <w:shd w:val="clear" w:color="auto" w:fill="CFF0FC"/>
          </w:tcPr>
          <w:p>
            <w:pPr>
              <w:ind w:left="30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3"/>
        </w:trPr>
        <w:tc>
          <w:tcPr>
            <w:tcW w:w="6440" w:type="dxa"/>
            <w:vAlign w:val="bottom"/>
          </w:tcPr>
          <w:p>
            <w:pPr>
              <w:ind w:left="20"/>
              <w:spacing w:after="0"/>
              <w:rPr>
                <w:sz w:val="20"/>
                <w:szCs w:val="20"/>
                <w:color w:val="auto"/>
              </w:rPr>
            </w:pPr>
            <w:r>
              <w:rPr>
                <w:rFonts w:ascii="Calibri" w:cs="Calibri" w:eastAsia="Calibri" w:hAnsi="Calibri"/>
                <w:sz w:val="18"/>
                <w:szCs w:val="18"/>
                <w:color w:val="auto"/>
              </w:rPr>
              <w:t>Finance lease cost</w:t>
            </w:r>
          </w:p>
        </w:tc>
        <w:tc>
          <w:tcPr>
            <w:tcW w:w="9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Calibri" w:cs="Calibri" w:eastAsia="Calibri" w:hAnsi="Calibri"/>
                <w:sz w:val="18"/>
                <w:szCs w:val="18"/>
                <w:color w:val="auto"/>
              </w:rPr>
              <w:t>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6</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7</w:t>
            </w:r>
          </w:p>
        </w:tc>
        <w:tc>
          <w:tcPr>
            <w:tcW w:w="100" w:type="dxa"/>
            <w:vAlign w:val="bottom"/>
          </w:tcPr>
          <w:p>
            <w:pPr>
              <w:spacing w:after="0"/>
              <w:rPr>
                <w:sz w:val="20"/>
                <w:szCs w:val="20"/>
                <w:color w:val="auto"/>
              </w:rPr>
            </w:pPr>
          </w:p>
        </w:tc>
      </w:tr>
      <w:tr>
        <w:trPr>
          <w:trHeight w:val="23"/>
        </w:trPr>
        <w:tc>
          <w:tcPr>
            <w:tcW w:w="6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2"/>
        </w:trPr>
        <w:tc>
          <w:tcPr>
            <w:tcW w:w="644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Total lease cost</w:t>
            </w:r>
          </w:p>
        </w:tc>
        <w:tc>
          <w:tcPr>
            <w:tcW w:w="920" w:type="dxa"/>
            <w:vAlign w:val="bottom"/>
            <w:tcBorders>
              <w:bottom w:val="single" w:sz="8" w:color="CFF0FC"/>
            </w:tcBorders>
            <w:shd w:val="clear" w:color="auto" w:fill="CFF0FC"/>
          </w:tcPr>
          <w:p>
            <w:pPr>
              <w:jc w:val="right"/>
              <w:ind w:right="716"/>
              <w:spacing w:after="0" w:line="213"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32</w:t>
            </w:r>
          </w:p>
        </w:tc>
        <w:tc>
          <w:tcPr>
            <w:tcW w:w="560" w:type="dxa"/>
            <w:vAlign w:val="bottom"/>
            <w:tcBorders>
              <w:bottom w:val="single" w:sz="8" w:color="CFF0FC"/>
            </w:tcBorders>
            <w:gridSpan w:val="2"/>
            <w:shd w:val="clear" w:color="auto" w:fill="CFF0FC"/>
          </w:tcPr>
          <w:p>
            <w:pPr>
              <w:ind w:left="300"/>
              <w:spacing w:after="0" w:line="213"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29</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jc w:val="right"/>
              <w:ind w:right="130"/>
              <w:spacing w:after="0" w:line="213"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64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-24765</wp:posOffset>
            </wp:positionV>
            <wp:extent cx="768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768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right="40" w:firstLine="469"/>
        <w:spacing w:after="0"/>
        <w:rPr>
          <w:sz w:val="20"/>
          <w:szCs w:val="20"/>
          <w:color w:val="auto"/>
        </w:rPr>
      </w:pPr>
      <w:r>
        <w:rPr>
          <w:rFonts w:ascii="Calibri" w:cs="Calibri" w:eastAsia="Calibri" w:hAnsi="Calibri"/>
          <w:sz w:val="18"/>
          <w:szCs w:val="18"/>
          <w:color w:val="212529"/>
        </w:rPr>
        <w:t>Included within operatng lease costs are short-term lease costs, which were $7 million in fscal 2023 and $5 million in both fscal 2022 and 2021. Some lease arrangements require variable payments that are dependent on usage, output, or index-based adjustments. Variable lease costs were $2 million in fscal 2023 and $1 million in both 2022 and 2021.</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70" w:name="page71"/>
    <w:bookmarkEnd w:id="70"/>
    <w:p>
      <w:pPr>
        <w:ind w:left="480"/>
        <w:spacing w:after="0"/>
        <w:rPr>
          <w:sz w:val="20"/>
          <w:szCs w:val="20"/>
          <w:color w:val="auto"/>
        </w:rPr>
      </w:pPr>
      <w:r>
        <w:rPr>
          <w:rFonts w:ascii="Calibri" w:cs="Calibri" w:eastAsia="Calibri" w:hAnsi="Calibri"/>
          <w:sz w:val="18"/>
          <w:szCs w:val="18"/>
          <w:color w:val="212529"/>
        </w:rPr>
        <w:t>Supplemental cash fow informaton related to the Company’s leases was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4"/>
          </w:tcPr>
          <w:p>
            <w:pPr>
              <w:ind w:left="260"/>
              <w:spacing w:after="0"/>
              <w:rPr>
                <w:sz w:val="20"/>
                <w:szCs w:val="20"/>
                <w:color w:val="auto"/>
              </w:rPr>
            </w:pPr>
            <w:r>
              <w:rPr>
                <w:rFonts w:ascii="Calibri" w:cs="Calibri" w:eastAsia="Calibri" w:hAnsi="Calibri"/>
                <w:sz w:val="14"/>
                <w:szCs w:val="14"/>
                <w:b w:val="1"/>
                <w:bCs w:val="1"/>
                <w:color w:val="auto"/>
              </w:rPr>
              <w:t>Years Ended September 30</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5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520" w:type="dxa"/>
            <w:vAlign w:val="bottom"/>
          </w:tcPr>
          <w:p>
            <w:pPr>
              <w:spacing w:after="0"/>
              <w:rPr>
                <w:sz w:val="14"/>
                <w:szCs w:val="14"/>
                <w:color w:val="auto"/>
              </w:rPr>
            </w:pPr>
          </w:p>
        </w:tc>
        <w:tc>
          <w:tcPr>
            <w:tcW w:w="920" w:type="dxa"/>
            <w:vAlign w:val="bottom"/>
          </w:tcPr>
          <w:p>
            <w:pPr>
              <w:jc w:val="right"/>
              <w:ind w:right="55"/>
              <w:spacing w:after="0" w:line="164" w:lineRule="exact"/>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475"/>
              <w:spacing w:after="0" w:line="164" w:lineRule="exact"/>
              <w:rPr>
                <w:sz w:val="20"/>
                <w:szCs w:val="20"/>
                <w:color w:val="auto"/>
              </w:rPr>
            </w:pPr>
            <w:r>
              <w:rPr>
                <w:rFonts w:ascii="Calibri" w:cs="Calibri" w:eastAsia="Calibri" w:hAnsi="Calibri"/>
                <w:sz w:val="14"/>
                <w:szCs w:val="14"/>
                <w:b w:val="1"/>
                <w:bCs w:val="1"/>
                <w:color w:val="auto"/>
              </w:rPr>
              <w:t>2022</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93"/>
              <w:spacing w:after="0" w:line="164" w:lineRule="exact"/>
              <w:rPr>
                <w:sz w:val="20"/>
                <w:szCs w:val="20"/>
                <w:color w:val="auto"/>
              </w:rPr>
            </w:pPr>
            <w:r>
              <w:rPr>
                <w:rFonts w:ascii="Calibri" w:cs="Calibri" w:eastAsia="Calibri" w:hAnsi="Calibri"/>
                <w:sz w:val="14"/>
                <w:szCs w:val="14"/>
                <w:b w:val="1"/>
                <w:bCs w:val="1"/>
                <w:color w:val="auto"/>
              </w:rPr>
              <w:t>2021</w:t>
            </w:r>
          </w:p>
        </w:tc>
        <w:tc>
          <w:tcPr>
            <w:tcW w:w="100" w:type="dxa"/>
            <w:vAlign w:val="bottom"/>
          </w:tcPr>
          <w:p>
            <w:pPr>
              <w:spacing w:after="0"/>
              <w:rPr>
                <w:sz w:val="14"/>
                <w:szCs w:val="14"/>
                <w:color w:val="auto"/>
              </w:rPr>
            </w:pPr>
          </w:p>
        </w:tc>
      </w:tr>
      <w:tr>
        <w:trPr>
          <w:trHeight w:val="33"/>
        </w:trPr>
        <w:tc>
          <w:tcPr>
            <w:tcW w:w="65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6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95"/>
              <w:spacing w:after="0" w:line="164" w:lineRule="exact"/>
              <w:rPr>
                <w:sz w:val="20"/>
                <w:szCs w:val="20"/>
                <w:color w:val="auto"/>
              </w:rPr>
            </w:pPr>
            <w:r>
              <w:rPr>
                <w:rFonts w:ascii="Calibri" w:cs="Calibri" w:eastAsia="Calibri" w:hAnsi="Calibri"/>
                <w:sz w:val="14"/>
                <w:szCs w:val="14"/>
                <w:b w:val="1"/>
                <w:bCs w:val="1"/>
                <w:color w:val="auto"/>
              </w:rPr>
              <w:t>(In millions)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6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5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Cash paid for amounts included in the measurement of lease liabilites:</w:t>
            </w:r>
          </w:p>
        </w:tc>
        <w:tc>
          <w:tcPr>
            <w:tcW w:w="9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3"/>
        </w:trPr>
        <w:tc>
          <w:tcPr>
            <w:tcW w:w="6520" w:type="dxa"/>
            <w:vAlign w:val="bottom"/>
          </w:tcPr>
          <w:p>
            <w:pPr>
              <w:ind w:left="200"/>
              <w:spacing w:after="0"/>
              <w:rPr>
                <w:sz w:val="20"/>
                <w:szCs w:val="20"/>
                <w:color w:val="auto"/>
              </w:rPr>
            </w:pPr>
            <w:r>
              <w:rPr>
                <w:rFonts w:ascii="Calibri" w:cs="Calibri" w:eastAsia="Calibri" w:hAnsi="Calibri"/>
                <w:sz w:val="18"/>
                <w:szCs w:val="18"/>
                <w:color w:val="auto"/>
              </w:rPr>
              <w:t>Operatng cash fows from operatng leases</w:t>
            </w:r>
          </w:p>
        </w:tc>
        <w:tc>
          <w:tcPr>
            <w:tcW w:w="920" w:type="dxa"/>
            <w:vAlign w:val="bottom"/>
          </w:tcPr>
          <w:p>
            <w:pPr>
              <w:jc w:val="right"/>
              <w:ind w:right="735"/>
              <w:spacing w:after="0"/>
              <w:rPr>
                <w:sz w:val="20"/>
                <w:szCs w:val="20"/>
                <w:color w:val="auto"/>
              </w:rPr>
            </w:pPr>
            <w:r>
              <w:rPr>
                <w:rFonts w:ascii="Calibri" w:cs="Calibri" w:eastAsia="Calibri" w:hAnsi="Calibri"/>
                <w:sz w:val="18"/>
                <w:szCs w:val="18"/>
                <w:color w:val="auto"/>
                <w:w w:val="87"/>
              </w:rPr>
              <w:t>$</w:t>
            </w:r>
          </w:p>
        </w:tc>
        <w:tc>
          <w:tcPr>
            <w:tcW w:w="340" w:type="dxa"/>
            <w:vAlign w:val="bottom"/>
          </w:tcPr>
          <w:p>
            <w:pPr>
              <w:jc w:val="right"/>
              <w:spacing w:after="0"/>
              <w:rPr>
                <w:sz w:val="20"/>
                <w:szCs w:val="20"/>
                <w:color w:val="auto"/>
              </w:rPr>
            </w:pPr>
            <w:r>
              <w:rPr>
                <w:rFonts w:ascii="Calibri" w:cs="Calibri" w:eastAsia="Calibri" w:hAnsi="Calibri"/>
                <w:sz w:val="18"/>
                <w:szCs w:val="18"/>
                <w:color w:val="auto"/>
              </w:rPr>
              <w:t>18</w:t>
            </w:r>
          </w:p>
        </w:tc>
        <w:tc>
          <w:tcPr>
            <w:tcW w:w="52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17</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20</w:t>
            </w:r>
          </w:p>
        </w:tc>
        <w:tc>
          <w:tcPr>
            <w:tcW w:w="100" w:type="dxa"/>
            <w:vAlign w:val="bottom"/>
          </w:tcPr>
          <w:p>
            <w:pPr>
              <w:spacing w:after="0"/>
              <w:rPr>
                <w:sz w:val="20"/>
                <w:szCs w:val="20"/>
                <w:color w:val="auto"/>
              </w:rPr>
            </w:pPr>
          </w:p>
        </w:tc>
      </w:tr>
      <w:tr>
        <w:trPr>
          <w:trHeight w:val="37"/>
        </w:trPr>
        <w:tc>
          <w:tcPr>
            <w:tcW w:w="6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6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Operatng cash fows from fnance leases</w:t>
            </w:r>
          </w:p>
        </w:tc>
        <w:tc>
          <w:tcPr>
            <w:tcW w:w="9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3"/>
        </w:trPr>
        <w:tc>
          <w:tcPr>
            <w:tcW w:w="6520" w:type="dxa"/>
            <w:vAlign w:val="bottom"/>
          </w:tcPr>
          <w:p>
            <w:pPr>
              <w:ind w:left="200"/>
              <w:spacing w:after="0"/>
              <w:rPr>
                <w:sz w:val="20"/>
                <w:szCs w:val="20"/>
                <w:color w:val="auto"/>
              </w:rPr>
            </w:pPr>
            <w:r>
              <w:rPr>
                <w:rFonts w:ascii="Calibri" w:cs="Calibri" w:eastAsia="Calibri" w:hAnsi="Calibri"/>
                <w:sz w:val="18"/>
                <w:szCs w:val="18"/>
                <w:color w:val="auto"/>
              </w:rPr>
              <w:t>Financing cash fows from fnance leases</w:t>
            </w:r>
          </w:p>
        </w:tc>
        <w:tc>
          <w:tcPr>
            <w:tcW w:w="9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20"/>
                <w:szCs w:val="20"/>
                <w:color w:val="auto"/>
              </w:rPr>
            </w:pPr>
          </w:p>
        </w:tc>
      </w:tr>
      <w:tr>
        <w:trPr>
          <w:trHeight w:val="37"/>
        </w:trPr>
        <w:tc>
          <w:tcPr>
            <w:tcW w:w="6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65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Right-of-use assets obtained in exchange for new operatng lease liabilites</w:t>
            </w:r>
          </w:p>
        </w:tc>
        <w:tc>
          <w:tcPr>
            <w:tcW w:w="920" w:type="dxa"/>
            <w:vAlign w:val="bottom"/>
            <w:tcBorders>
              <w:bottom w:val="single" w:sz="8" w:color="CFF0FC"/>
            </w:tcBorders>
            <w:shd w:val="clear" w:color="auto" w:fill="CFF0FC"/>
          </w:tcPr>
          <w:p>
            <w:pPr>
              <w:jc w:val="right"/>
              <w:ind w:right="735"/>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w:t>
            </w:r>
          </w:p>
        </w:tc>
        <w:tc>
          <w:tcPr>
            <w:tcW w:w="52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3"/>
        </w:trPr>
        <w:tc>
          <w:tcPr>
            <w:tcW w:w="6520" w:type="dxa"/>
            <w:vAlign w:val="bottom"/>
          </w:tcPr>
          <w:p>
            <w:pPr>
              <w:ind w:left="20"/>
              <w:spacing w:after="0"/>
              <w:rPr>
                <w:sz w:val="20"/>
                <w:szCs w:val="20"/>
                <w:color w:val="auto"/>
              </w:rPr>
            </w:pPr>
            <w:r>
              <w:rPr>
                <w:rFonts w:ascii="Calibri" w:cs="Calibri" w:eastAsia="Calibri" w:hAnsi="Calibri"/>
                <w:sz w:val="18"/>
                <w:szCs w:val="18"/>
                <w:color w:val="auto"/>
              </w:rPr>
              <w:t>Right-of-use assets obtained in exchange for new fnance lease liabilites</w:t>
            </w:r>
          </w:p>
        </w:tc>
        <w:tc>
          <w:tcPr>
            <w:tcW w:w="920" w:type="dxa"/>
            <w:vAlign w:val="bottom"/>
          </w:tcPr>
          <w:p>
            <w:pPr>
              <w:jc w:val="right"/>
              <w:ind w:right="735"/>
              <w:spacing w:after="0"/>
              <w:rPr>
                <w:sz w:val="20"/>
                <w:szCs w:val="20"/>
                <w:color w:val="auto"/>
              </w:rPr>
            </w:pPr>
            <w:r>
              <w:rPr>
                <w:rFonts w:ascii="Calibri" w:cs="Calibri" w:eastAsia="Calibri" w:hAnsi="Calibri"/>
                <w:sz w:val="18"/>
                <w:szCs w:val="18"/>
                <w:color w:val="auto"/>
                <w:w w:val="87"/>
              </w:rPr>
              <w:t>$</w:t>
            </w:r>
          </w:p>
        </w:tc>
        <w:tc>
          <w:tcPr>
            <w:tcW w:w="34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52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20"/>
                <w:szCs w:val="20"/>
                <w:color w:val="auto"/>
              </w:rPr>
            </w:pPr>
          </w:p>
        </w:tc>
      </w:tr>
    </w:tbl>
    <w:p>
      <w:pPr>
        <w:spacing w:after="0" w:line="293" w:lineRule="exact"/>
        <w:rPr>
          <w:sz w:val="20"/>
          <w:szCs w:val="20"/>
          <w:color w:val="auto"/>
        </w:rPr>
      </w:pPr>
    </w:p>
    <w:p>
      <w:pPr>
        <w:ind w:left="480"/>
        <w:spacing w:after="0"/>
        <w:rPr>
          <w:sz w:val="20"/>
          <w:szCs w:val="20"/>
          <w:color w:val="auto"/>
        </w:rPr>
      </w:pPr>
      <w:r>
        <w:rPr>
          <w:rFonts w:ascii="Calibri" w:cs="Calibri" w:eastAsia="Calibri" w:hAnsi="Calibri"/>
          <w:sz w:val="18"/>
          <w:szCs w:val="18"/>
          <w:color w:val="212529"/>
        </w:rPr>
        <w:t>Supplemental balance sheet informaton related to the Company’s leases was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ind w:left="900"/>
              <w:spacing w:after="0"/>
              <w:rPr>
                <w:sz w:val="20"/>
                <w:szCs w:val="20"/>
                <w:color w:val="auto"/>
              </w:rPr>
            </w:pPr>
            <w:r>
              <w:rPr>
                <w:rFonts w:ascii="Calibri" w:cs="Calibri" w:eastAsia="Calibri" w:hAnsi="Calibri"/>
                <w:sz w:val="14"/>
                <w:szCs w:val="14"/>
                <w:b w:val="1"/>
                <w:bCs w:val="1"/>
                <w:color w:val="auto"/>
              </w:rPr>
              <w:t>Descripton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Pr>
          <w:p>
            <w:pPr>
              <w:ind w:left="1060"/>
              <w:spacing w:after="0"/>
              <w:rPr>
                <w:sz w:val="20"/>
                <w:szCs w:val="20"/>
                <w:color w:val="auto"/>
              </w:rPr>
            </w:pPr>
            <w:r>
              <w:rPr>
                <w:rFonts w:ascii="Calibri" w:cs="Calibri" w:eastAsia="Calibri" w:hAnsi="Calibri"/>
                <w:sz w:val="14"/>
                <w:szCs w:val="14"/>
                <w:b w:val="1"/>
                <w:bCs w:val="1"/>
                <w:color w:val="auto"/>
              </w:rPr>
              <w:t>Balance Sheet Classifcaton</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140"/>
              <w:spacing w:after="0"/>
              <w:rPr>
                <w:sz w:val="20"/>
                <w:szCs w:val="20"/>
                <w:color w:val="auto"/>
              </w:rPr>
            </w:pPr>
            <w:r>
              <w:rPr>
                <w:rFonts w:ascii="Calibri" w:cs="Calibri" w:eastAsia="Calibri" w:hAnsi="Calibri"/>
                <w:sz w:val="14"/>
                <w:szCs w:val="14"/>
                <w:b w:val="1"/>
                <w:bCs w:val="1"/>
                <w:color w:val="auto"/>
              </w:rPr>
              <w:t>September 30, 2023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3"/>
          </w:tcPr>
          <w:p>
            <w:pPr>
              <w:jc w:val="right"/>
              <w:ind w:right="600"/>
              <w:spacing w:after="0"/>
              <w:rPr>
                <w:sz w:val="20"/>
                <w:szCs w:val="20"/>
                <w:color w:val="auto"/>
              </w:rPr>
            </w:pPr>
            <w:r>
              <w:rPr>
                <w:rFonts w:ascii="Calibri" w:cs="Calibri" w:eastAsia="Calibri" w:hAnsi="Calibri"/>
                <w:sz w:val="14"/>
                <w:szCs w:val="14"/>
                <w:b w:val="1"/>
                <w:bCs w:val="1"/>
                <w:color w:val="auto"/>
              </w:rPr>
              <w:t>September 30, 2022</w:t>
            </w:r>
          </w:p>
        </w:tc>
      </w:tr>
      <w:tr>
        <w:trPr>
          <w:trHeight w:val="33"/>
        </w:trPr>
        <w:tc>
          <w:tcPr>
            <w:tcW w:w="2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3"/>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600" w:type="dxa"/>
            <w:vAlign w:val="bottom"/>
            <w:gridSpan w:val="5"/>
          </w:tcPr>
          <w:p>
            <w:pPr>
              <w:jc w:val="right"/>
              <w:ind w:right="100"/>
              <w:spacing w:after="0" w:line="164" w:lineRule="exact"/>
              <w:rPr>
                <w:sz w:val="20"/>
                <w:szCs w:val="20"/>
                <w:color w:val="auto"/>
              </w:rPr>
            </w:pPr>
            <w:r>
              <w:rPr>
                <w:rFonts w:ascii="Calibri" w:cs="Calibri" w:eastAsia="Calibri" w:hAnsi="Calibri"/>
                <w:sz w:val="14"/>
                <w:szCs w:val="14"/>
                <w:b w:val="1"/>
                <w:bCs w:val="1"/>
                <w:color w:val="auto"/>
                <w:w w:val="95"/>
              </w:rPr>
              <w:t>millions)</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23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Lease ROU assets:</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8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2380" w:type="dxa"/>
            <w:vAlign w:val="bottom"/>
          </w:tcPr>
          <w:p>
            <w:pPr>
              <w:ind w:left="200"/>
              <w:spacing w:after="0" w:line="215" w:lineRule="exact"/>
              <w:rPr>
                <w:sz w:val="20"/>
                <w:szCs w:val="20"/>
                <w:color w:val="auto"/>
              </w:rPr>
            </w:pPr>
            <w:r>
              <w:rPr>
                <w:rFonts w:ascii="Calibri" w:cs="Calibri" w:eastAsia="Calibri" w:hAnsi="Calibri"/>
                <w:sz w:val="18"/>
                <w:szCs w:val="18"/>
                <w:color w:val="auto"/>
              </w:rPr>
              <w:t>Operatng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ind w:left="20"/>
              <w:spacing w:after="0" w:line="215" w:lineRule="exact"/>
              <w:rPr>
                <w:sz w:val="20"/>
                <w:szCs w:val="20"/>
                <w:color w:val="auto"/>
              </w:rPr>
            </w:pPr>
            <w:r>
              <w:rPr>
                <w:rFonts w:ascii="Calibri" w:cs="Calibri" w:eastAsia="Calibri" w:hAnsi="Calibri"/>
                <w:sz w:val="18"/>
                <w:szCs w:val="18"/>
                <w:color w:val="auto"/>
              </w:rPr>
              <w:t>Other assets</w:t>
            </w:r>
          </w:p>
        </w:tc>
        <w:tc>
          <w:tcPr>
            <w:tcW w:w="1440" w:type="dxa"/>
            <w:vAlign w:val="bottom"/>
            <w:gridSpan w:val="6"/>
          </w:tcPr>
          <w:p>
            <w:pPr>
              <w:jc w:val="right"/>
              <w:ind w:right="148"/>
              <w:spacing w:after="0" w:line="215" w:lineRule="exact"/>
              <w:rPr>
                <w:sz w:val="20"/>
                <w:szCs w:val="20"/>
                <w:color w:val="auto"/>
              </w:rPr>
            </w:pPr>
            <w:r>
              <w:rPr>
                <w:rFonts w:ascii="Calibri" w:cs="Calibri" w:eastAsia="Calibri" w:hAnsi="Calibri"/>
                <w:sz w:val="18"/>
                <w:szCs w:val="18"/>
                <w:color w:val="auto"/>
              </w:rPr>
              <w:t>$</w:t>
            </w:r>
          </w:p>
        </w:tc>
        <w:tc>
          <w:tcPr>
            <w:tcW w:w="17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w w:val="87"/>
              </w:rPr>
              <w:t>$</w:t>
            </w:r>
          </w:p>
        </w:tc>
        <w:tc>
          <w:tcPr>
            <w:tcW w:w="1800" w:type="dxa"/>
            <w:vAlign w:val="bottom"/>
          </w:tcPr>
          <w:p>
            <w:pPr>
              <w:jc w:val="right"/>
              <w:spacing w:after="0" w:line="215" w:lineRule="exact"/>
              <w:rPr>
                <w:sz w:val="20"/>
                <w:szCs w:val="20"/>
                <w:color w:val="auto"/>
              </w:rPr>
            </w:pPr>
            <w:r>
              <w:rPr>
                <w:rFonts w:ascii="Calibri" w:cs="Calibri" w:eastAsia="Calibri" w:hAnsi="Calibri"/>
                <w:sz w:val="18"/>
                <w:szCs w:val="18"/>
                <w:color w:val="auto"/>
              </w:rPr>
              <w:t>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8"/>
        </w:trPr>
        <w:tc>
          <w:tcPr>
            <w:tcW w:w="238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8"/>
                <w:szCs w:val="18"/>
                <w:color w:val="auto"/>
              </w:rPr>
              <w:t>Finance</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8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Net property, plant and equipment</w:t>
            </w:r>
          </w:p>
        </w:tc>
        <w:tc>
          <w:tcPr>
            <w:tcW w:w="5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6"/>
        </w:trPr>
        <w:tc>
          <w:tcPr>
            <w:tcW w:w="238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Total lease ROU assets</w:t>
            </w:r>
          </w:p>
        </w:tc>
        <w:tc>
          <w:tcPr>
            <w:tcW w:w="8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860" w:type="dxa"/>
            <w:vAlign w:val="bottom"/>
            <w:tcBorders>
              <w:top w:val="single" w:sz="8" w:color="CFF0FC"/>
            </w:tcBorders>
          </w:tcPr>
          <w:p>
            <w:pPr>
              <w:spacing w:after="0"/>
              <w:rPr>
                <w:sz w:val="20"/>
                <w:szCs w:val="20"/>
                <w:color w:val="auto"/>
              </w:rPr>
            </w:pPr>
          </w:p>
        </w:tc>
        <w:tc>
          <w:tcPr>
            <w:tcW w:w="1120" w:type="dxa"/>
            <w:vAlign w:val="bottom"/>
            <w:tcBorders>
              <w:top w:val="single" w:sz="8" w:color="CFF0FC"/>
            </w:tcBorders>
            <w:gridSpan w:val="4"/>
          </w:tcPr>
          <w:p>
            <w:pPr>
              <w:spacing w:after="0"/>
              <w:rPr>
                <w:sz w:val="20"/>
                <w:szCs w:val="20"/>
                <w:color w:val="auto"/>
              </w:rPr>
            </w:pPr>
          </w:p>
        </w:tc>
        <w:tc>
          <w:tcPr>
            <w:tcW w:w="320" w:type="dxa"/>
            <w:vAlign w:val="bottom"/>
            <w:tcBorders>
              <w:top w:val="single" w:sz="8" w:color="auto"/>
              <w:bottom w:val="single" w:sz="8" w:color="auto"/>
            </w:tcBorders>
            <w:gridSpan w:val="2"/>
          </w:tcPr>
          <w:p>
            <w:pPr>
              <w:jc w:val="right"/>
              <w:ind w:right="148"/>
              <w:spacing w:after="0" w:line="215" w:lineRule="exact"/>
              <w:rPr>
                <w:sz w:val="20"/>
                <w:szCs w:val="20"/>
                <w:color w:val="auto"/>
              </w:rPr>
            </w:pPr>
            <w:r>
              <w:rPr>
                <w:rFonts w:ascii="Calibri" w:cs="Calibri" w:eastAsia="Calibri" w:hAnsi="Calibri"/>
                <w:sz w:val="18"/>
                <w:szCs w:val="18"/>
                <w:color w:val="auto"/>
                <w:w w:val="87"/>
              </w:rPr>
              <w:t>$</w:t>
            </w:r>
          </w:p>
        </w:tc>
        <w:tc>
          <w:tcPr>
            <w:tcW w:w="1780" w:type="dxa"/>
            <w:vAlign w:val="bottom"/>
            <w:tcBorders>
              <w:top w:val="single" w:sz="8" w:color="auto"/>
              <w:bottom w:val="single" w:sz="8" w:color="auto"/>
            </w:tcBorders>
            <w:gridSpan w:val="2"/>
          </w:tcPr>
          <w:p>
            <w:pPr>
              <w:jc w:val="right"/>
              <w:spacing w:after="0" w:line="215" w:lineRule="exact"/>
              <w:rPr>
                <w:sz w:val="20"/>
                <w:szCs w:val="20"/>
                <w:color w:val="auto"/>
              </w:rPr>
            </w:pPr>
            <w:r>
              <w:rPr>
                <w:rFonts w:ascii="Calibri" w:cs="Calibri" w:eastAsia="Calibri" w:hAnsi="Calibri"/>
                <w:sz w:val="18"/>
                <w:szCs w:val="18"/>
                <w:color w:val="auto"/>
              </w:rPr>
              <w:t>140</w:t>
            </w:r>
          </w:p>
        </w:tc>
        <w:tc>
          <w:tcPr>
            <w:tcW w:w="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gridSpan w:val="2"/>
          </w:tcPr>
          <w:p>
            <w:pPr>
              <w:jc w:val="right"/>
              <w:ind w:right="200"/>
              <w:spacing w:after="0" w:line="215" w:lineRule="exact"/>
              <w:rPr>
                <w:sz w:val="20"/>
                <w:szCs w:val="20"/>
                <w:color w:val="auto"/>
              </w:rPr>
            </w:pPr>
            <w:r>
              <w:rPr>
                <w:rFonts w:ascii="Calibri" w:cs="Calibri" w:eastAsia="Calibri" w:hAnsi="Calibri"/>
                <w:sz w:val="18"/>
                <w:szCs w:val="18"/>
                <w:color w:val="auto"/>
                <w:w w:val="87"/>
              </w:rPr>
              <w:t>$</w:t>
            </w:r>
          </w:p>
        </w:tc>
        <w:tc>
          <w:tcPr>
            <w:tcW w:w="18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137</w:t>
            </w:r>
          </w:p>
        </w:tc>
        <w:tc>
          <w:tcPr>
            <w:tcW w:w="100" w:type="dxa"/>
            <w:vAlign w:val="bottom"/>
            <w:tcBorders>
              <w:top w:val="single" w:sz="8" w:color="CFF0FC"/>
            </w:tcBorders>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4"/>
        </w:trPr>
        <w:tc>
          <w:tcPr>
            <w:tcW w:w="2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2380" w:type="dxa"/>
            <w:vAlign w:val="bottom"/>
          </w:tcPr>
          <w:p>
            <w:pPr>
              <w:ind w:left="20"/>
              <w:spacing w:after="0" w:line="215" w:lineRule="exact"/>
              <w:rPr>
                <w:sz w:val="20"/>
                <w:szCs w:val="20"/>
                <w:color w:val="auto"/>
              </w:rPr>
            </w:pPr>
            <w:r>
              <w:rPr>
                <w:rFonts w:ascii="Calibri" w:cs="Calibri" w:eastAsia="Calibri" w:hAnsi="Calibri"/>
                <w:sz w:val="18"/>
                <w:szCs w:val="18"/>
                <w:color w:val="auto"/>
              </w:rPr>
              <w:t>Lease liabilites: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23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Current:</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8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2380" w:type="dxa"/>
            <w:vAlign w:val="bottom"/>
          </w:tcPr>
          <w:p>
            <w:pPr>
              <w:ind w:left="200"/>
              <w:spacing w:after="0" w:line="215" w:lineRule="exact"/>
              <w:rPr>
                <w:sz w:val="20"/>
                <w:szCs w:val="20"/>
                <w:color w:val="auto"/>
              </w:rPr>
            </w:pPr>
            <w:r>
              <w:rPr>
                <w:rFonts w:ascii="Calibri" w:cs="Calibri" w:eastAsia="Calibri" w:hAnsi="Calibri"/>
                <w:sz w:val="18"/>
                <w:szCs w:val="18"/>
                <w:color w:val="auto"/>
              </w:rPr>
              <w:t>Operatng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ind w:left="20"/>
              <w:spacing w:after="0" w:line="215" w:lineRule="exact"/>
              <w:rPr>
                <w:sz w:val="20"/>
                <w:szCs w:val="20"/>
                <w:color w:val="auto"/>
              </w:rPr>
            </w:pPr>
            <w:r>
              <w:rPr>
                <w:rFonts w:ascii="Calibri" w:cs="Calibri" w:eastAsia="Calibri" w:hAnsi="Calibri"/>
                <w:sz w:val="18"/>
                <w:szCs w:val="18"/>
                <w:color w:val="auto"/>
                <w:w w:val="98"/>
              </w:rPr>
              <w:t>Accounts payable and accrued liabilites</w:t>
            </w:r>
          </w:p>
        </w:tc>
        <w:tc>
          <w:tcPr>
            <w:tcW w:w="1440" w:type="dxa"/>
            <w:vAlign w:val="bottom"/>
            <w:gridSpan w:val="6"/>
          </w:tcPr>
          <w:p>
            <w:pPr>
              <w:jc w:val="right"/>
              <w:ind w:right="148"/>
              <w:spacing w:after="0" w:line="215" w:lineRule="exact"/>
              <w:rPr>
                <w:sz w:val="20"/>
                <w:szCs w:val="20"/>
                <w:color w:val="auto"/>
              </w:rPr>
            </w:pPr>
            <w:r>
              <w:rPr>
                <w:rFonts w:ascii="Calibri" w:cs="Calibri" w:eastAsia="Calibri" w:hAnsi="Calibri"/>
                <w:sz w:val="18"/>
                <w:szCs w:val="18"/>
                <w:color w:val="auto"/>
              </w:rPr>
              <w:t>$</w:t>
            </w:r>
          </w:p>
        </w:tc>
        <w:tc>
          <w:tcPr>
            <w:tcW w:w="17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w w:val="87"/>
              </w:rPr>
              <w:t>$</w:t>
            </w:r>
          </w:p>
        </w:tc>
        <w:tc>
          <w:tcPr>
            <w:tcW w:w="1800" w:type="dxa"/>
            <w:vAlign w:val="bottom"/>
          </w:tcPr>
          <w:p>
            <w:pPr>
              <w:jc w:val="right"/>
              <w:spacing w:after="0" w:line="215" w:lineRule="exact"/>
              <w:rPr>
                <w:sz w:val="20"/>
                <w:szCs w:val="20"/>
                <w:color w:val="auto"/>
              </w:rPr>
            </w:pPr>
            <w:r>
              <w:rPr>
                <w:rFonts w:ascii="Calibri" w:cs="Calibri" w:eastAsia="Calibri" w:hAnsi="Calibri"/>
                <w:sz w:val="18"/>
                <w:szCs w:val="18"/>
                <w:color w:val="auto"/>
              </w:rPr>
              <w:t>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23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Finance</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8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Current porton of long-term debt</w:t>
            </w:r>
          </w:p>
        </w:tc>
        <w:tc>
          <w:tcPr>
            <w:tcW w:w="5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238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23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Operatng</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8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liabilites</w:t>
            </w:r>
          </w:p>
        </w:tc>
        <w:tc>
          <w:tcPr>
            <w:tcW w:w="5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84</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83</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2380" w:type="dxa"/>
            <w:vAlign w:val="bottom"/>
          </w:tcPr>
          <w:p>
            <w:pPr>
              <w:ind w:left="200"/>
              <w:spacing w:after="0"/>
              <w:rPr>
                <w:sz w:val="20"/>
                <w:szCs w:val="20"/>
                <w:color w:val="auto"/>
              </w:rPr>
            </w:pPr>
            <w:r>
              <w:rPr>
                <w:rFonts w:ascii="Calibri" w:cs="Calibri" w:eastAsia="Calibri" w:hAnsi="Calibri"/>
                <w:sz w:val="18"/>
                <w:szCs w:val="18"/>
                <w:color w:val="auto"/>
              </w:rPr>
              <w:t>Finance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Calibri" w:cs="Calibri" w:eastAsia="Calibri" w:hAnsi="Calibri"/>
                <w:sz w:val="18"/>
                <w:szCs w:val="18"/>
                <w:color w:val="auto"/>
              </w:rPr>
              <w:t>Long-term debt</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line="215" w:lineRule="exact"/>
              <w:rPr>
                <w:sz w:val="20"/>
                <w:szCs w:val="20"/>
                <w:color w:val="auto"/>
              </w:rPr>
            </w:pPr>
            <w:r>
              <w:rPr>
                <w:rFonts w:ascii="Calibri" w:cs="Calibri" w:eastAsia="Calibri" w:hAnsi="Calibri"/>
                <w:sz w:val="18"/>
                <w:szCs w:val="18"/>
                <w:color w:val="auto"/>
              </w:rPr>
              <w:t>26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23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Total lease liabilites</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8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gridSpan w:val="4"/>
            <w:shd w:val="clear" w:color="auto" w:fill="CFF0FC"/>
          </w:tcPr>
          <w:p>
            <w:pPr>
              <w:spacing w:after="0"/>
              <w:rPr>
                <w:sz w:val="24"/>
                <w:szCs w:val="24"/>
                <w:color w:val="auto"/>
              </w:rPr>
            </w:pPr>
          </w:p>
        </w:tc>
        <w:tc>
          <w:tcPr>
            <w:tcW w:w="320" w:type="dxa"/>
            <w:vAlign w:val="bottom"/>
            <w:tcBorders>
              <w:bottom w:val="single" w:sz="8" w:color="auto"/>
            </w:tcBorders>
            <w:gridSpan w:val="2"/>
            <w:shd w:val="clear" w:color="auto" w:fill="CFF0FC"/>
          </w:tcPr>
          <w:p>
            <w:pPr>
              <w:jc w:val="right"/>
              <w:ind w:right="148"/>
              <w:spacing w:after="0" w:line="215" w:lineRule="exact"/>
              <w:rPr>
                <w:sz w:val="20"/>
                <w:szCs w:val="20"/>
                <w:color w:val="auto"/>
              </w:rPr>
            </w:pPr>
            <w:r>
              <w:rPr>
                <w:rFonts w:ascii="Calibri" w:cs="Calibri" w:eastAsia="Calibri" w:hAnsi="Calibri"/>
                <w:sz w:val="18"/>
                <w:szCs w:val="18"/>
                <w:color w:val="auto"/>
                <w:w w:val="87"/>
              </w:rPr>
              <w:t>$</w:t>
            </w:r>
          </w:p>
        </w:tc>
        <w:tc>
          <w:tcPr>
            <w:tcW w:w="1780" w:type="dxa"/>
            <w:vAlign w:val="bottom"/>
            <w:tcBorders>
              <w:bottom w:val="single" w:sz="8" w:color="auto"/>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127</w:t>
            </w: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w w:val="87"/>
              </w:rPr>
              <w:t>$</w:t>
            </w:r>
          </w:p>
        </w:tc>
        <w:tc>
          <w:tcPr>
            <w:tcW w:w="18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126</w:t>
            </w:r>
          </w:p>
        </w:tc>
        <w:tc>
          <w:tcPr>
            <w:tcW w:w="100" w:type="dxa"/>
            <w:vAlign w:val="bottom"/>
            <w:tcBorders>
              <w:bottom w:val="single" w:sz="8" w:color="CFF0FC"/>
            </w:tcBorders>
            <w:shd w:val="clear" w:color="auto" w:fill="CFF0FC"/>
          </w:tcPr>
          <w:p>
            <w:pPr>
              <w:spacing w:after="0"/>
              <w:rPr>
                <w:sz w:val="24"/>
                <w:szCs w:val="24"/>
                <w:color w:val="auto"/>
              </w:rPr>
            </w:pPr>
          </w:p>
        </w:tc>
        <w:tc>
          <w:tcPr>
            <w:tcW w:w="40" w:type="dxa"/>
            <w:vAlign w:val="bottom"/>
          </w:tcPr>
          <w:p>
            <w:pPr>
              <w:spacing w:after="0"/>
              <w:rPr>
                <w:sz w:val="24"/>
                <w:szCs w:val="24"/>
                <w:color w:val="auto"/>
              </w:rPr>
            </w:pPr>
          </w:p>
        </w:tc>
      </w:tr>
      <w:tr>
        <w:trPr>
          <w:trHeight w:val="457"/>
        </w:trPr>
        <w:tc>
          <w:tcPr>
            <w:tcW w:w="9040" w:type="dxa"/>
            <w:vAlign w:val="bottom"/>
            <w:gridSpan w:val="15"/>
          </w:tcPr>
          <w:p>
            <w:pPr>
              <w:ind w:left="480"/>
              <w:spacing w:after="0"/>
              <w:rPr>
                <w:sz w:val="20"/>
                <w:szCs w:val="20"/>
                <w:color w:val="auto"/>
              </w:rPr>
            </w:pPr>
            <w:r>
              <w:rPr>
                <w:rFonts w:ascii="Calibri" w:cs="Calibri" w:eastAsia="Calibri" w:hAnsi="Calibri"/>
                <w:sz w:val="18"/>
                <w:szCs w:val="18"/>
                <w:color w:val="212529"/>
                <w:w w:val="98"/>
              </w:rPr>
              <w:t>The following table presents the weighted-average remaining lease term and discount rates for the Company’s leases: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tcPr>
          <w:p>
            <w:pPr>
              <w:ind w:left="20"/>
              <w:spacing w:after="0"/>
              <w:rPr>
                <w:sz w:val="20"/>
                <w:szCs w:val="20"/>
                <w:color w:val="auto"/>
              </w:rPr>
            </w:pPr>
            <w:r>
              <w:rPr>
                <w:rFonts w:ascii="Calibri" w:cs="Calibri" w:eastAsia="Calibri" w:hAnsi="Calibri"/>
                <w:sz w:val="14"/>
                <w:szCs w:val="14"/>
                <w:b w:val="1"/>
                <w:bCs w:val="1"/>
                <w:color w:val="auto"/>
              </w:rPr>
              <w:t>Descripton</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6"/>
          </w:tcPr>
          <w:p>
            <w:pPr>
              <w:ind w:left="80"/>
              <w:spacing w:after="0"/>
              <w:rPr>
                <w:sz w:val="20"/>
                <w:szCs w:val="20"/>
                <w:color w:val="auto"/>
              </w:rPr>
            </w:pPr>
            <w:r>
              <w:rPr>
                <w:rFonts w:ascii="Calibri" w:cs="Calibri" w:eastAsia="Calibri" w:hAnsi="Calibri"/>
                <w:sz w:val="14"/>
                <w:szCs w:val="14"/>
                <w:b w:val="1"/>
                <w:bCs w:val="1"/>
                <w:color w:val="auto"/>
              </w:rPr>
              <w:t>September 30, 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right"/>
              <w:ind w:right="680"/>
              <w:spacing w:after="0"/>
              <w:rPr>
                <w:sz w:val="20"/>
                <w:szCs w:val="20"/>
                <w:color w:val="auto"/>
              </w:rPr>
            </w:pPr>
            <w:r>
              <w:rPr>
                <w:rFonts w:ascii="Calibri" w:cs="Calibri" w:eastAsia="Calibri" w:hAnsi="Calibri"/>
                <w:sz w:val="14"/>
                <w:szCs w:val="14"/>
                <w:b w:val="1"/>
                <w:bCs w:val="1"/>
                <w:color w:val="auto"/>
              </w:rPr>
              <w:t>September 30, 2022</w:t>
            </w:r>
          </w:p>
        </w:tc>
      </w:tr>
      <w:tr>
        <w:trPr>
          <w:trHeight w:val="33"/>
        </w:trPr>
        <w:tc>
          <w:tcPr>
            <w:tcW w:w="552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520" w:type="dxa"/>
            <w:vAlign w:val="bottom"/>
            <w:tcBorders>
              <w:bottom w:val="single" w:sz="8" w:color="CFF0FC"/>
            </w:tcBorders>
            <w:gridSpan w:val="4"/>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Weighted-average remaining lease term (years):</w:t>
            </w:r>
          </w:p>
        </w:tc>
        <w:tc>
          <w:tcPr>
            <w:tcW w:w="5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2380" w:type="dxa"/>
            <w:vAlign w:val="bottom"/>
          </w:tcPr>
          <w:p>
            <w:pPr>
              <w:ind w:left="200"/>
              <w:spacing w:after="0" w:line="215" w:lineRule="exact"/>
              <w:rPr>
                <w:sz w:val="20"/>
                <w:szCs w:val="20"/>
                <w:color w:val="auto"/>
              </w:rPr>
            </w:pPr>
            <w:r>
              <w:rPr>
                <w:rFonts w:ascii="Calibri" w:cs="Calibri" w:eastAsia="Calibri" w:hAnsi="Calibri"/>
                <w:sz w:val="18"/>
                <w:szCs w:val="18"/>
                <w:color w:val="auto"/>
              </w:rPr>
              <w:t>Operatng leases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line="215" w:lineRule="exact"/>
              <w:rPr>
                <w:sz w:val="20"/>
                <w:szCs w:val="20"/>
                <w:color w:val="auto"/>
              </w:rPr>
            </w:pPr>
            <w:r>
              <w:rPr>
                <w:rFonts w:ascii="Calibri" w:cs="Calibri" w:eastAsia="Calibri" w:hAnsi="Calibri"/>
                <w:sz w:val="18"/>
                <w:szCs w:val="18"/>
                <w:color w:val="auto"/>
              </w:rPr>
              <w:t>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238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Finance leases</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8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2380" w:type="dxa"/>
            <w:vAlign w:val="bottom"/>
          </w:tcPr>
          <w:p>
            <w:pPr>
              <w:ind w:left="20"/>
              <w:spacing w:after="0" w:line="215" w:lineRule="exact"/>
              <w:rPr>
                <w:sz w:val="20"/>
                <w:szCs w:val="20"/>
                <w:color w:val="auto"/>
              </w:rPr>
            </w:pPr>
            <w:r>
              <w:rPr>
                <w:rFonts w:ascii="Calibri" w:cs="Calibri" w:eastAsia="Calibri" w:hAnsi="Calibri"/>
                <w:sz w:val="18"/>
                <w:szCs w:val="18"/>
                <w:color w:val="auto"/>
                <w:w w:val="97"/>
              </w:rPr>
              <w:t>Weighted-average discount rate: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380" w:type="dxa"/>
            <w:vAlign w:val="bottom"/>
          </w:tcPr>
          <w:p>
            <w:pPr>
              <w:ind w:left="200"/>
              <w:spacing w:after="0"/>
              <w:rPr>
                <w:sz w:val="20"/>
                <w:szCs w:val="20"/>
                <w:color w:val="auto"/>
              </w:rPr>
            </w:pPr>
            <w:r>
              <w:rPr>
                <w:rFonts w:ascii="Calibri" w:cs="Calibri" w:eastAsia="Calibri" w:hAnsi="Calibri"/>
                <w:sz w:val="18"/>
                <w:szCs w:val="18"/>
                <w:color w:val="auto"/>
              </w:rPr>
              <w:t>Operatng leases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Calibri" w:cs="Calibri" w:eastAsia="Calibri" w:hAnsi="Calibri"/>
                <w:sz w:val="18"/>
                <w:szCs w:val="18"/>
                <w:color w:val="auto"/>
              </w:rPr>
              <w:t>3.28 %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Calibri" w:cs="Calibri" w:eastAsia="Calibri" w:hAnsi="Calibri"/>
                <w:sz w:val="18"/>
                <w:szCs w:val="18"/>
                <w:color w:val="auto"/>
              </w:rPr>
              <w:t>2.97 %</w:t>
            </w:r>
          </w:p>
        </w:tc>
      </w:tr>
      <w:tr>
        <w:trPr>
          <w:trHeight w:val="243"/>
        </w:trPr>
        <w:tc>
          <w:tcPr>
            <w:tcW w:w="2380" w:type="dxa"/>
            <w:vAlign w:val="bottom"/>
          </w:tcPr>
          <w:p>
            <w:pPr>
              <w:ind w:left="200"/>
              <w:spacing w:after="0"/>
              <w:rPr>
                <w:sz w:val="20"/>
                <w:szCs w:val="20"/>
                <w:color w:val="auto"/>
              </w:rPr>
            </w:pPr>
            <w:r>
              <w:rPr>
                <w:rFonts w:ascii="Calibri" w:cs="Calibri" w:eastAsia="Calibri" w:hAnsi="Calibri"/>
                <w:sz w:val="18"/>
                <w:szCs w:val="18"/>
                <w:color w:val="auto"/>
              </w:rPr>
              <w:t>Finance leases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gridSpan w:val="2"/>
          </w:tcPr>
          <w:p>
            <w:pPr>
              <w:jc w:val="right"/>
              <w:spacing w:after="0"/>
              <w:rPr>
                <w:sz w:val="20"/>
                <w:szCs w:val="20"/>
                <w:color w:val="auto"/>
              </w:rPr>
            </w:pPr>
            <w:r>
              <w:rPr>
                <w:rFonts w:ascii="Calibri" w:cs="Calibri" w:eastAsia="Calibri" w:hAnsi="Calibri"/>
                <w:sz w:val="18"/>
                <w:szCs w:val="18"/>
                <w:color w:val="auto"/>
              </w:rPr>
              <w:t>5.38 %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Calibri" w:cs="Calibri" w:eastAsia="Calibri" w:hAnsi="Calibri"/>
                <w:sz w:val="18"/>
                <w:szCs w:val="18"/>
                <w:color w:val="auto"/>
              </w:rPr>
              <w:t>5.40 %</w:t>
            </w:r>
          </w:p>
        </w:tc>
      </w:tr>
      <w:tr>
        <w:trPr>
          <w:trHeight w:val="311"/>
        </w:trPr>
        <w:tc>
          <w:tcPr>
            <w:tcW w:w="11280" w:type="dxa"/>
            <w:vAlign w:val="bottom"/>
            <w:gridSpan w:val="20"/>
          </w:tcPr>
          <w:p>
            <w:pPr>
              <w:ind w:left="520"/>
              <w:spacing w:after="0"/>
              <w:rPr>
                <w:sz w:val="20"/>
                <w:szCs w:val="20"/>
                <w:color w:val="auto"/>
              </w:rPr>
            </w:pPr>
            <w:r>
              <w:rPr>
                <w:rFonts w:ascii="Calibri" w:cs="Calibri" w:eastAsia="Calibri" w:hAnsi="Calibri"/>
                <w:sz w:val="18"/>
                <w:szCs w:val="18"/>
                <w:color w:val="auto"/>
              </w:rPr>
              <w:t>Future minimum lease payments under non-cancelable operatng and fnance leases as of September 30, 2023 were as follows:</w:t>
            </w:r>
          </w:p>
        </w:tc>
      </w:tr>
      <w:tr>
        <w:trPr>
          <w:trHeight w:val="489"/>
        </w:trPr>
        <w:tc>
          <w:tcPr>
            <w:tcW w:w="2380" w:type="dxa"/>
            <w:vAlign w:val="bottom"/>
          </w:tcPr>
          <w:p>
            <w:pPr>
              <w:spacing w:after="0"/>
              <w:rPr>
                <w:sz w:val="24"/>
                <w:szCs w:val="24"/>
                <w:color w:val="auto"/>
              </w:rPr>
            </w:pPr>
          </w:p>
        </w:tc>
        <w:tc>
          <w:tcPr>
            <w:tcW w:w="3140" w:type="dxa"/>
            <w:vAlign w:val="bottom"/>
            <w:gridSpan w:val="3"/>
          </w:tcPr>
          <w:p>
            <w:pPr>
              <w:ind w:left="60"/>
              <w:spacing w:after="0"/>
              <w:rPr>
                <w:sz w:val="20"/>
                <w:szCs w:val="20"/>
                <w:color w:val="auto"/>
              </w:rPr>
            </w:pPr>
            <w:r>
              <w:rPr>
                <w:rFonts w:ascii="Calibri" w:cs="Calibri" w:eastAsia="Calibri" w:hAnsi="Calibri"/>
                <w:sz w:val="14"/>
                <w:szCs w:val="14"/>
                <w:b w:val="1"/>
                <w:bCs w:val="1"/>
                <w:color w:val="auto"/>
              </w:rPr>
              <w:t>Years Ended September 30</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5"/>
          </w:tcPr>
          <w:p>
            <w:pPr>
              <w:ind w:left="280"/>
              <w:spacing w:after="0"/>
              <w:rPr>
                <w:sz w:val="20"/>
                <w:szCs w:val="20"/>
                <w:color w:val="auto"/>
              </w:rPr>
            </w:pPr>
            <w:r>
              <w:rPr>
                <w:rFonts w:ascii="Calibri" w:cs="Calibri" w:eastAsia="Calibri" w:hAnsi="Calibri"/>
                <w:sz w:val="14"/>
                <w:szCs w:val="14"/>
                <w:b w:val="1"/>
                <w:bCs w:val="1"/>
                <w:color w:val="auto"/>
              </w:rPr>
              <w:t>Operatng leases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3"/>
          </w:tcPr>
          <w:p>
            <w:pPr>
              <w:jc w:val="right"/>
              <w:ind w:right="720"/>
              <w:spacing w:after="0"/>
              <w:rPr>
                <w:sz w:val="20"/>
                <w:szCs w:val="20"/>
                <w:color w:val="auto"/>
              </w:rPr>
            </w:pPr>
            <w:r>
              <w:rPr>
                <w:rFonts w:ascii="Calibri" w:cs="Calibri" w:eastAsia="Calibri" w:hAnsi="Calibri"/>
                <w:sz w:val="14"/>
                <w:szCs w:val="14"/>
                <w:b w:val="1"/>
                <w:bCs w:val="1"/>
                <w:color w:val="auto"/>
              </w:rPr>
              <w:t>Finance leases</w:t>
            </w:r>
          </w:p>
        </w:tc>
      </w:tr>
      <w:tr>
        <w:trPr>
          <w:trHeight w:val="33"/>
        </w:trPr>
        <w:tc>
          <w:tcPr>
            <w:tcW w:w="2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360" w:type="dxa"/>
            <w:vAlign w:val="bottom"/>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3"/>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(In</w:t>
            </w:r>
          </w:p>
        </w:tc>
        <w:tc>
          <w:tcPr>
            <w:tcW w:w="580" w:type="dxa"/>
            <w:vAlign w:val="bottom"/>
            <w:gridSpan w:val="4"/>
          </w:tcPr>
          <w:p>
            <w:pPr>
              <w:jc w:val="right"/>
              <w:ind w:right="60"/>
              <w:spacing w:after="0" w:line="164" w:lineRule="exact"/>
              <w:rPr>
                <w:sz w:val="20"/>
                <w:szCs w:val="20"/>
                <w:color w:val="auto"/>
              </w:rPr>
            </w:pPr>
            <w:r>
              <w:rPr>
                <w:rFonts w:ascii="Calibri" w:cs="Calibri" w:eastAsia="Calibri" w:hAnsi="Calibri"/>
                <w:sz w:val="14"/>
                <w:szCs w:val="14"/>
                <w:b w:val="1"/>
                <w:bCs w:val="1"/>
                <w:color w:val="auto"/>
                <w:w w:val="99"/>
              </w:rPr>
              <w:t>millions)</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23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2024</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86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gridSpan w:val="6"/>
            <w:shd w:val="clear" w:color="auto" w:fill="CFF0FC"/>
          </w:tcPr>
          <w:p>
            <w:pPr>
              <w:jc w:val="right"/>
              <w:ind w:right="68"/>
              <w:spacing w:after="0" w:line="215" w:lineRule="exact"/>
              <w:rPr>
                <w:sz w:val="20"/>
                <w:szCs w:val="20"/>
                <w:color w:val="auto"/>
              </w:rPr>
            </w:pPr>
            <w:r>
              <w:rPr>
                <w:rFonts w:ascii="Calibri" w:cs="Calibri" w:eastAsia="Calibri" w:hAnsi="Calibri"/>
                <w:sz w:val="18"/>
                <w:szCs w:val="18"/>
                <w:color w:val="auto"/>
              </w:rPr>
              <w:t>$</w:t>
            </w:r>
          </w:p>
        </w:tc>
        <w:tc>
          <w:tcPr>
            <w:tcW w:w="1800" w:type="dxa"/>
            <w:vAlign w:val="bottom"/>
            <w:tcBorders>
              <w:bottom w:val="single" w:sz="8" w:color="CFF0FC"/>
            </w:tcBorders>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2380" w:type="dxa"/>
            <w:vAlign w:val="bottom"/>
          </w:tcPr>
          <w:p>
            <w:pPr>
              <w:ind w:left="20"/>
              <w:spacing w:after="0" w:line="215" w:lineRule="exact"/>
              <w:rPr>
                <w:sz w:val="20"/>
                <w:szCs w:val="20"/>
                <w:color w:val="auto"/>
              </w:rPr>
            </w:pPr>
            <w:r>
              <w:rPr>
                <w:rFonts w:ascii="Calibri" w:cs="Calibri" w:eastAsia="Calibri" w:hAnsi="Calibri"/>
                <w:sz w:val="18"/>
                <w:szCs w:val="18"/>
                <w:color w:val="auto"/>
              </w:rPr>
              <w:t>2025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23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2026</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8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2380" w:type="dxa"/>
            <w:vAlign w:val="bottom"/>
          </w:tcPr>
          <w:p>
            <w:pPr>
              <w:ind w:left="20"/>
              <w:spacing w:after="0" w:line="215" w:lineRule="exact"/>
              <w:rPr>
                <w:sz w:val="20"/>
                <w:szCs w:val="20"/>
                <w:color w:val="auto"/>
              </w:rPr>
            </w:pPr>
            <w:r>
              <w:rPr>
                <w:rFonts w:ascii="Calibri" w:cs="Calibri" w:eastAsia="Calibri" w:hAnsi="Calibri"/>
                <w:sz w:val="18"/>
                <w:szCs w:val="18"/>
                <w:color w:val="auto"/>
              </w:rPr>
              <w:t>2027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23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2028</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8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2380" w:type="dxa"/>
            <w:vAlign w:val="bottom"/>
          </w:tcPr>
          <w:p>
            <w:pPr>
              <w:ind w:left="20"/>
              <w:spacing w:after="0"/>
              <w:rPr>
                <w:sz w:val="20"/>
                <w:szCs w:val="20"/>
                <w:color w:val="auto"/>
              </w:rPr>
            </w:pPr>
            <w:r>
              <w:rPr>
                <w:rFonts w:ascii="Calibri" w:cs="Calibri" w:eastAsia="Calibri" w:hAnsi="Calibri"/>
                <w:sz w:val="18"/>
                <w:szCs w:val="18"/>
                <w:color w:val="auto"/>
              </w:rPr>
              <w:t>2029 and thereafer</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line="215" w:lineRule="exact"/>
              <w:rPr>
                <w:sz w:val="20"/>
                <w:szCs w:val="20"/>
                <w:color w:val="auto"/>
              </w:rPr>
            </w:pPr>
            <w:r>
              <w:rPr>
                <w:rFonts w:ascii="Calibri" w:cs="Calibri" w:eastAsia="Calibri" w:hAnsi="Calibri"/>
                <w:sz w:val="18"/>
                <w:szCs w:val="18"/>
                <w:color w:val="auto"/>
              </w:rPr>
              <w:t>15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38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lease payments</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CFF0FC"/>
            </w:tcBorders>
            <w:gridSpan w:val="3"/>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120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34</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2380" w:type="dxa"/>
            <w:vAlign w:val="bottom"/>
          </w:tcPr>
          <w:p>
            <w:pPr>
              <w:ind w:left="20"/>
              <w:spacing w:after="0"/>
              <w:rPr>
                <w:sz w:val="20"/>
                <w:szCs w:val="20"/>
                <w:color w:val="auto"/>
              </w:rPr>
            </w:pPr>
            <w:r>
              <w:rPr>
                <w:rFonts w:ascii="Calibri" w:cs="Calibri" w:eastAsia="Calibri" w:hAnsi="Calibri"/>
                <w:sz w:val="18"/>
                <w:szCs w:val="18"/>
                <w:color w:val="auto"/>
              </w:rPr>
              <w:t>Less: imputed interest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28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6"/>
        </w:trPr>
        <w:tc>
          <w:tcPr>
            <w:tcW w:w="238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Total</w:t>
            </w:r>
          </w:p>
        </w:tc>
        <w:tc>
          <w:tcPr>
            <w:tcW w:w="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2860" w:type="dxa"/>
            <w:vAlign w:val="bottom"/>
            <w:shd w:val="clear" w:color="auto" w:fill="CFF0FC"/>
          </w:tcPr>
          <w:p>
            <w:pPr>
              <w:spacing w:after="0"/>
              <w:rPr>
                <w:sz w:val="24"/>
                <w:szCs w:val="24"/>
                <w:color w:val="auto"/>
              </w:rPr>
            </w:pPr>
          </w:p>
        </w:tc>
        <w:tc>
          <w:tcPr>
            <w:tcW w:w="1440" w:type="dxa"/>
            <w:vAlign w:val="bottom"/>
            <w:gridSpan w:val="6"/>
            <w:shd w:val="clear" w:color="auto" w:fill="CFF0FC"/>
          </w:tcPr>
          <w:p>
            <w:pPr>
              <w:jc w:val="right"/>
              <w:ind w:right="68"/>
              <w:spacing w:after="0" w:line="215" w:lineRule="exact"/>
              <w:rPr>
                <w:sz w:val="20"/>
                <w:szCs w:val="20"/>
                <w:color w:val="auto"/>
              </w:rPr>
            </w:pPr>
            <w:r>
              <w:rPr>
                <w:rFonts w:ascii="Calibri" w:cs="Calibri" w:eastAsia="Calibri" w:hAnsi="Calibri"/>
                <w:sz w:val="18"/>
                <w:szCs w:val="18"/>
                <w:color w:val="auto"/>
              </w:rPr>
              <w:t>$</w:t>
            </w:r>
          </w:p>
        </w:tc>
        <w:tc>
          <w:tcPr>
            <w:tcW w:w="1800" w:type="dxa"/>
            <w:vAlign w:val="bottom"/>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99</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30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8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w:t>
            </w:r>
          </w:p>
        </w:tc>
        <w:tc>
          <w:tcPr>
            <w:tcW w:w="100" w:type="dxa"/>
            <w:vAlign w:val="bottom"/>
            <w:shd w:val="clear" w:color="auto" w:fill="CFF0FC"/>
          </w:tcPr>
          <w:p>
            <w:pPr>
              <w:spacing w:after="0"/>
              <w:rPr>
                <w:sz w:val="24"/>
                <w:szCs w:val="24"/>
                <w:color w:val="auto"/>
              </w:rPr>
            </w:pPr>
          </w:p>
        </w:tc>
        <w:tc>
          <w:tcPr>
            <w:tcW w:w="40" w:type="dxa"/>
            <w:vAlign w:val="bottom"/>
          </w:tcPr>
          <w:p>
            <w:pPr>
              <w:spacing w:after="0"/>
              <w:rPr>
                <w:sz w:val="24"/>
                <w:szCs w:val="24"/>
                <w:color w:val="auto"/>
              </w:rPr>
            </w:pPr>
          </w:p>
        </w:tc>
      </w:tr>
      <w:tr>
        <w:trPr>
          <w:trHeight w:val="605"/>
        </w:trPr>
        <w:tc>
          <w:tcPr>
            <w:tcW w:w="238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860" w:type="dxa"/>
            <w:vAlign w:val="bottom"/>
            <w:tcBorders>
              <w:top w:val="single" w:sz="8" w:color="CFF0FC"/>
            </w:tcBorders>
          </w:tcPr>
          <w:p>
            <w:pPr>
              <w:spacing w:after="0"/>
              <w:rPr>
                <w:sz w:val="24"/>
                <w:szCs w:val="24"/>
                <w:color w:val="auto"/>
              </w:rPr>
            </w:pPr>
          </w:p>
        </w:tc>
        <w:tc>
          <w:tcPr>
            <w:tcW w:w="500" w:type="dxa"/>
            <w:vAlign w:val="bottom"/>
            <w:tcBorders>
              <w:top w:val="single" w:sz="8" w:color="CFF0FC"/>
            </w:tcBorders>
          </w:tcPr>
          <w:p>
            <w:pPr>
              <w:jc w:val="right"/>
              <w:ind w:right="210"/>
              <w:spacing w:after="0"/>
              <w:rPr>
                <w:sz w:val="20"/>
                <w:szCs w:val="20"/>
                <w:color w:val="auto"/>
              </w:rPr>
            </w:pPr>
            <w:r>
              <w:rPr>
                <w:rFonts w:ascii="Calibri" w:cs="Calibri" w:eastAsia="Calibri" w:hAnsi="Calibri"/>
                <w:sz w:val="18"/>
                <w:szCs w:val="18"/>
                <w:color w:val="auto"/>
                <w:w w:val="98"/>
              </w:rPr>
              <w:t>71</w:t>
            </w: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 w:type="dxa"/>
            <w:vAlign w:val="bottom"/>
          </w:tcPr>
          <w:p>
            <w:pPr>
              <w:spacing w:after="0"/>
              <w:rPr>
                <w:sz w:val="24"/>
                <w:szCs w:val="24"/>
                <w:color w:val="auto"/>
              </w:rPr>
            </w:pPr>
          </w:p>
        </w:tc>
      </w:tr>
      <w:tr>
        <w:trPr>
          <w:trHeight w:val="139"/>
        </w:trPr>
        <w:tc>
          <w:tcPr>
            <w:tcW w:w="23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8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8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-5562600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-5562600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-3977005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-3959860</wp:posOffset>
            </wp:positionV>
            <wp:extent cx="685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15430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-521970</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-504825</wp:posOffset>
            </wp:positionV>
            <wp:extent cx="685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409" w:right="299" w:bottom="1440" w:gutter="0" w:footer="0" w:header="0"/>
        </w:sectPr>
      </w:pPr>
    </w:p>
    <w:bookmarkStart w:id="71" w:name="page72"/>
    <w:bookmarkEnd w:id="71"/>
    <w:p>
      <w:pPr>
        <w:spacing w:after="0"/>
        <w:rPr>
          <w:sz w:val="20"/>
          <w:szCs w:val="20"/>
          <w:color w:val="auto"/>
        </w:rPr>
      </w:pPr>
      <w:r>
        <w:rPr>
          <w:rFonts w:ascii="Calibri" w:cs="Calibri" w:eastAsia="Calibri" w:hAnsi="Calibri"/>
          <w:sz w:val="18"/>
          <w:szCs w:val="18"/>
          <w:b w:val="1"/>
          <w:bCs w:val="1"/>
          <w:color w:val="auto"/>
        </w:rPr>
        <w:t>Note S. Commitments and Contngencies</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Other Long-Term Commitments</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Cabot has entered into long-term purchase agreements primarily for the purchase of raw materials. Under certain of these agreements, the quantty of material being purchased is fxed, but the price paid changes as market prices change. Raw materials purchased under these agreements were $370 million, $512 million and $405 million during fscal 2023, 2022 and 2021, respectvely. Included in those raw materials purchased are purchases from noncontrolling shareholders of consolidated subsidiaries of $192 million, $235 million and $135 million during fscal 2023, 2022 and 2021, respectvely. Accounts payable and accrued liabilites owed to noncontrolling shareholders as of September 30, 2023 and 2022, were $11 million and $31 million, respectvely.</w:t>
      </w:r>
    </w:p>
    <w:p>
      <w:pPr>
        <w:spacing w:after="0" w:line="86"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For these purchase commitments, the amounts included in the table below are based on market prices as of September 30, 2023 which may difer from actual market prices at the tme of purchase.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6"/>
          </w:tcPr>
          <w:p>
            <w:pPr>
              <w:jc w:val="right"/>
              <w:spacing w:after="0"/>
              <w:rPr>
                <w:sz w:val="20"/>
                <w:szCs w:val="20"/>
                <w:color w:val="auto"/>
              </w:rPr>
            </w:pPr>
            <w:r>
              <w:rPr>
                <w:rFonts w:ascii="Calibri" w:cs="Calibri" w:eastAsia="Calibri" w:hAnsi="Calibri"/>
                <w:sz w:val="14"/>
                <w:szCs w:val="14"/>
                <w:b w:val="1"/>
                <w:bCs w:val="1"/>
                <w:color w:val="auto"/>
              </w:rPr>
              <w:t>Payments Due by Fiscal Year</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163"/>
        </w:trPr>
        <w:tc>
          <w:tcPr>
            <w:tcW w:w="43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175"/>
              <w:spacing w:after="0" w:line="164" w:lineRule="exact"/>
              <w:rPr>
                <w:sz w:val="20"/>
                <w:szCs w:val="20"/>
                <w:color w:val="auto"/>
              </w:rPr>
            </w:pPr>
            <w:r>
              <w:rPr>
                <w:rFonts w:ascii="Calibri" w:cs="Calibri" w:eastAsia="Calibri" w:hAnsi="Calibri"/>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175"/>
              <w:spacing w:after="0" w:line="164" w:lineRule="exact"/>
              <w:rPr>
                <w:sz w:val="20"/>
                <w:szCs w:val="20"/>
                <w:color w:val="auto"/>
              </w:rPr>
            </w:pPr>
            <w:r>
              <w:rPr>
                <w:rFonts w:ascii="Calibri" w:cs="Calibri" w:eastAsia="Calibri" w:hAnsi="Calibri"/>
                <w:sz w:val="14"/>
                <w:szCs w:val="14"/>
                <w:b w:val="1"/>
                <w:bCs w:val="1"/>
                <w:color w:val="auto"/>
              </w:rPr>
              <w:t>2025</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37"/>
              <w:spacing w:after="0" w:line="164" w:lineRule="exact"/>
              <w:rPr>
                <w:sz w:val="20"/>
                <w:szCs w:val="20"/>
                <w:color w:val="auto"/>
              </w:rPr>
            </w:pPr>
            <w:r>
              <w:rPr>
                <w:rFonts w:ascii="Calibri" w:cs="Calibri" w:eastAsia="Calibri" w:hAnsi="Calibri"/>
                <w:sz w:val="14"/>
                <w:szCs w:val="14"/>
                <w:b w:val="1"/>
                <w:bCs w:val="1"/>
                <w:color w:val="auto"/>
              </w:rPr>
              <w:t>2026</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55"/>
              <w:spacing w:after="0" w:line="164" w:lineRule="exact"/>
              <w:rPr>
                <w:sz w:val="20"/>
                <w:szCs w:val="20"/>
                <w:color w:val="auto"/>
              </w:rPr>
            </w:pPr>
            <w:r>
              <w:rPr>
                <w:rFonts w:ascii="Calibri" w:cs="Calibri" w:eastAsia="Calibri" w:hAnsi="Calibri"/>
                <w:sz w:val="14"/>
                <w:szCs w:val="14"/>
                <w:b w:val="1"/>
                <w:bCs w:val="1"/>
                <w:color w:val="auto"/>
              </w:rPr>
              <w:t>2027</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55"/>
              <w:spacing w:after="0" w:line="164" w:lineRule="exact"/>
              <w:rPr>
                <w:sz w:val="20"/>
                <w:szCs w:val="20"/>
                <w:color w:val="auto"/>
              </w:rPr>
            </w:pPr>
            <w:r>
              <w:rPr>
                <w:rFonts w:ascii="Calibri" w:cs="Calibri" w:eastAsia="Calibri" w:hAnsi="Calibri"/>
                <w:sz w:val="14"/>
                <w:szCs w:val="14"/>
                <w:b w:val="1"/>
                <w:bCs w:val="1"/>
                <w:color w:val="auto"/>
              </w:rPr>
              <w:t>2028</w:t>
            </w: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spacing w:after="0" w:line="164" w:lineRule="exact"/>
              <w:rPr>
                <w:sz w:val="20"/>
                <w:szCs w:val="20"/>
                <w:color w:val="auto"/>
              </w:rPr>
            </w:pPr>
            <w:r>
              <w:rPr>
                <w:rFonts w:ascii="Calibri" w:cs="Calibri" w:eastAsia="Calibri" w:hAnsi="Calibri"/>
                <w:sz w:val="14"/>
                <w:szCs w:val="14"/>
                <w:b w:val="1"/>
                <w:bCs w:val="1"/>
                <w:color w:val="auto"/>
              </w:rPr>
              <w:t>Thereafer</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55"/>
              <w:spacing w:after="0" w:line="164" w:lineRule="exact"/>
              <w:rPr>
                <w:sz w:val="20"/>
                <w:szCs w:val="20"/>
                <w:color w:val="auto"/>
              </w:rPr>
            </w:pPr>
            <w:r>
              <w:rPr>
                <w:rFonts w:ascii="Calibri" w:cs="Calibri" w:eastAsia="Calibri" w:hAnsi="Calibri"/>
                <w:sz w:val="14"/>
                <w:szCs w:val="14"/>
                <w:b w:val="1"/>
                <w:bCs w:val="1"/>
                <w:color w:val="auto"/>
              </w:rPr>
              <w:t>Total</w:t>
            </w:r>
          </w:p>
        </w:tc>
        <w:tc>
          <w:tcPr>
            <w:tcW w:w="100" w:type="dxa"/>
            <w:vAlign w:val="bottom"/>
          </w:tcPr>
          <w:p>
            <w:pPr>
              <w:spacing w:after="0"/>
              <w:rPr>
                <w:sz w:val="14"/>
                <w:szCs w:val="14"/>
                <w:color w:val="auto"/>
              </w:rPr>
            </w:pPr>
          </w:p>
        </w:tc>
      </w:tr>
      <w:tr>
        <w:trPr>
          <w:trHeight w:val="33"/>
        </w:trPr>
        <w:tc>
          <w:tcPr>
            <w:tcW w:w="4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spacing w:after="0" w:line="164" w:lineRule="exact"/>
              <w:rPr>
                <w:sz w:val="20"/>
                <w:szCs w:val="20"/>
                <w:color w:val="auto"/>
              </w:rPr>
            </w:pPr>
            <w:r>
              <w:rPr>
                <w:rFonts w:ascii="Calibri" w:cs="Calibri" w:eastAsia="Calibri" w:hAnsi="Calibri"/>
                <w:sz w:val="14"/>
                <w:szCs w:val="14"/>
                <w:b w:val="1"/>
                <w:bCs w:val="1"/>
                <w:color w:val="auto"/>
              </w:rPr>
              <w:t>(In millions)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3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Reinforcement Materials</w:t>
            </w:r>
          </w:p>
        </w:tc>
        <w:tc>
          <w:tcPr>
            <w:tcW w:w="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208</w:t>
            </w:r>
          </w:p>
        </w:tc>
        <w:tc>
          <w:tcPr>
            <w:tcW w:w="4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185</w:t>
            </w:r>
          </w:p>
        </w:tc>
        <w:tc>
          <w:tcPr>
            <w:tcW w:w="4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181</w:t>
            </w:r>
          </w:p>
        </w:tc>
        <w:tc>
          <w:tcPr>
            <w:tcW w:w="400" w:type="dxa"/>
            <w:vAlign w:val="bottom"/>
            <w:tcBorders>
              <w:bottom w:val="single" w:sz="8" w:color="CFF0FC"/>
            </w:tcBorders>
            <w:gridSpan w:val="2"/>
            <w:shd w:val="clear" w:color="auto" w:fill="CFF0FC"/>
          </w:tcPr>
          <w:p>
            <w:pPr>
              <w:ind w:left="240"/>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161</w:t>
            </w:r>
          </w:p>
        </w:tc>
        <w:tc>
          <w:tcPr>
            <w:tcW w:w="420" w:type="dxa"/>
            <w:vAlign w:val="bottom"/>
            <w:tcBorders>
              <w:bottom w:val="single" w:sz="8" w:color="CFF0FC"/>
            </w:tcBorders>
            <w:gridSpan w:val="2"/>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101</w:t>
            </w:r>
          </w:p>
        </w:tc>
        <w:tc>
          <w:tcPr>
            <w:tcW w:w="440" w:type="dxa"/>
            <w:vAlign w:val="bottom"/>
            <w:tcBorders>
              <w:bottom w:val="single" w:sz="8" w:color="CFF0FC"/>
            </w:tcBorders>
            <w:gridSpan w:val="2"/>
            <w:shd w:val="clear" w:color="auto" w:fill="CFF0FC"/>
          </w:tcPr>
          <w:p>
            <w:pPr>
              <w:jc w:val="right"/>
              <w:ind w:right="39"/>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1,266</w:t>
            </w:r>
          </w:p>
        </w:tc>
        <w:tc>
          <w:tcPr>
            <w:tcW w:w="4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2,102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9"/>
        </w:trPr>
        <w:tc>
          <w:tcPr>
            <w:tcW w:w="4340" w:type="dxa"/>
            <w:vAlign w:val="bottom"/>
          </w:tcPr>
          <w:p>
            <w:pPr>
              <w:ind w:left="20"/>
              <w:spacing w:after="0"/>
              <w:rPr>
                <w:sz w:val="20"/>
                <w:szCs w:val="20"/>
                <w:color w:val="auto"/>
              </w:rPr>
            </w:pPr>
            <w:r>
              <w:rPr>
                <w:rFonts w:ascii="Calibri" w:cs="Calibri" w:eastAsia="Calibri" w:hAnsi="Calibri"/>
                <w:sz w:val="18"/>
                <w:szCs w:val="18"/>
                <w:color w:val="auto"/>
              </w:rPr>
              <w:t>Performance Chemicals</w:t>
            </w:r>
          </w:p>
        </w:tc>
        <w:tc>
          <w:tcPr>
            <w:tcW w:w="180" w:type="dxa"/>
            <w:vAlign w:val="bottom"/>
          </w:tcPr>
          <w:p>
            <w:pPr>
              <w:spacing w:after="0"/>
              <w:rPr>
                <w:sz w:val="19"/>
                <w:szCs w:val="19"/>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36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36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211</w:t>
            </w:r>
          </w:p>
        </w:tc>
        <w:tc>
          <w:tcPr>
            <w:tcW w:w="4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383</w:t>
            </w:r>
          </w:p>
        </w:tc>
        <w:tc>
          <w:tcPr>
            <w:tcW w:w="100" w:type="dxa"/>
            <w:vAlign w:val="bottom"/>
          </w:tcPr>
          <w:p>
            <w:pPr>
              <w:spacing w:after="0"/>
              <w:rPr>
                <w:sz w:val="19"/>
                <w:szCs w:val="19"/>
                <w:color w:val="auto"/>
              </w:rPr>
            </w:pPr>
          </w:p>
        </w:tc>
      </w:tr>
      <w:tr>
        <w:trPr>
          <w:trHeight w:val="23"/>
        </w:trPr>
        <w:tc>
          <w:tcPr>
            <w:tcW w:w="4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43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Total</w:t>
            </w:r>
          </w:p>
        </w:tc>
        <w:tc>
          <w:tcPr>
            <w:tcW w:w="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249</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223</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5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217</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197</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122</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9"/>
              <w:spacing w:after="0" w:line="215" w:lineRule="exact"/>
              <w:rPr>
                <w:sz w:val="20"/>
                <w:szCs w:val="20"/>
                <w:color w:val="auto"/>
              </w:rPr>
            </w:pPr>
            <w:r>
              <w:rPr>
                <w:rFonts w:ascii="Calibri" w:cs="Calibri" w:eastAsia="Calibri" w:hAnsi="Calibri"/>
                <w:sz w:val="18"/>
                <w:szCs w:val="18"/>
                <w:color w:val="auto"/>
                <w:w w:val="87"/>
              </w:rPr>
              <w:t>$</w:t>
            </w:r>
          </w:p>
        </w:tc>
        <w:tc>
          <w:tcPr>
            <w:tcW w:w="5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1,477</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-25400</wp:posOffset>
            </wp:positionV>
            <wp:extent cx="7747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-7620</wp:posOffset>
            </wp:positionV>
            <wp:extent cx="774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-25400</wp:posOffset>
            </wp:positionV>
            <wp:extent cx="768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768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-25400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-25400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-25400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 w:lineRule="exact"/>
        <w:rPr>
          <w:sz w:val="20"/>
          <w:szCs w:val="20"/>
          <w:color w:val="auto"/>
        </w:rPr>
      </w:pPr>
    </w:p>
    <w:p>
      <w:pPr>
        <w:jc w:val="both"/>
        <w:ind w:right="20" w:firstLine="255"/>
        <w:spacing w:after="0" w:line="235" w:lineRule="auto"/>
        <w:rPr>
          <w:sz w:val="20"/>
          <w:szCs w:val="20"/>
          <w:color w:val="auto"/>
        </w:rPr>
      </w:pPr>
      <w:r>
        <w:rPr>
          <w:rFonts w:ascii="Calibri" w:cs="Calibri" w:eastAsia="Calibri" w:hAnsi="Calibri"/>
          <w:sz w:val="18"/>
          <w:szCs w:val="18"/>
          <w:color w:val="auto"/>
        </w:rPr>
        <w:t>The Company has also entered into long-term purchase agreements primarily for services related to informaton technology, which are not included in the table above, that total $19 million as of September 30, 2023, the majority of which is expected to be paid within the next 5 years.</w:t>
      </w:r>
    </w:p>
    <w:p>
      <w:pPr>
        <w:spacing w:after="0" w:line="78"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Guarantee Agreements</w:t>
      </w:r>
    </w:p>
    <w:p>
      <w:pPr>
        <w:spacing w:after="0" w:line="82"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Cabot has provided certain indemnites pursuant to which it may be required to make payments to an indemnifed party in connecton with certain transactons and agreements. In connecton with certain acquisitons and divesttures, Cabot has provided routne indemnites with respect to such maters as environmental, tax, insurance, product and employee liabilites. In connecton with various other agreements, including service and supply agreements with customers, Cabot has provided indemnites for certain contngencies and routne warrantes. Cabot is unable to estmate the maximum potental liability for these types of indemnites as a maximum obligaton is not explicitly stated in most cases and the amounts, if any, are dependent upon the outcome of future contngent events, the nature and likelihood of which cannot be reasonably estmated. The duraton of the indemnites vary, and in many cases are indefnite. Cabot has not recorded any liability for these indemnites in the consolidated fnancial statements, except as otherwise disclosed.</w:t>
      </w:r>
    </w:p>
    <w:p>
      <w:pPr>
        <w:spacing w:after="0" w:line="6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Self-Insurance and Retenton for Certain Contngencies</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Company is partally self-insured for certain third-party liabilites globally, as well as workers’ compensaton and employee medical benefts in the United States. The third-party and workers’ compensaton liabilites are managed through a wholly-owned insurance captve and the related liabilites are included in the consolidated fnancial statements. The employee medical obligatons are managed by a third-party provider and the related liabilites are included in the consolidated fnancial statements. To limit Cabot’s potental liabilites for these risks, however, the Company purchases insurance from third partes that provides stop-loss protecton. The self-insured liability in fscal 2023 for third-party liabilites was $500,000 per accident for auto, $2 million per occurrence for all other, $1 million per accident for U.S. workers’ compensaton, and the retenton for medical costs in the United States is at most $275,000 per person per annum.</w:t>
      </w:r>
    </w:p>
    <w:p>
      <w:pPr>
        <w:spacing w:after="0" w:line="82"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Contngencies</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Cabot is a defendant, or potentally responsible party, in various lawsuits and environmental proceedings wherein substantal amounts are claimed or at issue.</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Environmental Maters</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As of September 30, 2023 and 2022, Cabot had $5 million and $4 million, respectvely, reserved for environmental maters, which is included in Accounts payable and accrued liabilites and Other liabilites in the Consolidated Balance sheets. These environmental maters mainly relate to former operatons. The Company’s reserves for environmental maters represent Cabot’s best estmates of the probable costs to be incurred at those sites where costs are reasonably estmable based on the Company’s analysis of the extent of clean up required, alternatve clean-up methods available, abilites of other responsible partes to contribute and its interpretaton of laws and regulatons applicable to each site. Cabot reviews the adequacy of the reserves as circumstances change at individual sites and adjusts the reserves as appropriate. Almost all of Cabot’s environmental issues relate to sites that are mature and have been investgated and studied and, in many cases, are subject to agreed upon remediaton plans. However, depending on the results of future testng, changes in risk assessment practces, remediaton techniques and regulatory</w:t>
      </w:r>
    </w:p>
    <w:p>
      <w:pPr>
        <w:spacing w:after="0" w:line="21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2" w:name="page73"/>
    <w:bookmarkEnd w:id="72"/>
    <w:p>
      <w:pPr>
        <w:ind w:right="340"/>
        <w:spacing w:after="0" w:line="235" w:lineRule="auto"/>
        <w:rPr>
          <w:sz w:val="20"/>
          <w:szCs w:val="20"/>
          <w:color w:val="auto"/>
        </w:rPr>
      </w:pPr>
      <w:r>
        <w:rPr>
          <w:rFonts w:ascii="Calibri" w:cs="Calibri" w:eastAsia="Calibri" w:hAnsi="Calibri"/>
          <w:sz w:val="18"/>
          <w:szCs w:val="18"/>
          <w:color w:val="auto"/>
        </w:rPr>
        <w:t>requirements, newly discovered conditons, and other factors, it is reasonably possible that the Company could incur additonal costs in excess of environmental reserves currently recorded. Management estmates, based on the latest available informaton, that any such future environmental remediaton costs that are reasonably possible to be in excess of amounts already recorded would be immaterial to the Company’s consolidated fnancial statements.</w:t>
      </w:r>
    </w:p>
    <w:p>
      <w:pPr>
        <w:spacing w:after="0" w:line="84" w:lineRule="exact"/>
        <w:rPr>
          <w:sz w:val="20"/>
          <w:szCs w:val="20"/>
          <w:color w:val="auto"/>
        </w:rPr>
      </w:pPr>
    </w:p>
    <w:p>
      <w:pPr>
        <w:jc w:val="both"/>
        <w:ind w:right="80" w:firstLine="509"/>
        <w:spacing w:after="0" w:line="254" w:lineRule="auto"/>
        <w:rPr>
          <w:sz w:val="20"/>
          <w:szCs w:val="20"/>
          <w:color w:val="auto"/>
        </w:rPr>
      </w:pPr>
      <w:r>
        <w:rPr>
          <w:rFonts w:ascii="Calibri" w:cs="Calibri" w:eastAsia="Calibri" w:hAnsi="Calibri"/>
          <w:sz w:val="17"/>
          <w:szCs w:val="17"/>
          <w:color w:val="auto"/>
        </w:rPr>
        <w:t>Charges for environmental expense were $1 million in both fscal 2023 and fscal 2022, and less than $1 million in fscal 2021 and are included in Cost of sales in the Consolidated Statements of Operatons. Cash payments related to these environmental maters were $1 million in fscal 2023 and $2 million in both fscal 2022 and fscal 2021. The Company antcipates that expenditures related to these environmental maters will be made over a number of years.</w:t>
      </w:r>
    </w:p>
    <w:p>
      <w:pPr>
        <w:spacing w:after="0" w:line="6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operaton and maintenance component of the reserve for environmental maters was $3 million at both September 30, 2023 and 2022.</w:t>
      </w:r>
    </w:p>
    <w:p>
      <w:pPr>
        <w:spacing w:after="0" w:line="82" w:lineRule="exact"/>
        <w:rPr>
          <w:sz w:val="20"/>
          <w:szCs w:val="20"/>
          <w:color w:val="auto"/>
        </w:rPr>
      </w:pPr>
    </w:p>
    <w:p>
      <w:pPr>
        <w:ind w:right="60" w:firstLine="509"/>
        <w:spacing w:after="0" w:line="251" w:lineRule="auto"/>
        <w:rPr>
          <w:sz w:val="20"/>
          <w:szCs w:val="20"/>
          <w:color w:val="auto"/>
        </w:rPr>
      </w:pPr>
      <w:r>
        <w:rPr>
          <w:rFonts w:ascii="Calibri" w:cs="Calibri" w:eastAsia="Calibri" w:hAnsi="Calibri"/>
          <w:sz w:val="17"/>
          <w:szCs w:val="17"/>
          <w:color w:val="auto"/>
        </w:rPr>
        <w:t>In November 2013, Cabot entered into a Consent Decree with the EPA and the Louisiana Department of Environmental Quality (“LDEQ”) regarding Cabot’s three carbon black manufacturing facilites in the U.S. This setlement is related to EPA’s natonal enforcement initatve focused on the U.S. carbon black manufacturing sector alleging non-compliance with certain regulatory and permitng requirements under The Clean Air Act, including the New Source Review (“NSR”) constructon permitng requirements. Pursuant to this setlement, Cabot has installed technology controls for the reducton of sulfur dioxide and nitrogen oxide emissions at two of its plants and is in the process of installing these controls at the third plant. Cabot is currently in discussions with the EPA and LDEQ to extend its compliance date at the third plant to 2024 based upon force majeure events primarily related to the COVID-19 pandemic.</w:t>
      </w:r>
    </w:p>
    <w:p>
      <w:pPr>
        <w:spacing w:after="0" w:line="70"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Respirator Liabilites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Cabot has exposure in connecton with a safety respiratory products business that a subsidiary acquired from American Optcal Corporaton (“AO”) in an April 1990 asset purchase transacton. The subsidiary manufactured respirators under the AO brand and disposed of that business in July 1995. In connecton with its acquisiton of the business, the subsidiary agreed, in certain circumstances, to assume a porton of AO’s liabilites, including costs of legal fees together with amounts paid in setlements and judgments, allocable to AO respiratory products used prior to the 1990 purchase by the Cabot subsidiary. In exchange for the subsidiary’s assumpton of certain of AO’s respirator liabilites, AO agreed to provide to the subsidiary the benefts of: (i) AO’s insurance coverage for the period prior to the 1990 acquisiton and (ii) a former owner’s indemnity of AO holding it harmless from any liability allocable to AO respiratory products used prior to May 1982.</w:t>
      </w:r>
    </w:p>
    <w:p>
      <w:pPr>
        <w:spacing w:after="0" w:line="8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Generally, these respirator liabilites involve claims for personal injury, including asbestosis, silicosis and coal worker’s pneumoconiosis (“CWP”), allegedly resultng from the use of respirators that are alleged to have been negligently designed and/or labeled. At no tme did this respiratory product line represent a signifcant porton of the respirator market.</w:t>
      </w:r>
    </w:p>
    <w:p>
      <w:pPr>
        <w:spacing w:after="0" w:line="84"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The subsidiary transferred the business to Aearo Technologies (“Aearo”) in July 1995. Cabot agreed to have the subsidiary retain certain liabilites associated with exposure to asbestos and silica while using respirators prior to the 1995 transacton so long as Aearo paid, and contnues to pay, Cabot an annual fee of $400,000. Aearo can discontnue payment of the fee at any tme, in which case it will assume the responsibility for and indemnify Cabot against those liabilites which Cabot’s subsidiary had agreed to retain. The Company antcipates that it will contnue to receive payment of the $400,000 fee from Aearo and thereby retain these liabilites for the foreseeable future. Cabot has no liability in connecton with any products manufactured by Aearo afer 1995. Because of the difculty in determining when a partcular respirator was manufactured, Aearo and Cabot have applied the retenton of liabilites under the 1995 agreement to claims arising out of the alleged use of respirators involving exposure to asbestos, silica or silica products prior to January 1, 1997. On July 26, 2022, Aearo voluntarily fled for Chapter 11 bankruptcy protecton with the stated goal of establishing a trust, funded by Aearo and its parent 3M, to satsfy respirator and other unrelated claims related to earplug products determined to be enttled to compensaton. On June 9, 2023, the court dismissed Aearo’s bankruptcy case based on motons fled by various creditors in the case. Aearo appealed the decision but did not seek to stay the dismissal, which made the dismissal efectve immediately and ended the automatc bankruptcy stay. In August 2023, Aearo entered into a setlement agreement to resolve the unrelated earplug product claims. As a result of this setlement, Aearo’s appeals in the bankruptcy proceedings have been stayed.</w:t>
      </w:r>
    </w:p>
    <w:p>
      <w:pPr>
        <w:spacing w:after="0" w:line="79"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In additon to Cabot’s subsidiary and as described above, other partes are responsible for signifcant portons of the costs of respirator liabilites, leaving Cabot’s subsidiary with a porton of the liability in only some of the pending cases. These partes include Aearo, AO, AO’s insurers, another former owner and its insurers and a third-party manufacturer of respirators formerly sold under the AO brand and its insurers (collectvely, with the Company’s subsidiary, the “Payor Group”).</w:t>
      </w:r>
    </w:p>
    <w:p>
      <w:pPr>
        <w:spacing w:after="0" w:line="84" w:lineRule="exact"/>
        <w:rPr>
          <w:sz w:val="20"/>
          <w:szCs w:val="20"/>
          <w:color w:val="auto"/>
        </w:rPr>
      </w:pPr>
    </w:p>
    <w:p>
      <w:pPr>
        <w:ind w:firstLine="509"/>
        <w:spacing w:after="0" w:line="254" w:lineRule="auto"/>
        <w:rPr>
          <w:sz w:val="20"/>
          <w:szCs w:val="20"/>
          <w:color w:val="auto"/>
        </w:rPr>
      </w:pPr>
      <w:r>
        <w:rPr>
          <w:rFonts w:ascii="Calibri" w:cs="Calibri" w:eastAsia="Calibri" w:hAnsi="Calibri"/>
          <w:sz w:val="17"/>
          <w:szCs w:val="17"/>
          <w:color w:val="auto"/>
        </w:rPr>
        <w:t>Cabot has contributed to the Payor Group’s defense and setlement costs with respect to a percentage of pending claims depending on several factors, including the period of alleged product use. In order to quantfy Cabot’s estmated share of liability for pending and future respirator liability claims, Cabot has periodically engaged, through counsel, the assistance of Gnarus Advisors, LLC (“Gnarus”), a consultng frm in the feld of tort liability valuaton.</w:t>
      </w:r>
    </w:p>
    <w:p>
      <w:pPr>
        <w:spacing w:after="0" w:line="20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73" w:name="page74"/>
    <w:bookmarkEnd w:id="73"/>
    <w:p>
      <w:pPr>
        <w:ind w:firstLine="509"/>
        <w:spacing w:after="0" w:line="235" w:lineRule="auto"/>
        <w:rPr>
          <w:sz w:val="20"/>
          <w:szCs w:val="20"/>
          <w:color w:val="auto"/>
        </w:rPr>
      </w:pPr>
      <w:r>
        <w:rPr>
          <w:rFonts w:ascii="Calibri" w:cs="Calibri" w:eastAsia="Calibri" w:hAnsi="Calibri"/>
          <w:sz w:val="18"/>
          <w:szCs w:val="18"/>
          <w:color w:val="auto"/>
        </w:rPr>
        <w:t>The methodology used to estmate the liability addresses the complexites surrounding Cabot’s potental liability by making assumptons about Cabot’s likely exposure based on various factors, including the Payor Group’s historical experience with these claims, the number of future claims and the cost to resolve pending and future claims. Using those and other assumptons, the Company estmates the costs that would be incurred in defending and resolving both currently pending and future claims.</w:t>
      </w:r>
    </w:p>
    <w:p>
      <w:pPr>
        <w:spacing w:after="0" w:line="84" w:lineRule="exact"/>
        <w:rPr>
          <w:sz w:val="20"/>
          <w:szCs w:val="20"/>
          <w:color w:val="auto"/>
        </w:rPr>
      </w:pPr>
    </w:p>
    <w:p>
      <w:pPr>
        <w:ind w:right="20" w:firstLine="549"/>
        <w:spacing w:after="0" w:line="235" w:lineRule="auto"/>
        <w:rPr>
          <w:sz w:val="20"/>
          <w:szCs w:val="20"/>
          <w:color w:val="auto"/>
        </w:rPr>
      </w:pPr>
      <w:r>
        <w:rPr>
          <w:rFonts w:ascii="Calibri" w:cs="Calibri" w:eastAsia="Calibri" w:hAnsi="Calibri"/>
          <w:sz w:val="18"/>
          <w:szCs w:val="18"/>
          <w:color w:val="auto"/>
        </w:rPr>
        <w:t>As of September 30, 2023 and 2022, the Company had $38 million and $39 million, respectvely, reserved for its estmated share of liability for pending and future respirator claims, the majority of which the Company expects to incur over the next ten years. The reserve is included in Other liabilites and Accounts payable and accrued liabilites on the Consolidated Balance Sheets. In fscal 2023, 2022 and 2021, the Company recorded a charge of $8 million, $6 million and $25 million, respectvely, related to the respirator liability which was included in Selling and administratve expense in the Consolidated Statements of Operatons.</w:t>
      </w:r>
    </w:p>
    <w:p>
      <w:pPr>
        <w:spacing w:after="0" w:line="85" w:lineRule="exact"/>
        <w:rPr>
          <w:sz w:val="20"/>
          <w:szCs w:val="20"/>
          <w:color w:val="auto"/>
        </w:rPr>
      </w:pPr>
    </w:p>
    <w:p>
      <w:pPr>
        <w:jc w:val="both"/>
        <w:ind w:right="80" w:firstLine="509"/>
        <w:spacing w:after="0" w:line="254" w:lineRule="auto"/>
        <w:rPr>
          <w:sz w:val="20"/>
          <w:szCs w:val="20"/>
          <w:color w:val="auto"/>
        </w:rPr>
      </w:pPr>
      <w:r>
        <w:rPr>
          <w:rFonts w:ascii="Calibri" w:cs="Calibri" w:eastAsia="Calibri" w:hAnsi="Calibri"/>
          <w:sz w:val="17"/>
          <w:szCs w:val="17"/>
          <w:color w:val="auto"/>
        </w:rPr>
        <w:t>The Company made payments related to its respirator liability of $9 million in fscal 2023, $11 million in fscal 2022 and $37 million in fscal 2021. The majority of the payments in fscal 2021 related to a February 2020 setlement agreement in which Cabot, with certain members of the Payor Group, resolved a large group of claims, including claims alleging serious injury, brought by coal workers in Kentucky and West Virginia represented by common legal counsel.</w:t>
      </w:r>
    </w:p>
    <w:p>
      <w:pPr>
        <w:spacing w:after="0" w:line="7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Company’s current estmate of the cost of its share of pending and future respirator liability claims is based on facts and circumstances existng at this tme, including the number and nature of the remaining claims. Developments that could afect the Company’s estmate include, but are not limited to, (i) signifcant changes in the number of future claims, (ii) changes in the rate of dismissals without payment of pending claims, (iii) signifcant changes in the average cost of resolving claims, including potental setlements of groups of claims, (iv) signifcant changes in the legal costs of defending these claims, (v) changes in the nature of claims received or changes in our assessment of the viability of these claims, (vi) trial and appellate outcomes, (vii) changes in the law and procedure applicable to these claims, (viii) the fnancial viability of the partes that contribute to the payment of respirator claims , (ix) exhauston or changes in the recoverability of the insurance coverage maintained by certain members of the Payor Group, or a change in the availability of the indemnity provided by a former owner of AO, (x) changes in the allocaton of costs among the various partes paying legal and setlement costs, and (xi) a determinaton that the assumptons that were used to estmate Cabot’s share of liability are no longer reasonable. The Company cannot determine the impact of these potental developments on its current estmate of its share of liability for existng and future claims. Because reserves are limited to amounts that are probable and estmable as of a relevant measurement date, and there is inherent difculty in projectng the impact of potental developments on Cabot’s share of liability for these existng and future claims, it is reasonably possible that the liabilites for existng and future claims could change in the near term and that change could be material.</w:t>
      </w:r>
    </w:p>
    <w:p>
      <w:pPr>
        <w:spacing w:after="0" w:line="87"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Brazil Indirect Tax Setlements</w:t>
      </w:r>
    </w:p>
    <w:p>
      <w:pPr>
        <w:spacing w:after="0" w:line="82" w:lineRule="exact"/>
        <w:rPr>
          <w:sz w:val="20"/>
          <w:szCs w:val="20"/>
          <w:color w:val="auto"/>
        </w:rPr>
      </w:pPr>
    </w:p>
    <w:p>
      <w:pPr>
        <w:ind w:right="240" w:firstLine="509"/>
        <w:spacing w:after="0" w:line="251" w:lineRule="auto"/>
        <w:rPr>
          <w:sz w:val="20"/>
          <w:szCs w:val="20"/>
          <w:color w:val="auto"/>
        </w:rPr>
      </w:pPr>
      <w:r>
        <w:rPr>
          <w:rFonts w:ascii="Calibri" w:cs="Calibri" w:eastAsia="Calibri" w:hAnsi="Calibri"/>
          <w:sz w:val="17"/>
          <w:szCs w:val="17"/>
          <w:color w:val="auto"/>
        </w:rPr>
        <w:t>The Company previously fled claims with the Brazilian tax authorites challenging the calculaton of certain indirect taxes related to local social contributons for the years 2012 through 2019. During the third quarter of fscal 2021, the Brazilian Federal Supreme Court rendered a fnal unappealable decision that clarifed the methodology companies should use in the calculaton. As a result of this decision, the Company is enttled to recover credits and associated interest related to the historical periods for overpayment of these indirect taxes to be used to ofset future Brazilian tax liabilites. As such, the Company recorded a $12 million beneft during fscal 2021 of which $9 million, related to the credit recovery was included in Net sales and other operatng revenues and $3 million, related to interest income was included in Other income (expense) in the Consolidated Statement of Operatons.</w:t>
      </w:r>
    </w:p>
    <w:p>
      <w:pPr>
        <w:spacing w:after="0" w:line="70"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Other Maters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has various other lawsuits, claims and contngent liabilites arising in the ordinary course of its business and with respect to its divested businesses. The Company does not believe that any of these maters will have a material adverse efect on its fnancial positon; however, litgaton is inherently unpredictable. Cabot could incur judgments, enter into setlements or revise its expectatons regarding the outcome of certain maters, and such developments could have a material impact on its results of operatons in the period in which the amounts are accrued or its cash fows in the period in which the amounts are paid.</w:t>
      </w: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4" w:name="page75"/>
    <w:bookmarkEnd w:id="74"/>
    <w:p>
      <w:pPr>
        <w:spacing w:after="0"/>
        <w:rPr>
          <w:sz w:val="20"/>
          <w:szCs w:val="20"/>
          <w:color w:val="auto"/>
        </w:rPr>
      </w:pPr>
      <w:r>
        <w:rPr>
          <w:rFonts w:ascii="Calibri" w:cs="Calibri" w:eastAsia="Calibri" w:hAnsi="Calibri"/>
          <w:sz w:val="18"/>
          <w:szCs w:val="18"/>
          <w:b w:val="1"/>
          <w:bCs w:val="1"/>
          <w:color w:val="auto"/>
        </w:rPr>
        <w:t>Note T. Financial Informaton by Segment &amp; Geographic Area</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Segment Informaton</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The Company identfes a business as an operatng segment if: i) it engages in business actvites from which it may earn revenues and incur expenses;</w:t>
      </w:r>
    </w:p>
    <w:p>
      <w:pPr>
        <w:spacing w:after="0" w:line="8" w:lineRule="exact"/>
        <w:rPr>
          <w:sz w:val="20"/>
          <w:szCs w:val="20"/>
          <w:color w:val="auto"/>
        </w:rPr>
      </w:pPr>
    </w:p>
    <w:p>
      <w:pPr>
        <w:ind w:right="60" w:firstLine="8"/>
        <w:spacing w:after="0" w:line="235" w:lineRule="auto"/>
        <w:tabs>
          <w:tab w:leader="none" w:pos="173"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its operatng results are regularly reviewed by the Chief Operatng Decision Maker (“CODM”), who is Cabot’s President and Chief Executve Ofcer, to make decisions about resources to be allocated to the segment and assess its performance; and iii) it has available discrete fnancial informaton. The Company has determined that all of its businesses are operatng segments. The CODM reviews fnancial informaton at the operatng segment level to allocate resources and to assess the operatng results and fnancial performance for each operatng segment. Operatng segments are aggregated into a reportable segment if the operatng segments are determined to have similar economic characteristcs and if the operatng segments are similar in the following areas: i) nature of products and services; ii) nature of producton processes; iii) type or class of customer for their products and services; iv) methods used to distribute the products or provide services; and v) if applicable, the nature of the regulatory environment.</w:t>
      </w:r>
    </w:p>
    <w:p>
      <w:pPr>
        <w:spacing w:after="0" w:line="87" w:lineRule="exact"/>
        <w:rPr>
          <w:sz w:val="20"/>
          <w:szCs w:val="20"/>
          <w:color w:val="auto"/>
        </w:rPr>
      </w:pPr>
    </w:p>
    <w:p>
      <w:pPr>
        <w:ind w:right="500" w:firstLine="509"/>
        <w:spacing w:after="0" w:line="235" w:lineRule="auto"/>
        <w:rPr>
          <w:sz w:val="20"/>
          <w:szCs w:val="20"/>
          <w:color w:val="auto"/>
        </w:rPr>
      </w:pPr>
      <w:r>
        <w:rPr>
          <w:rFonts w:ascii="Calibri" w:cs="Calibri" w:eastAsia="Calibri" w:hAnsi="Calibri"/>
          <w:sz w:val="18"/>
          <w:szCs w:val="18"/>
          <w:color w:val="auto"/>
        </w:rPr>
        <w:t>The Company has two reportable segments: Reinforcement Materials and Performance Chemicals. The Company’s former Purifcaton Solutons business was a separate reportable segment prior to divestture in the second quarter of fscal 2022.</w:t>
      </w:r>
    </w:p>
    <w:p>
      <w:pPr>
        <w:spacing w:after="0" w:line="83"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Income (loss) from operatons before income taxes (“Segment EBIT”) is presented for each reportable segment in the fnancial informaton by the reportable segment table below on the line enttled Income (loss) from operatons before taxes. Segment EBIT excludes certain items, meaning items management does not consider representatve of on-going operatng segment results. In additon, Segment EBIT includes Equity in earnings of afliated companies, net of tax, royaltes, Net income (loss) atributable to noncontrolling interests, net of tax, and discountng charges for certain Notes receivable, but excludes Interest expense, foreign currency transacton gains and losses, interest income, dividend income, unearned revenue, general unallocated expense and unallocated corporate costs. Segment assets exclude cash, short-term investments, cost investments, income taxes receivable, deferred taxes and headquarters’ assets, which are included in unallocated and other. Expenditures for additons to long-lived assets include total equity and other investments (including available-for-sale securites) and property, plant and equipment.</w:t>
      </w:r>
    </w:p>
    <w:p>
      <w:pPr>
        <w:spacing w:after="0" w:line="83"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Reinforcement Materials</w:t>
      </w:r>
    </w:p>
    <w:p>
      <w:pPr>
        <w:spacing w:after="0" w:line="82" w:lineRule="exact"/>
        <w:rPr>
          <w:sz w:val="20"/>
          <w:szCs w:val="20"/>
          <w:color w:val="auto"/>
        </w:rPr>
      </w:pPr>
    </w:p>
    <w:p>
      <w:pPr>
        <w:jc w:val="both"/>
        <w:ind w:right="420" w:firstLine="509"/>
        <w:spacing w:after="0" w:line="254" w:lineRule="auto"/>
        <w:rPr>
          <w:sz w:val="20"/>
          <w:szCs w:val="20"/>
          <w:color w:val="auto"/>
        </w:rPr>
      </w:pPr>
      <w:r>
        <w:rPr>
          <w:rFonts w:ascii="Calibri" w:cs="Calibri" w:eastAsia="Calibri" w:hAnsi="Calibri"/>
          <w:sz w:val="17"/>
          <w:szCs w:val="17"/>
          <w:color w:val="auto"/>
        </w:rPr>
        <w:t>Carbon black is a form of elemental carbon that is manufactured in a highly controlled process to produce partcles and aggregates of varied size, structure and surface chemistry, resultng in many diferent performance characteristcs for a wide variety of applicatons. Reinforcing carbons (a class of carbon blacks manufactured by Cabot) are used to enhance the physical propertes of the systems and applicatons in which they are incorporated.</w:t>
      </w:r>
    </w:p>
    <w:p>
      <w:pPr>
        <w:spacing w:after="0" w:line="7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Company’s reinforcing carbons products are used in tres and industrial products. Reinforcing carbons have traditonally been used in the tre industry as a rubber reinforcing agent to increase tread durability and are also used as a performance additve to reduce rolling resistance and improve tracton. In industrial products such as hoses, belts, extruded profles and molded goods, reinforcing carbons are used to improve the physical performance of the product, including the product’s physical strength, fuid resistance, conductvity and resistvity.</w:t>
      </w:r>
    </w:p>
    <w:p>
      <w:pPr>
        <w:spacing w:after="0" w:line="84"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additon to its reinforcing carbons products, the Company manufactures engineered elastomer composites (“E2C®”) solutons that are composites of reinforcing carbons and rubber made using the Company’s patented elastomer composites manufacturing process. These composites improve abrasion/wear resistance, reduce fatgue of rubber parts and reduce rolling resistance compared to reinforcing carbons/rubber compounds made entrely by conventonal rubber mix methods enabling rubber product manufacturers to reduce the need to make performance trade-ofs.</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Performance Chemicals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Performance Chemicals segment aggregates the specialty carbons, specialty compounds, fumed metal oxides, batery materials, inkjet colorants and aerogel product lines. In Performance Chemicals, the Company designs, manufactures and sells materials that deliver performance in a broad range of customer applicatons across the automotve, constructon, infrastructure, inkjet printng, electronics and consumer products sectors, and applicatons related to generaton, transmission and storage of energy. The Company’s focus areas for growth include conductve additves and other materials for batery applicatons, and inkjet dispersions for post print corrugated packaging applicatons.</w:t>
      </w:r>
    </w:p>
    <w:p>
      <w:pPr>
        <w:spacing w:after="0" w:line="166"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Company’s specialty carbons are used to impart color, provide rheology control, enhance conductvity and statc charge control, provide UV protecton, enhance mechanical propertes and provide formulaton fexibility through surface treatment. These specialty carbon products are used in a wide variety of applicatons, such as inks, coatngs, cables, plastcs, adhesives, toners, bateries and displays.</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75" w:name="page76"/>
    <w:bookmarkEnd w:id="75"/>
    <w:p>
      <w:pPr>
        <w:ind w:right="300" w:firstLine="509"/>
        <w:spacing w:after="0" w:line="235" w:lineRule="auto"/>
        <w:rPr>
          <w:sz w:val="20"/>
          <w:szCs w:val="20"/>
          <w:color w:val="auto"/>
        </w:rPr>
      </w:pPr>
      <w:r>
        <w:rPr>
          <w:rFonts w:ascii="Calibri" w:cs="Calibri" w:eastAsia="Calibri" w:hAnsi="Calibri"/>
          <w:sz w:val="18"/>
          <w:szCs w:val="18"/>
          <w:color w:val="auto"/>
        </w:rPr>
        <w:t>Cabot’s masterbatch and conductve compound products, which Cabot refers to as “specialty compounds”, are formulatons derived from specialty carbons mixed with polymers and other additves. These products are generally used by plastc resin producers and converters in applicatons for the automotve, industrial, packaging, infrastructure, agricultural, consumer products, and electronics industries. As an alternatve to directly mixing specialty carbon blacks, these formulatons ofer greater ease of handling and help customers achieve their desired levels of dispersion and color and manage the additon of small doses of additves. In additon, Cabot’s electrically conductve compound products generally are used to help ensure uniform conductve performance and reduce risks associated with electrostatc discharge in plastcs applicatons.</w:t>
      </w:r>
    </w:p>
    <w:p>
      <w:pPr>
        <w:spacing w:after="0" w:line="86" w:lineRule="exact"/>
        <w:rPr>
          <w:sz w:val="20"/>
          <w:szCs w:val="20"/>
          <w:color w:val="auto"/>
        </w:rPr>
      </w:pPr>
    </w:p>
    <w:p>
      <w:pPr>
        <w:ind w:right="40" w:firstLine="549"/>
        <w:spacing w:after="0" w:line="235" w:lineRule="auto"/>
        <w:rPr>
          <w:sz w:val="20"/>
          <w:szCs w:val="20"/>
          <w:color w:val="auto"/>
        </w:rPr>
      </w:pPr>
      <w:r>
        <w:rPr>
          <w:rFonts w:ascii="Calibri" w:cs="Calibri" w:eastAsia="Calibri" w:hAnsi="Calibri"/>
          <w:sz w:val="18"/>
          <w:szCs w:val="18"/>
          <w:color w:val="auto"/>
        </w:rPr>
        <w:t>The Company’s batery materials products include its conductve additves and fumed alumina, which are used principally in advanced lead acid and lithium-ion bateries used in electric vehicles. The Company’s conductve additves consist of conductve carbons, carbon nanotubes and carbon nano structures, and blends of these materials, each of which ofers diferent levels of conductvity and formulaton fexibility for batery manufacturers to address performance (energy density, fast charging), cost and safety. In lithium-ion bateries, the Company’s conductve additves are used in both cathode and anode applicatons to increase energy density by providing a conductve network between actve materials. Fumed alumina is used to reduce cathode material and electrolyte decompositon and improve capacity retenton leading to longer cycle life.</w:t>
      </w:r>
    </w:p>
    <w:p>
      <w:pPr>
        <w:spacing w:after="0" w:line="86"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Fumed silica is an ultra-fne, high-purity partcle used as a reinforcing, thickening, abrasive, thixotropic, suspending or ant-caking agent in a wide variety of products for the automotve, constructon, microelectronics, bateries, and consumer products industries. These products include adhesives, sealants, cosmetcs, bateries, inks, toners, silicone elastomers, coatngs, polishing slurries and pharmaceutcals. In additon to its batery applicaton, fumed alumina, also an ultra-fne, high-purity partcle, is used as an abrasive, absorbent or barrier agent in a variety of products, such as inkjet media, lightng, coatngs, cosmetcs and polishing slurries.</w:t>
      </w:r>
    </w:p>
    <w:p>
      <w:pPr>
        <w:spacing w:after="0" w:line="85" w:lineRule="exact"/>
        <w:rPr>
          <w:sz w:val="20"/>
          <w:szCs w:val="20"/>
          <w:color w:val="auto"/>
        </w:rPr>
      </w:pPr>
    </w:p>
    <w:p>
      <w:pPr>
        <w:ind w:right="420" w:firstLine="509"/>
        <w:spacing w:after="0" w:line="252" w:lineRule="auto"/>
        <w:rPr>
          <w:sz w:val="20"/>
          <w:szCs w:val="20"/>
          <w:color w:val="auto"/>
        </w:rPr>
      </w:pPr>
      <w:r>
        <w:rPr>
          <w:rFonts w:ascii="Calibri" w:cs="Calibri" w:eastAsia="Calibri" w:hAnsi="Calibri"/>
          <w:sz w:val="17"/>
          <w:szCs w:val="17"/>
          <w:color w:val="auto"/>
        </w:rPr>
        <w:t>Aerogel is a hydrophobic, silica-based partcle with a high surface area that is used in a variety of thermal insulaton and specialty chemical applicatons. In the building and constructon industry, the product is used in insulatve sprayable plasters and composite building products, as well as translucent skylight, window, wall and roof systems for insulatng eco-daylightng applicatons. In the specialty chemicals industry, the product is used to provide mate fnishing, insulatng and thickening propertes for use in a variety of applicatons, including thermal management for lithium-ion bateries.</w:t>
      </w:r>
    </w:p>
    <w:p>
      <w:pPr>
        <w:spacing w:after="0" w:line="73"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The Company’s inkjet colorants are high-quality pigment-based black and color dispersions and inks. The Company’s dispersions are based on patented pigment surface modifcaton technology and polymer encapsulaton technology. The dispersions are used in aqueous inkjet inks to impart color, sharp print characteristcs and durability, while maintaining high printhead reliability. These products are used in various inkjet printng applicatons, including traditonal work-from-home and corporate ofce setngs, and, increasingly, in commercial and corrugated packaging printng, that all require a high level of dispersibility and colloidal stability. Our inkjet inks, which utlize our pigment-based colorant dispersions, are used in the commercial printng segment for graphic arts.</w:t>
      </w:r>
    </w:p>
    <w:p>
      <w:pPr>
        <w:spacing w:after="0" w:line="71"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Purifcaton Solutons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Cabot divested its Purifcaton Solutons business on March 1, 2022. Refer to Note D for the terms of this transacton.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6" w:name="page77"/>
    <w:bookmarkEnd w:id="76"/>
    <w:p>
      <w:pPr>
        <w:ind w:left="520"/>
        <w:spacing w:after="0"/>
        <w:rPr>
          <w:sz w:val="20"/>
          <w:szCs w:val="20"/>
          <w:color w:val="auto"/>
        </w:rPr>
      </w:pPr>
      <w:r>
        <w:rPr>
          <w:rFonts w:ascii="Calibri" w:cs="Calibri" w:eastAsia="Calibri" w:hAnsi="Calibri"/>
          <w:sz w:val="18"/>
          <w:szCs w:val="18"/>
          <w:color w:val="auto"/>
        </w:rPr>
        <w:t>Financial informaton by reportable segment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Reinforcemen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Calibri" w:cs="Calibri" w:eastAsia="Calibri" w:hAnsi="Calibri"/>
                <w:sz w:val="14"/>
                <w:szCs w:val="14"/>
                <w:b w:val="1"/>
                <w:bCs w:val="1"/>
                <w:color w:val="auto"/>
              </w:rPr>
              <w:t>Unallocated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18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332"/>
              <w:spacing w:after="0" w:line="159" w:lineRule="exact"/>
              <w:rPr>
                <w:sz w:val="20"/>
                <w:szCs w:val="20"/>
                <w:color w:val="auto"/>
              </w:rPr>
            </w:pPr>
            <w:r>
              <w:rPr>
                <w:rFonts w:ascii="Calibri" w:cs="Calibri" w:eastAsia="Calibri" w:hAnsi="Calibri"/>
                <w:sz w:val="14"/>
                <w:szCs w:val="14"/>
                <w:b w:val="1"/>
                <w:bCs w:val="1"/>
                <w:color w:val="auto"/>
              </w:rPr>
              <w:t>t</w:t>
            </w:r>
          </w:p>
        </w:tc>
        <w:tc>
          <w:tcPr>
            <w:tcW w:w="240" w:type="dxa"/>
            <w:vAlign w:val="bottom"/>
          </w:tcPr>
          <w:p>
            <w:pPr>
              <w:spacing w:after="0"/>
              <w:rPr>
                <w:sz w:val="13"/>
                <w:szCs w:val="13"/>
                <w:color w:val="auto"/>
              </w:rPr>
            </w:pPr>
          </w:p>
        </w:tc>
        <w:tc>
          <w:tcPr>
            <w:tcW w:w="880" w:type="dxa"/>
            <w:vAlign w:val="bottom"/>
            <w:gridSpan w:val="2"/>
          </w:tcPr>
          <w:p>
            <w:pPr>
              <w:jc w:val="right"/>
              <w:spacing w:after="0" w:line="159" w:lineRule="exact"/>
              <w:rPr>
                <w:sz w:val="20"/>
                <w:szCs w:val="20"/>
                <w:color w:val="auto"/>
              </w:rPr>
            </w:pPr>
            <w:r>
              <w:rPr>
                <w:rFonts w:ascii="Calibri" w:cs="Calibri" w:eastAsia="Calibri" w:hAnsi="Calibri"/>
                <w:sz w:val="14"/>
                <w:szCs w:val="14"/>
                <w:b w:val="1"/>
                <w:bCs w:val="1"/>
                <w:color w:val="auto"/>
              </w:rPr>
              <w:t>Performance</w:t>
            </w:r>
          </w:p>
        </w:tc>
        <w:tc>
          <w:tcPr>
            <w:tcW w:w="240" w:type="dxa"/>
            <w:vAlign w:val="bottom"/>
          </w:tcPr>
          <w:p>
            <w:pPr>
              <w:spacing w:after="0"/>
              <w:rPr>
                <w:sz w:val="13"/>
                <w:szCs w:val="13"/>
                <w:color w:val="auto"/>
              </w:rPr>
            </w:pPr>
          </w:p>
        </w:tc>
        <w:tc>
          <w:tcPr>
            <w:tcW w:w="880" w:type="dxa"/>
            <w:vAlign w:val="bottom"/>
            <w:gridSpan w:val="2"/>
          </w:tcPr>
          <w:p>
            <w:pPr>
              <w:jc w:val="right"/>
              <w:ind w:right="11"/>
              <w:spacing w:after="0" w:line="159" w:lineRule="exact"/>
              <w:rPr>
                <w:sz w:val="20"/>
                <w:szCs w:val="20"/>
                <w:color w:val="auto"/>
              </w:rPr>
            </w:pPr>
            <w:r>
              <w:rPr>
                <w:rFonts w:ascii="Calibri" w:cs="Calibri" w:eastAsia="Calibri" w:hAnsi="Calibri"/>
                <w:sz w:val="14"/>
                <w:szCs w:val="14"/>
                <w:b w:val="1"/>
                <w:bCs w:val="1"/>
                <w:color w:val="auto"/>
              </w:rPr>
              <w:t>Purifcaton</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92"/>
              <w:spacing w:after="0" w:line="159" w:lineRule="exact"/>
              <w:rPr>
                <w:sz w:val="20"/>
                <w:szCs w:val="20"/>
                <w:color w:val="auto"/>
              </w:rPr>
            </w:pPr>
            <w:r>
              <w:rPr>
                <w:rFonts w:ascii="Calibri" w:cs="Calibri" w:eastAsia="Calibri" w:hAnsi="Calibri"/>
                <w:sz w:val="14"/>
                <w:szCs w:val="14"/>
                <w:b w:val="1"/>
                <w:bCs w:val="1"/>
                <w:color w:val="auto"/>
              </w:rPr>
              <w:t>Segment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360"/>
              <w:spacing w:after="0" w:line="159" w:lineRule="exact"/>
              <w:rPr>
                <w:sz w:val="20"/>
                <w:szCs w:val="20"/>
                <w:color w:val="auto"/>
              </w:rPr>
            </w:pPr>
            <w:r>
              <w:rPr>
                <w:rFonts w:ascii="Calibri" w:cs="Calibri" w:eastAsia="Calibri" w:hAnsi="Calibri"/>
                <w:sz w:val="14"/>
                <w:szCs w:val="14"/>
                <w:b w:val="1"/>
                <w:bCs w:val="1"/>
                <w:color w:val="auto"/>
              </w:rPr>
              <w:t>and</w:t>
            </w:r>
          </w:p>
        </w:tc>
        <w:tc>
          <w:tcPr>
            <w:tcW w:w="980" w:type="dxa"/>
            <w:vAlign w:val="bottom"/>
            <w:gridSpan w:val="3"/>
          </w:tcPr>
          <w:p>
            <w:pPr>
              <w:ind w:left="40"/>
              <w:spacing w:after="0" w:line="159" w:lineRule="exact"/>
              <w:rPr>
                <w:sz w:val="20"/>
                <w:szCs w:val="20"/>
                <w:color w:val="auto"/>
              </w:rPr>
            </w:pPr>
            <w:r>
              <w:rPr>
                <w:rFonts w:ascii="Calibri" w:cs="Calibri" w:eastAsia="Calibri" w:hAnsi="Calibri"/>
                <w:sz w:val="14"/>
                <w:szCs w:val="14"/>
                <w:b w:val="1"/>
                <w:bCs w:val="1"/>
                <w:color w:val="auto"/>
              </w:rPr>
              <w:t>Consolidated</w:t>
            </w:r>
          </w:p>
        </w:tc>
      </w:tr>
      <w:tr>
        <w:trPr>
          <w:trHeight w:val="224"/>
        </w:trPr>
        <w:tc>
          <w:tcPr>
            <w:tcW w:w="4640" w:type="dxa"/>
            <w:vAlign w:val="bottom"/>
            <w:tcBorders>
              <w:bottom w:val="single" w:sz="8" w:color="auto"/>
            </w:tcBorders>
            <w:gridSpan w:val="2"/>
          </w:tcPr>
          <w:p>
            <w:pPr>
              <w:ind w:left="1540"/>
              <w:spacing w:after="0"/>
              <w:rPr>
                <w:sz w:val="20"/>
                <w:szCs w:val="20"/>
                <w:color w:val="auto"/>
              </w:rPr>
            </w:pPr>
            <w:r>
              <w:rPr>
                <w:rFonts w:ascii="Calibri" w:cs="Calibri" w:eastAsia="Calibri" w:hAnsi="Calibri"/>
                <w:sz w:val="14"/>
                <w:szCs w:val="14"/>
                <w:b w:val="1"/>
                <w:bCs w:val="1"/>
                <w:color w:val="auto"/>
              </w:rPr>
              <w:t>Years Ended September 30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2"/>
              <w:spacing w:after="0"/>
              <w:rPr>
                <w:sz w:val="20"/>
                <w:szCs w:val="20"/>
                <w:color w:val="auto"/>
              </w:rPr>
            </w:pPr>
            <w:r>
              <w:rPr>
                <w:rFonts w:ascii="Calibri" w:cs="Calibri" w:eastAsia="Calibri" w:hAnsi="Calibri"/>
                <w:sz w:val="14"/>
                <w:szCs w:val="14"/>
                <w:b w:val="1"/>
                <w:bCs w:val="1"/>
                <w:color w:val="auto"/>
              </w:rPr>
              <w:t>Materials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1"/>
              <w:spacing w:after="0"/>
              <w:rPr>
                <w:sz w:val="20"/>
                <w:szCs w:val="20"/>
                <w:color w:val="auto"/>
              </w:rPr>
            </w:pPr>
            <w:r>
              <w:rPr>
                <w:rFonts w:ascii="Calibri" w:cs="Calibri" w:eastAsia="Calibri" w:hAnsi="Calibri"/>
                <w:sz w:val="14"/>
                <w:szCs w:val="14"/>
                <w:b w:val="1"/>
                <w:bCs w:val="1"/>
                <w:color w:val="auto"/>
              </w:rPr>
              <w:t>Chemicals</w:t>
            </w:r>
          </w:p>
        </w:tc>
        <w:tc>
          <w:tcPr>
            <w:tcW w:w="240" w:type="dxa"/>
            <w:vAlign w:val="bottom"/>
          </w:tcPr>
          <w:p>
            <w:pPr>
              <w:spacing w:after="0"/>
              <w:rPr>
                <w:sz w:val="19"/>
                <w:szCs w:val="19"/>
                <w:color w:val="auto"/>
              </w:rPr>
            </w:pPr>
          </w:p>
        </w:tc>
        <w:tc>
          <w:tcPr>
            <w:tcW w:w="880" w:type="dxa"/>
            <w:vAlign w:val="bottom"/>
            <w:tcBorders>
              <w:bottom w:val="single" w:sz="8" w:color="auto"/>
            </w:tcBorders>
            <w:gridSpan w:val="2"/>
          </w:tcPr>
          <w:p>
            <w:pPr>
              <w:jc w:val="right"/>
              <w:ind w:right="11"/>
              <w:spacing w:after="0" w:line="223" w:lineRule="exact"/>
              <w:rPr>
                <w:sz w:val="20"/>
                <w:szCs w:val="20"/>
                <w:color w:val="auto"/>
              </w:rPr>
            </w:pPr>
            <w:r>
              <w:rPr>
                <w:rFonts w:ascii="Calibri" w:cs="Calibri" w:eastAsia="Calibri" w:hAnsi="Calibri"/>
                <w:sz w:val="14"/>
                <w:szCs w:val="14"/>
                <w:b w:val="1"/>
                <w:bCs w:val="1"/>
                <w:color w:val="auto"/>
              </w:rPr>
              <w:t>Solutons</w:t>
            </w:r>
            <w:r>
              <w:rPr>
                <w:rFonts w:ascii="Calibri" w:cs="Calibri" w:eastAsia="Calibri" w:hAnsi="Calibri"/>
                <w:sz w:val="19"/>
                <w:szCs w:val="19"/>
                <w:b w:val="1"/>
                <w:bCs w:val="1"/>
                <w:color w:val="auto"/>
                <w:vertAlign w:val="superscript"/>
              </w:rPr>
              <w:t>(1)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2"/>
              <w:spacing w:after="0"/>
              <w:rPr>
                <w:sz w:val="20"/>
                <w:szCs w:val="20"/>
                <w:color w:val="auto"/>
              </w:rPr>
            </w:pPr>
            <w:r>
              <w:rPr>
                <w:rFonts w:ascii="Calibri" w:cs="Calibri" w:eastAsia="Calibri" w:hAnsi="Calibri"/>
                <w:sz w:val="14"/>
                <w:szCs w:val="14"/>
                <w:b w:val="1"/>
                <w:bCs w:val="1"/>
                <w:color w:val="auto"/>
              </w:rPr>
              <w:t>Total</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72"/>
              <w:spacing w:after="0" w:line="223" w:lineRule="exact"/>
              <w:rPr>
                <w:sz w:val="20"/>
                <w:szCs w:val="20"/>
                <w:color w:val="auto"/>
              </w:rPr>
            </w:pPr>
            <w:r>
              <w:rPr>
                <w:rFonts w:ascii="Calibri" w:cs="Calibri" w:eastAsia="Calibri" w:hAnsi="Calibri"/>
                <w:sz w:val="14"/>
                <w:szCs w:val="14"/>
                <w:b w:val="1"/>
                <w:bCs w:val="1"/>
                <w:color w:val="auto"/>
                <w:w w:val="91"/>
              </w:rPr>
              <w:t>Other</w:t>
            </w:r>
            <w:r>
              <w:rPr>
                <w:rFonts w:ascii="Calibri" w:cs="Calibri" w:eastAsia="Calibri" w:hAnsi="Calibri"/>
                <w:sz w:val="19"/>
                <w:szCs w:val="19"/>
                <w:b w:val="1"/>
                <w:bCs w:val="1"/>
                <w:color w:val="auto"/>
                <w:w w:val="91"/>
                <w:vertAlign w:val="superscript"/>
              </w:rPr>
              <w:t>(2)</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1"/>
              <w:spacing w:after="0"/>
              <w:rPr>
                <w:sz w:val="20"/>
                <w:szCs w:val="20"/>
                <w:color w:val="auto"/>
              </w:rPr>
            </w:pPr>
            <w:r>
              <w:rPr>
                <w:rFonts w:ascii="Calibri" w:cs="Calibri" w:eastAsia="Calibri" w:hAnsi="Calibri"/>
                <w:sz w:val="14"/>
                <w:szCs w:val="14"/>
                <w:b w:val="1"/>
                <w:bCs w:val="1"/>
                <w:color w:val="auto"/>
              </w:rPr>
              <w:t>Total</w:t>
            </w:r>
          </w:p>
        </w:tc>
        <w:tc>
          <w:tcPr>
            <w:tcW w:w="100" w:type="dxa"/>
            <w:vAlign w:val="bottom"/>
          </w:tcPr>
          <w:p>
            <w:pPr>
              <w:spacing w:after="0"/>
              <w:rPr>
                <w:sz w:val="19"/>
                <w:szCs w:val="19"/>
                <w:color w:val="auto"/>
              </w:rPr>
            </w:pPr>
          </w:p>
        </w:tc>
      </w:tr>
      <w:tr>
        <w:trPr>
          <w:trHeight w:val="165"/>
        </w:trPr>
        <w:tc>
          <w:tcPr>
            <w:tcW w:w="18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jc w:val="right"/>
              <w:ind w:right="51"/>
              <w:spacing w:after="0" w:line="165" w:lineRule="exact"/>
              <w:rPr>
                <w:sz w:val="20"/>
                <w:szCs w:val="20"/>
                <w:color w:val="auto"/>
              </w:rPr>
            </w:pPr>
            <w:r>
              <w:rPr>
                <w:rFonts w:ascii="Calibri" w:cs="Calibri" w:eastAsia="Calibri" w:hAnsi="Calibri"/>
                <w:sz w:val="14"/>
                <w:szCs w:val="14"/>
                <w:b w:val="1"/>
                <w:bCs w:val="1"/>
                <w:color w:val="auto"/>
              </w:rPr>
              <w:t>(In</w:t>
            </w:r>
          </w:p>
        </w:tc>
        <w:tc>
          <w:tcPr>
            <w:tcW w:w="1080" w:type="dxa"/>
            <w:vAlign w:val="bottom"/>
            <w:gridSpan w:val="3"/>
          </w:tcPr>
          <w:p>
            <w:pPr>
              <w:jc w:val="right"/>
              <w:ind w:right="592"/>
              <w:spacing w:after="0" w:line="165" w:lineRule="exact"/>
              <w:rPr>
                <w:sz w:val="20"/>
                <w:szCs w:val="20"/>
                <w:color w:val="auto"/>
              </w:rPr>
            </w:pPr>
            <w:r>
              <w:rPr>
                <w:rFonts w:ascii="Calibri" w:cs="Calibri" w:eastAsia="Calibri" w:hAnsi="Calibri"/>
                <w:sz w:val="14"/>
                <w:szCs w:val="14"/>
                <w:b w:val="1"/>
                <w:bCs w:val="1"/>
                <w:color w:val="auto"/>
                <w:w w:val="75"/>
              </w:rPr>
              <w:t>millions)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1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18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2023</w:t>
            </w:r>
          </w:p>
        </w:tc>
        <w:tc>
          <w:tcPr>
            <w:tcW w:w="27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43"/>
        </w:trPr>
        <w:tc>
          <w:tcPr>
            <w:tcW w:w="4640" w:type="dxa"/>
            <w:vAlign w:val="bottom"/>
            <w:gridSpan w:val="2"/>
          </w:tcPr>
          <w:p>
            <w:pPr>
              <w:ind w:left="20"/>
              <w:spacing w:after="0" w:line="243" w:lineRule="exact"/>
              <w:rPr>
                <w:sz w:val="20"/>
                <w:szCs w:val="20"/>
                <w:color w:val="auto"/>
              </w:rPr>
            </w:pPr>
            <w:r>
              <w:rPr>
                <w:rFonts w:ascii="Calibri" w:cs="Calibri" w:eastAsia="Calibri" w:hAnsi="Calibri"/>
                <w:sz w:val="18"/>
                <w:szCs w:val="18"/>
                <w:color w:val="auto"/>
              </w:rPr>
              <w:t>Revenues from external customers</w:t>
            </w:r>
            <w:r>
              <w:rPr>
                <w:rFonts w:ascii="Calibri" w:cs="Calibri" w:eastAsia="Calibri" w:hAnsi="Calibri"/>
                <w:sz w:val="24"/>
                <w:szCs w:val="24"/>
                <w:color w:val="auto"/>
                <w:vertAlign w:val="superscript"/>
              </w:rPr>
              <w:t>(4)</w:t>
            </w:r>
          </w:p>
        </w:tc>
        <w:tc>
          <w:tcPr>
            <w:tcW w:w="260" w:type="dxa"/>
            <w:vAlign w:val="bottom"/>
            <w:gridSpan w:val="2"/>
          </w:tcPr>
          <w:p>
            <w:pPr>
              <w:ind w:left="14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2,563</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1,225</w:t>
            </w:r>
          </w:p>
        </w:tc>
        <w:tc>
          <w:tcPr>
            <w:tcW w:w="580" w:type="dxa"/>
            <w:vAlign w:val="bottom"/>
            <w:gridSpan w:val="2"/>
          </w:tcPr>
          <w:p>
            <w:pPr>
              <w:jc w:val="right"/>
              <w:ind w:right="148"/>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3,788</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143</w:t>
            </w:r>
          </w:p>
        </w:tc>
        <w:tc>
          <w:tcPr>
            <w:tcW w:w="200" w:type="dxa"/>
            <w:vAlign w:val="bottom"/>
          </w:tcPr>
          <w:p>
            <w:pPr>
              <w:spacing w:after="0"/>
              <w:rPr>
                <w:sz w:val="21"/>
                <w:szCs w:val="21"/>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3,931</w:t>
            </w:r>
          </w:p>
        </w:tc>
        <w:tc>
          <w:tcPr>
            <w:tcW w:w="100" w:type="dxa"/>
            <w:vAlign w:val="bottom"/>
          </w:tcPr>
          <w:p>
            <w:pPr>
              <w:spacing w:after="0"/>
              <w:rPr>
                <w:sz w:val="21"/>
                <w:szCs w:val="21"/>
                <w:color w:val="auto"/>
              </w:rPr>
            </w:pPr>
          </w:p>
        </w:tc>
      </w:tr>
      <w:tr>
        <w:trPr>
          <w:trHeight w:val="223"/>
        </w:trPr>
        <w:tc>
          <w:tcPr>
            <w:tcW w:w="4640" w:type="dxa"/>
            <w:vAlign w:val="bottom"/>
            <w:tcBorders>
              <w:bottom w:val="single" w:sz="8" w:color="CFF0FC"/>
            </w:tcBorders>
            <w:gridSpan w:val="2"/>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Depreciaton and amortzaton</w:t>
            </w:r>
          </w:p>
        </w:tc>
        <w:tc>
          <w:tcPr>
            <w:tcW w:w="260" w:type="dxa"/>
            <w:vAlign w:val="bottom"/>
            <w:tcBorders>
              <w:bottom w:val="single" w:sz="8" w:color="CFF0FC"/>
            </w:tcBorders>
            <w:gridSpan w:val="2"/>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70</w:t>
            </w:r>
          </w:p>
        </w:tc>
        <w:tc>
          <w:tcPr>
            <w:tcW w:w="3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72</w:t>
            </w:r>
          </w:p>
        </w:tc>
        <w:tc>
          <w:tcPr>
            <w:tcW w:w="580" w:type="dxa"/>
            <w:vAlign w:val="bottom"/>
            <w:tcBorders>
              <w:bottom w:val="single" w:sz="8" w:color="CFF0FC"/>
            </w:tcBorders>
            <w:gridSpan w:val="2"/>
            <w:shd w:val="clear" w:color="auto" w:fill="CFF0FC"/>
          </w:tcPr>
          <w:p>
            <w:pPr>
              <w:jc w:val="right"/>
              <w:ind w:right="148"/>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142</w:t>
            </w:r>
          </w:p>
        </w:tc>
        <w:tc>
          <w:tcPr>
            <w:tcW w:w="3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464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Equity in earnings of afliated companies</w:t>
            </w:r>
          </w:p>
        </w:tc>
        <w:tc>
          <w:tcPr>
            <w:tcW w:w="260" w:type="dxa"/>
            <w:vAlign w:val="bottom"/>
            <w:gridSpan w:val="2"/>
          </w:tcPr>
          <w:p>
            <w:pPr>
              <w:ind w:left="14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580" w:type="dxa"/>
            <w:vAlign w:val="bottom"/>
            <w:gridSpan w:val="2"/>
          </w:tcPr>
          <w:p>
            <w:pPr>
              <w:jc w:val="right"/>
              <w:ind w:right="148"/>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9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tcPr>
          <w:p>
            <w:pPr>
              <w:spacing w:after="0"/>
              <w:rPr>
                <w:sz w:val="18"/>
                <w:szCs w:val="18"/>
                <w:color w:val="auto"/>
              </w:rPr>
            </w:pPr>
          </w:p>
        </w:tc>
      </w:tr>
      <w:tr>
        <w:trPr>
          <w:trHeight w:val="28"/>
        </w:trPr>
        <w:tc>
          <w:tcPr>
            <w:tcW w:w="1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4640" w:type="dxa"/>
            <w:vAlign w:val="bottom"/>
            <w:gridSpan w:val="2"/>
            <w:shd w:val="clear" w:color="auto" w:fill="CFF0FC"/>
          </w:tcPr>
          <w:p>
            <w:pPr>
              <w:ind w:left="20"/>
              <w:spacing w:after="0" w:line="183" w:lineRule="exact"/>
              <w:rPr>
                <w:sz w:val="20"/>
                <w:szCs w:val="20"/>
                <w:color w:val="auto"/>
              </w:rPr>
            </w:pPr>
            <w:r>
              <w:rPr>
                <w:rFonts w:ascii="Calibri" w:cs="Calibri" w:eastAsia="Calibri" w:hAnsi="Calibri"/>
                <w:sz w:val="18"/>
                <w:szCs w:val="18"/>
                <w:color w:val="auto"/>
              </w:rPr>
              <w:t>Income (loss) from operatons</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76"/>
        </w:trPr>
        <w:tc>
          <w:tcPr>
            <w:tcW w:w="4640" w:type="dxa"/>
            <w:vAlign w:val="bottom"/>
            <w:gridSpan w:val="2"/>
            <w:shd w:val="clear" w:color="auto" w:fill="CFF0FC"/>
          </w:tcPr>
          <w:p>
            <w:pPr>
              <w:ind w:left="140"/>
              <w:spacing w:after="0" w:line="276" w:lineRule="exact"/>
              <w:rPr>
                <w:sz w:val="20"/>
                <w:szCs w:val="20"/>
                <w:color w:val="auto"/>
              </w:rPr>
            </w:pPr>
            <w:r>
              <w:rPr>
                <w:rFonts w:ascii="Calibri" w:cs="Calibri" w:eastAsia="Calibri" w:hAnsi="Calibri"/>
                <w:sz w:val="18"/>
                <w:szCs w:val="18"/>
                <w:color w:val="auto"/>
              </w:rPr>
              <w:t>before income taxes</w:t>
            </w:r>
            <w:r>
              <w:rPr>
                <w:rFonts w:ascii="Calibri" w:cs="Calibri" w:eastAsia="Calibri" w:hAnsi="Calibri"/>
                <w:sz w:val="24"/>
                <w:szCs w:val="24"/>
                <w:color w:val="auto"/>
                <w:vertAlign w:val="superscript"/>
              </w:rPr>
              <w:t>(5)</w:t>
            </w:r>
          </w:p>
        </w:tc>
        <w:tc>
          <w:tcPr>
            <w:tcW w:w="260" w:type="dxa"/>
            <w:vAlign w:val="bottom"/>
            <w:gridSpan w:val="2"/>
            <w:shd w:val="clear" w:color="auto" w:fill="CFF0FC"/>
          </w:tcPr>
          <w:p>
            <w:pPr>
              <w:ind w:left="140"/>
              <w:spacing w:after="0"/>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482</w:t>
            </w:r>
          </w:p>
        </w:tc>
        <w:tc>
          <w:tcPr>
            <w:tcW w:w="36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125</w:t>
            </w:r>
          </w:p>
        </w:tc>
        <w:tc>
          <w:tcPr>
            <w:tcW w:w="580" w:type="dxa"/>
            <w:vAlign w:val="bottom"/>
            <w:gridSpan w:val="2"/>
            <w:shd w:val="clear" w:color="auto" w:fill="CFF0FC"/>
          </w:tcPr>
          <w:p>
            <w:pPr>
              <w:jc w:val="right"/>
              <w:ind w:right="148"/>
              <w:spacing w:after="0"/>
              <w:rPr>
                <w:sz w:val="20"/>
                <w:szCs w:val="20"/>
                <w:color w:val="auto"/>
              </w:rPr>
            </w:pPr>
            <w:r>
              <w:rPr>
                <w:rFonts w:ascii="Calibri" w:cs="Calibri" w:eastAsia="Calibri" w:hAnsi="Calibri"/>
                <w:sz w:val="18"/>
                <w:szCs w:val="18"/>
                <w:color w:val="auto"/>
              </w:rPr>
              <w:t>$</w:t>
            </w:r>
          </w:p>
        </w:tc>
        <w:tc>
          <w:tcPr>
            <w:tcW w:w="5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Calibri" w:cs="Calibri" w:eastAsia="Calibri" w:hAnsi="Calibri"/>
                <w:sz w:val="18"/>
                <w:szCs w:val="18"/>
                <w:color w:val="auto"/>
              </w:rPr>
              <w:t>$</w:t>
            </w:r>
          </w:p>
        </w:tc>
        <w:tc>
          <w:tcPr>
            <w:tcW w:w="7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607</w:t>
            </w:r>
          </w:p>
        </w:tc>
        <w:tc>
          <w:tcPr>
            <w:tcW w:w="36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8"/>
                <w:szCs w:val="18"/>
                <w:color w:val="auto"/>
              </w:rPr>
              <w:t>(156 )</w:t>
            </w:r>
          </w:p>
        </w:tc>
        <w:tc>
          <w:tcPr>
            <w:tcW w:w="2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6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451</w:t>
            </w:r>
          </w:p>
        </w:tc>
        <w:tc>
          <w:tcPr>
            <w:tcW w:w="100" w:type="dxa"/>
            <w:vAlign w:val="bottom"/>
            <w:shd w:val="clear" w:color="auto" w:fill="CFF0FC"/>
          </w:tcPr>
          <w:p>
            <w:pPr>
              <w:spacing w:after="0"/>
              <w:rPr>
                <w:sz w:val="24"/>
                <w:szCs w:val="24"/>
                <w:color w:val="auto"/>
              </w:rPr>
            </w:pPr>
          </w:p>
        </w:tc>
      </w:tr>
      <w:tr>
        <w:trPr>
          <w:trHeight w:val="243"/>
        </w:trPr>
        <w:tc>
          <w:tcPr>
            <w:tcW w:w="4640" w:type="dxa"/>
            <w:vAlign w:val="bottom"/>
            <w:gridSpan w:val="2"/>
          </w:tcPr>
          <w:p>
            <w:pPr>
              <w:ind w:left="20"/>
              <w:spacing w:after="0" w:line="243" w:lineRule="exact"/>
              <w:rPr>
                <w:sz w:val="20"/>
                <w:szCs w:val="20"/>
                <w:color w:val="auto"/>
              </w:rPr>
            </w:pPr>
            <w:r>
              <w:rPr>
                <w:rFonts w:ascii="Calibri" w:cs="Calibri" w:eastAsia="Calibri" w:hAnsi="Calibri"/>
                <w:sz w:val="18"/>
                <w:szCs w:val="18"/>
                <w:color w:val="auto"/>
              </w:rPr>
              <w:t>Assets</w:t>
            </w:r>
            <w:r>
              <w:rPr>
                <w:rFonts w:ascii="Calibri" w:cs="Calibri" w:eastAsia="Calibri" w:hAnsi="Calibri"/>
                <w:sz w:val="24"/>
                <w:szCs w:val="24"/>
                <w:color w:val="auto"/>
                <w:vertAlign w:val="superscript"/>
              </w:rPr>
              <w:t>(6)</w:t>
            </w:r>
          </w:p>
        </w:tc>
        <w:tc>
          <w:tcPr>
            <w:tcW w:w="260" w:type="dxa"/>
            <w:vAlign w:val="bottom"/>
            <w:gridSpan w:val="2"/>
          </w:tcPr>
          <w:p>
            <w:pPr>
              <w:ind w:left="14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1,632</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1,473</w:t>
            </w:r>
          </w:p>
        </w:tc>
        <w:tc>
          <w:tcPr>
            <w:tcW w:w="580" w:type="dxa"/>
            <w:vAlign w:val="bottom"/>
            <w:gridSpan w:val="2"/>
          </w:tcPr>
          <w:p>
            <w:pPr>
              <w:jc w:val="right"/>
              <w:ind w:right="148"/>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3,105</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499</w:t>
            </w:r>
          </w:p>
        </w:tc>
        <w:tc>
          <w:tcPr>
            <w:tcW w:w="200" w:type="dxa"/>
            <w:vAlign w:val="bottom"/>
          </w:tcPr>
          <w:p>
            <w:pPr>
              <w:spacing w:after="0"/>
              <w:rPr>
                <w:sz w:val="21"/>
                <w:szCs w:val="21"/>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3,604</w:t>
            </w:r>
          </w:p>
        </w:tc>
        <w:tc>
          <w:tcPr>
            <w:tcW w:w="100" w:type="dxa"/>
            <w:vAlign w:val="bottom"/>
          </w:tcPr>
          <w:p>
            <w:pPr>
              <w:spacing w:after="0"/>
              <w:rPr>
                <w:sz w:val="21"/>
                <w:szCs w:val="21"/>
                <w:color w:val="auto"/>
              </w:rPr>
            </w:pPr>
          </w:p>
        </w:tc>
      </w:tr>
      <w:tr>
        <w:trPr>
          <w:trHeight w:val="183"/>
        </w:trPr>
        <w:tc>
          <w:tcPr>
            <w:tcW w:w="4640" w:type="dxa"/>
            <w:vAlign w:val="bottom"/>
            <w:gridSpan w:val="2"/>
            <w:shd w:val="clear" w:color="auto" w:fill="CFF0FC"/>
          </w:tcPr>
          <w:p>
            <w:pPr>
              <w:ind w:left="20"/>
              <w:spacing w:after="0" w:line="183" w:lineRule="exact"/>
              <w:rPr>
                <w:sz w:val="20"/>
                <w:szCs w:val="20"/>
                <w:color w:val="auto"/>
              </w:rPr>
            </w:pPr>
            <w:r>
              <w:rPr>
                <w:rFonts w:ascii="Calibri" w:cs="Calibri" w:eastAsia="Calibri" w:hAnsi="Calibri"/>
                <w:sz w:val="18"/>
                <w:szCs w:val="18"/>
                <w:color w:val="auto"/>
              </w:rPr>
              <w:t>Total expenditures for additons to long-lived</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76"/>
        </w:trPr>
        <w:tc>
          <w:tcPr>
            <w:tcW w:w="4640" w:type="dxa"/>
            <w:vAlign w:val="bottom"/>
            <w:gridSpan w:val="2"/>
            <w:shd w:val="clear" w:color="auto" w:fill="CFF0FC"/>
          </w:tcPr>
          <w:p>
            <w:pPr>
              <w:ind w:left="140"/>
              <w:spacing w:after="0" w:line="276" w:lineRule="exact"/>
              <w:rPr>
                <w:sz w:val="20"/>
                <w:szCs w:val="20"/>
                <w:color w:val="auto"/>
              </w:rPr>
            </w:pPr>
            <w:r>
              <w:rPr>
                <w:rFonts w:ascii="Calibri" w:cs="Calibri" w:eastAsia="Calibri" w:hAnsi="Calibri"/>
                <w:sz w:val="18"/>
                <w:szCs w:val="18"/>
                <w:color w:val="auto"/>
              </w:rPr>
              <w:t>assets</w:t>
            </w:r>
            <w:r>
              <w:rPr>
                <w:rFonts w:ascii="Calibri" w:cs="Calibri" w:eastAsia="Calibri" w:hAnsi="Calibri"/>
                <w:sz w:val="24"/>
                <w:szCs w:val="24"/>
                <w:color w:val="auto"/>
                <w:vertAlign w:val="superscript"/>
              </w:rPr>
              <w:t>(7)</w:t>
            </w:r>
          </w:p>
        </w:tc>
        <w:tc>
          <w:tcPr>
            <w:tcW w:w="260" w:type="dxa"/>
            <w:vAlign w:val="bottom"/>
            <w:gridSpan w:val="2"/>
            <w:shd w:val="clear" w:color="auto" w:fill="CFF0FC"/>
          </w:tcPr>
          <w:p>
            <w:pPr>
              <w:ind w:left="140"/>
              <w:spacing w:after="0"/>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149</w:t>
            </w:r>
          </w:p>
        </w:tc>
        <w:tc>
          <w:tcPr>
            <w:tcW w:w="36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108</w:t>
            </w:r>
          </w:p>
        </w:tc>
        <w:tc>
          <w:tcPr>
            <w:tcW w:w="580" w:type="dxa"/>
            <w:vAlign w:val="bottom"/>
            <w:gridSpan w:val="2"/>
            <w:shd w:val="clear" w:color="auto" w:fill="CFF0FC"/>
          </w:tcPr>
          <w:p>
            <w:pPr>
              <w:jc w:val="right"/>
              <w:ind w:right="148"/>
              <w:spacing w:after="0"/>
              <w:rPr>
                <w:sz w:val="20"/>
                <w:szCs w:val="20"/>
                <w:color w:val="auto"/>
              </w:rPr>
            </w:pPr>
            <w:r>
              <w:rPr>
                <w:rFonts w:ascii="Calibri" w:cs="Calibri" w:eastAsia="Calibri" w:hAnsi="Calibri"/>
                <w:sz w:val="18"/>
                <w:szCs w:val="18"/>
                <w:color w:val="auto"/>
              </w:rPr>
              <w:t>$</w:t>
            </w:r>
          </w:p>
        </w:tc>
        <w:tc>
          <w:tcPr>
            <w:tcW w:w="5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Calibri" w:cs="Calibri" w:eastAsia="Calibri" w:hAnsi="Calibri"/>
                <w:sz w:val="18"/>
                <w:szCs w:val="18"/>
                <w:color w:val="auto"/>
              </w:rPr>
              <w:t>$</w:t>
            </w:r>
          </w:p>
        </w:tc>
        <w:tc>
          <w:tcPr>
            <w:tcW w:w="7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257</w:t>
            </w:r>
          </w:p>
        </w:tc>
        <w:tc>
          <w:tcPr>
            <w:tcW w:w="36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7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8</w:t>
            </w:r>
          </w:p>
        </w:tc>
        <w:tc>
          <w:tcPr>
            <w:tcW w:w="20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6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265</w:t>
            </w:r>
          </w:p>
        </w:tc>
        <w:tc>
          <w:tcPr>
            <w:tcW w:w="100" w:type="dxa"/>
            <w:vAlign w:val="bottom"/>
            <w:shd w:val="clear" w:color="auto" w:fill="CFF0FC"/>
          </w:tcPr>
          <w:p>
            <w:pPr>
              <w:spacing w:after="0"/>
              <w:rPr>
                <w:sz w:val="24"/>
                <w:szCs w:val="24"/>
                <w:color w:val="auto"/>
              </w:rPr>
            </w:pPr>
          </w:p>
        </w:tc>
      </w:tr>
      <w:tr>
        <w:trPr>
          <w:trHeight w:val="215"/>
        </w:trPr>
        <w:tc>
          <w:tcPr>
            <w:tcW w:w="188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2022</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1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640" w:type="dxa"/>
            <w:vAlign w:val="bottom"/>
            <w:gridSpan w:val="2"/>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Revenues from external customers</w:t>
            </w:r>
            <w:r>
              <w:rPr>
                <w:rFonts w:ascii="Calibri" w:cs="Calibri" w:eastAsia="Calibri" w:hAnsi="Calibri"/>
                <w:sz w:val="24"/>
                <w:szCs w:val="24"/>
                <w:color w:val="auto"/>
                <w:vertAlign w:val="superscript"/>
              </w:rPr>
              <w:t>(3)(4)</w:t>
            </w:r>
          </w:p>
        </w:tc>
        <w:tc>
          <w:tcPr>
            <w:tcW w:w="260" w:type="dxa"/>
            <w:vAlign w:val="bottom"/>
            <w:gridSpan w:val="2"/>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2,673</w:t>
            </w:r>
          </w:p>
        </w:tc>
        <w:tc>
          <w:tcPr>
            <w:tcW w:w="3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1,388</w:t>
            </w:r>
          </w:p>
        </w:tc>
        <w:tc>
          <w:tcPr>
            <w:tcW w:w="580" w:type="dxa"/>
            <w:vAlign w:val="bottom"/>
            <w:gridSpan w:val="2"/>
            <w:shd w:val="clear" w:color="auto" w:fill="CFF0FC"/>
          </w:tcPr>
          <w:p>
            <w:pPr>
              <w:jc w:val="right"/>
              <w:ind w:right="148"/>
              <w:spacing w:after="0" w:line="215" w:lineRule="exact"/>
              <w:rPr>
                <w:sz w:val="20"/>
                <w:szCs w:val="20"/>
                <w:color w:val="auto"/>
              </w:rPr>
            </w:pPr>
            <w:r>
              <w:rPr>
                <w:rFonts w:ascii="Calibri" w:cs="Calibri" w:eastAsia="Calibri" w:hAnsi="Calibri"/>
                <w:sz w:val="18"/>
                <w:szCs w:val="18"/>
                <w:color w:val="auto"/>
              </w:rPr>
              <w:t>$</w:t>
            </w:r>
          </w:p>
        </w:tc>
        <w:tc>
          <w:tcPr>
            <w:tcW w:w="5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97</w:t>
            </w:r>
          </w:p>
        </w:tc>
        <w:tc>
          <w:tcPr>
            <w:tcW w:w="34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4,158</w:t>
            </w:r>
          </w:p>
        </w:tc>
        <w:tc>
          <w:tcPr>
            <w:tcW w:w="3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163</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4,321</w:t>
            </w:r>
          </w:p>
        </w:tc>
        <w:tc>
          <w:tcPr>
            <w:tcW w:w="100" w:type="dxa"/>
            <w:vAlign w:val="bottom"/>
            <w:shd w:val="clear" w:color="auto" w:fill="CFF0FC"/>
          </w:tcPr>
          <w:p>
            <w:pPr>
              <w:spacing w:after="0"/>
              <w:rPr>
                <w:sz w:val="21"/>
                <w:szCs w:val="21"/>
                <w:color w:val="auto"/>
              </w:rPr>
            </w:pPr>
          </w:p>
        </w:tc>
      </w:tr>
      <w:tr>
        <w:trPr>
          <w:trHeight w:val="215"/>
        </w:trPr>
        <w:tc>
          <w:tcPr>
            <w:tcW w:w="464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Depreciaton and amortzaton</w:t>
            </w:r>
          </w:p>
        </w:tc>
        <w:tc>
          <w:tcPr>
            <w:tcW w:w="260" w:type="dxa"/>
            <w:vAlign w:val="bottom"/>
            <w:gridSpan w:val="2"/>
          </w:tcPr>
          <w:p>
            <w:pPr>
              <w:ind w:left="14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70</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72</w:t>
            </w:r>
          </w:p>
        </w:tc>
        <w:tc>
          <w:tcPr>
            <w:tcW w:w="580" w:type="dxa"/>
            <w:vAlign w:val="bottom"/>
            <w:gridSpan w:val="2"/>
          </w:tcPr>
          <w:p>
            <w:pPr>
              <w:jc w:val="right"/>
              <w:ind w:right="148"/>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3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145</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146</w:t>
            </w:r>
          </w:p>
        </w:tc>
        <w:tc>
          <w:tcPr>
            <w:tcW w:w="100" w:type="dxa"/>
            <w:vAlign w:val="bottom"/>
          </w:tcPr>
          <w:p>
            <w:pPr>
              <w:spacing w:after="0"/>
              <w:rPr>
                <w:sz w:val="18"/>
                <w:szCs w:val="18"/>
                <w:color w:val="auto"/>
              </w:rPr>
            </w:pPr>
          </w:p>
        </w:tc>
      </w:tr>
      <w:tr>
        <w:trPr>
          <w:trHeight w:val="28"/>
        </w:trPr>
        <w:tc>
          <w:tcPr>
            <w:tcW w:w="1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640" w:type="dxa"/>
            <w:vAlign w:val="bottom"/>
            <w:tcBorders>
              <w:bottom w:val="single" w:sz="8" w:color="CFF0FC"/>
            </w:tcBorders>
            <w:gridSpan w:val="2"/>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Equity in earnings of afliated companies</w:t>
            </w:r>
          </w:p>
        </w:tc>
        <w:tc>
          <w:tcPr>
            <w:tcW w:w="260" w:type="dxa"/>
            <w:vAlign w:val="bottom"/>
            <w:tcBorders>
              <w:bottom w:val="single" w:sz="8" w:color="CFF0FC"/>
            </w:tcBorders>
            <w:gridSpan w:val="2"/>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w:t>
            </w:r>
          </w:p>
        </w:tc>
        <w:tc>
          <w:tcPr>
            <w:tcW w:w="3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580" w:type="dxa"/>
            <w:vAlign w:val="bottom"/>
            <w:tcBorders>
              <w:bottom w:val="single" w:sz="8" w:color="CFF0FC"/>
            </w:tcBorders>
            <w:gridSpan w:val="2"/>
            <w:shd w:val="clear" w:color="auto" w:fill="CFF0FC"/>
          </w:tcPr>
          <w:p>
            <w:pPr>
              <w:jc w:val="right"/>
              <w:ind w:right="148"/>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34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w:t>
            </w:r>
          </w:p>
        </w:tc>
        <w:tc>
          <w:tcPr>
            <w:tcW w:w="3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4640" w:type="dxa"/>
            <w:vAlign w:val="bottom"/>
            <w:gridSpan w:val="2"/>
          </w:tcPr>
          <w:p>
            <w:pPr>
              <w:ind w:left="20"/>
              <w:spacing w:after="0" w:line="183" w:lineRule="exact"/>
              <w:rPr>
                <w:sz w:val="20"/>
                <w:szCs w:val="20"/>
                <w:color w:val="auto"/>
              </w:rPr>
            </w:pPr>
            <w:r>
              <w:rPr>
                <w:rFonts w:ascii="Calibri" w:cs="Calibri" w:eastAsia="Calibri" w:hAnsi="Calibri"/>
                <w:sz w:val="18"/>
                <w:szCs w:val="18"/>
                <w:color w:val="auto"/>
              </w:rPr>
              <w:t>Income (loss) from operatons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76"/>
        </w:trPr>
        <w:tc>
          <w:tcPr>
            <w:tcW w:w="4640" w:type="dxa"/>
            <w:vAlign w:val="bottom"/>
            <w:gridSpan w:val="2"/>
          </w:tcPr>
          <w:p>
            <w:pPr>
              <w:ind w:left="140"/>
              <w:spacing w:after="0" w:line="276" w:lineRule="exact"/>
              <w:rPr>
                <w:sz w:val="20"/>
                <w:szCs w:val="20"/>
                <w:color w:val="auto"/>
              </w:rPr>
            </w:pPr>
            <w:r>
              <w:rPr>
                <w:rFonts w:ascii="Calibri" w:cs="Calibri" w:eastAsia="Calibri" w:hAnsi="Calibri"/>
                <w:sz w:val="18"/>
                <w:szCs w:val="18"/>
                <w:color w:val="auto"/>
              </w:rPr>
              <w:t>before income taxes</w:t>
            </w:r>
            <w:r>
              <w:rPr>
                <w:rFonts w:ascii="Calibri" w:cs="Calibri" w:eastAsia="Calibri" w:hAnsi="Calibri"/>
                <w:sz w:val="24"/>
                <w:szCs w:val="24"/>
                <w:color w:val="auto"/>
                <w:vertAlign w:val="superscript"/>
              </w:rPr>
              <w:t>(5)</w:t>
            </w:r>
          </w:p>
        </w:tc>
        <w:tc>
          <w:tcPr>
            <w:tcW w:w="260" w:type="dxa"/>
            <w:vAlign w:val="bottom"/>
            <w:gridSpan w:val="2"/>
          </w:tcPr>
          <w:p>
            <w:pPr>
              <w:ind w:left="140"/>
              <w:spacing w:after="0"/>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408</w:t>
            </w:r>
          </w:p>
        </w:tc>
        <w:tc>
          <w:tcPr>
            <w:tcW w:w="36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234</w:t>
            </w:r>
          </w:p>
        </w:tc>
        <w:tc>
          <w:tcPr>
            <w:tcW w:w="580" w:type="dxa"/>
            <w:vAlign w:val="bottom"/>
            <w:gridSpan w:val="2"/>
          </w:tcPr>
          <w:p>
            <w:pPr>
              <w:jc w:val="right"/>
              <w:ind w:right="148"/>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3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rPr>
                <w:sz w:val="20"/>
                <w:szCs w:val="20"/>
                <w:color w:val="auto"/>
              </w:rPr>
            </w:pPr>
            <w:r>
              <w:rPr>
                <w:rFonts w:ascii="Calibri" w:cs="Calibri" w:eastAsia="Calibri" w:hAnsi="Calibri"/>
                <w:sz w:val="18"/>
                <w:szCs w:val="18"/>
                <w:color w:val="auto"/>
              </w:rPr>
              <w:t>642</w:t>
            </w:r>
          </w:p>
        </w:tc>
        <w:tc>
          <w:tcPr>
            <w:tcW w:w="36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92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(307 )</w:t>
            </w:r>
          </w:p>
        </w:tc>
        <w:tc>
          <w:tcPr>
            <w:tcW w:w="2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680" w:type="dxa"/>
            <w:vAlign w:val="bottom"/>
          </w:tcPr>
          <w:p>
            <w:pPr>
              <w:jc w:val="right"/>
              <w:spacing w:after="0"/>
              <w:rPr>
                <w:sz w:val="20"/>
                <w:szCs w:val="20"/>
                <w:color w:val="auto"/>
              </w:rPr>
            </w:pPr>
            <w:r>
              <w:rPr>
                <w:rFonts w:ascii="Calibri" w:cs="Calibri" w:eastAsia="Calibri" w:hAnsi="Calibri"/>
                <w:sz w:val="18"/>
                <w:szCs w:val="18"/>
                <w:color w:val="auto"/>
              </w:rPr>
              <w:t>335</w:t>
            </w:r>
          </w:p>
        </w:tc>
        <w:tc>
          <w:tcPr>
            <w:tcW w:w="100" w:type="dxa"/>
            <w:vAlign w:val="bottom"/>
          </w:tcPr>
          <w:p>
            <w:pPr>
              <w:spacing w:after="0"/>
              <w:rPr>
                <w:sz w:val="24"/>
                <w:szCs w:val="24"/>
                <w:color w:val="auto"/>
              </w:rPr>
            </w:pPr>
          </w:p>
        </w:tc>
      </w:tr>
      <w:tr>
        <w:trPr>
          <w:trHeight w:val="243"/>
        </w:trPr>
        <w:tc>
          <w:tcPr>
            <w:tcW w:w="4640" w:type="dxa"/>
            <w:vAlign w:val="bottom"/>
            <w:gridSpan w:val="2"/>
            <w:shd w:val="clear" w:color="auto" w:fill="CFF0FC"/>
          </w:tcPr>
          <w:p>
            <w:pPr>
              <w:ind w:left="20"/>
              <w:spacing w:after="0" w:line="243" w:lineRule="exact"/>
              <w:rPr>
                <w:sz w:val="20"/>
                <w:szCs w:val="20"/>
                <w:color w:val="auto"/>
              </w:rPr>
            </w:pPr>
            <w:r>
              <w:rPr>
                <w:rFonts w:ascii="Calibri" w:cs="Calibri" w:eastAsia="Calibri" w:hAnsi="Calibri"/>
                <w:sz w:val="18"/>
                <w:szCs w:val="18"/>
                <w:color w:val="auto"/>
              </w:rPr>
              <w:t>Assets</w:t>
            </w:r>
            <w:r>
              <w:rPr>
                <w:rFonts w:ascii="Calibri" w:cs="Calibri" w:eastAsia="Calibri" w:hAnsi="Calibri"/>
                <w:sz w:val="24"/>
                <w:szCs w:val="24"/>
                <w:color w:val="auto"/>
                <w:vertAlign w:val="superscript"/>
              </w:rPr>
              <w:t>(6)</w:t>
            </w:r>
          </w:p>
        </w:tc>
        <w:tc>
          <w:tcPr>
            <w:tcW w:w="260" w:type="dxa"/>
            <w:vAlign w:val="bottom"/>
            <w:gridSpan w:val="2"/>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1,691</w:t>
            </w:r>
          </w:p>
        </w:tc>
        <w:tc>
          <w:tcPr>
            <w:tcW w:w="3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1,458</w:t>
            </w:r>
          </w:p>
        </w:tc>
        <w:tc>
          <w:tcPr>
            <w:tcW w:w="580" w:type="dxa"/>
            <w:vAlign w:val="bottom"/>
            <w:gridSpan w:val="2"/>
            <w:shd w:val="clear" w:color="auto" w:fill="CFF0FC"/>
          </w:tcPr>
          <w:p>
            <w:pPr>
              <w:jc w:val="right"/>
              <w:ind w:right="148"/>
              <w:spacing w:after="0" w:line="215" w:lineRule="exact"/>
              <w:rPr>
                <w:sz w:val="20"/>
                <w:szCs w:val="20"/>
                <w:color w:val="auto"/>
              </w:rPr>
            </w:pPr>
            <w:r>
              <w:rPr>
                <w:rFonts w:ascii="Calibri" w:cs="Calibri" w:eastAsia="Calibri" w:hAnsi="Calibri"/>
                <w:sz w:val="18"/>
                <w:szCs w:val="18"/>
                <w:color w:val="auto"/>
              </w:rPr>
              <w:t>$</w:t>
            </w:r>
          </w:p>
        </w:tc>
        <w:tc>
          <w:tcPr>
            <w:tcW w:w="5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4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3,149</w:t>
            </w:r>
          </w:p>
        </w:tc>
        <w:tc>
          <w:tcPr>
            <w:tcW w:w="3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376</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3,525</w:t>
            </w:r>
          </w:p>
        </w:tc>
        <w:tc>
          <w:tcPr>
            <w:tcW w:w="100" w:type="dxa"/>
            <w:vAlign w:val="bottom"/>
            <w:shd w:val="clear" w:color="auto" w:fill="CFF0FC"/>
          </w:tcPr>
          <w:p>
            <w:pPr>
              <w:spacing w:after="0"/>
              <w:rPr>
                <w:sz w:val="21"/>
                <w:szCs w:val="21"/>
                <w:color w:val="auto"/>
              </w:rPr>
            </w:pPr>
          </w:p>
        </w:tc>
      </w:tr>
      <w:tr>
        <w:trPr>
          <w:trHeight w:val="183"/>
        </w:trPr>
        <w:tc>
          <w:tcPr>
            <w:tcW w:w="4640" w:type="dxa"/>
            <w:vAlign w:val="bottom"/>
            <w:gridSpan w:val="2"/>
          </w:tcPr>
          <w:p>
            <w:pPr>
              <w:ind w:left="20"/>
              <w:spacing w:after="0" w:line="183" w:lineRule="exact"/>
              <w:rPr>
                <w:sz w:val="20"/>
                <w:szCs w:val="20"/>
                <w:color w:val="auto"/>
              </w:rPr>
            </w:pPr>
            <w:r>
              <w:rPr>
                <w:rFonts w:ascii="Calibri" w:cs="Calibri" w:eastAsia="Calibri" w:hAnsi="Calibri"/>
                <w:sz w:val="18"/>
                <w:szCs w:val="18"/>
                <w:color w:val="auto"/>
              </w:rPr>
              <w:t>Total expenditures for additons to long-lived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76"/>
        </w:trPr>
        <w:tc>
          <w:tcPr>
            <w:tcW w:w="4640" w:type="dxa"/>
            <w:vAlign w:val="bottom"/>
            <w:gridSpan w:val="2"/>
          </w:tcPr>
          <w:p>
            <w:pPr>
              <w:ind w:left="140"/>
              <w:spacing w:after="0" w:line="276" w:lineRule="exact"/>
              <w:rPr>
                <w:sz w:val="20"/>
                <w:szCs w:val="20"/>
                <w:color w:val="auto"/>
              </w:rPr>
            </w:pPr>
            <w:r>
              <w:rPr>
                <w:rFonts w:ascii="Calibri" w:cs="Calibri" w:eastAsia="Calibri" w:hAnsi="Calibri"/>
                <w:sz w:val="18"/>
                <w:szCs w:val="18"/>
                <w:color w:val="auto"/>
              </w:rPr>
              <w:t>assets</w:t>
            </w:r>
            <w:r>
              <w:rPr>
                <w:rFonts w:ascii="Calibri" w:cs="Calibri" w:eastAsia="Calibri" w:hAnsi="Calibri"/>
                <w:sz w:val="24"/>
                <w:szCs w:val="24"/>
                <w:color w:val="auto"/>
                <w:vertAlign w:val="superscript"/>
              </w:rPr>
              <w:t>(7)</w:t>
            </w:r>
          </w:p>
        </w:tc>
        <w:tc>
          <w:tcPr>
            <w:tcW w:w="260" w:type="dxa"/>
            <w:vAlign w:val="bottom"/>
            <w:gridSpan w:val="2"/>
          </w:tcPr>
          <w:p>
            <w:pPr>
              <w:ind w:left="140"/>
              <w:spacing w:after="0"/>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114</w:t>
            </w:r>
          </w:p>
        </w:tc>
        <w:tc>
          <w:tcPr>
            <w:tcW w:w="36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580" w:type="dxa"/>
            <w:vAlign w:val="bottom"/>
            <w:gridSpan w:val="2"/>
          </w:tcPr>
          <w:p>
            <w:pPr>
              <w:jc w:val="right"/>
              <w:ind w:right="148"/>
              <w:spacing w:after="0"/>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340" w:type="dxa"/>
            <w:vAlign w:val="bottom"/>
            <w:gridSpan w:val="2"/>
          </w:tcPr>
          <w:p>
            <w:pPr>
              <w:jc w:val="right"/>
              <w:ind w:right="20"/>
              <w:spacing w:after="0"/>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rPr>
                <w:sz w:val="20"/>
                <w:szCs w:val="20"/>
                <w:color w:val="auto"/>
              </w:rPr>
            </w:pPr>
            <w:r>
              <w:rPr>
                <w:rFonts w:ascii="Calibri" w:cs="Calibri" w:eastAsia="Calibri" w:hAnsi="Calibri"/>
                <w:sz w:val="18"/>
                <w:szCs w:val="18"/>
                <w:color w:val="auto"/>
              </w:rPr>
              <w:t>217</w:t>
            </w:r>
          </w:p>
        </w:tc>
        <w:tc>
          <w:tcPr>
            <w:tcW w:w="36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680" w:type="dxa"/>
            <w:vAlign w:val="bottom"/>
          </w:tcPr>
          <w:p>
            <w:pPr>
              <w:jc w:val="right"/>
              <w:spacing w:after="0"/>
              <w:rPr>
                <w:sz w:val="20"/>
                <w:szCs w:val="20"/>
                <w:color w:val="auto"/>
              </w:rPr>
            </w:pPr>
            <w:r>
              <w:rPr>
                <w:rFonts w:ascii="Calibri" w:cs="Calibri" w:eastAsia="Calibri" w:hAnsi="Calibri"/>
                <w:sz w:val="18"/>
                <w:szCs w:val="18"/>
                <w:color w:val="auto"/>
              </w:rPr>
              <w:t>221</w:t>
            </w:r>
          </w:p>
        </w:tc>
        <w:tc>
          <w:tcPr>
            <w:tcW w:w="100" w:type="dxa"/>
            <w:vAlign w:val="bottom"/>
          </w:tcPr>
          <w:p>
            <w:pPr>
              <w:spacing w:after="0"/>
              <w:rPr>
                <w:sz w:val="24"/>
                <w:szCs w:val="24"/>
                <w:color w:val="auto"/>
              </w:rPr>
            </w:pPr>
          </w:p>
        </w:tc>
      </w:tr>
      <w:tr>
        <w:trPr>
          <w:trHeight w:val="223"/>
        </w:trPr>
        <w:tc>
          <w:tcPr>
            <w:tcW w:w="18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2021</w:t>
            </w:r>
          </w:p>
        </w:tc>
        <w:tc>
          <w:tcPr>
            <w:tcW w:w="27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43"/>
        </w:trPr>
        <w:tc>
          <w:tcPr>
            <w:tcW w:w="4640" w:type="dxa"/>
            <w:vAlign w:val="bottom"/>
            <w:gridSpan w:val="2"/>
          </w:tcPr>
          <w:p>
            <w:pPr>
              <w:ind w:left="20"/>
              <w:spacing w:after="0" w:line="243" w:lineRule="exact"/>
              <w:rPr>
                <w:sz w:val="20"/>
                <w:szCs w:val="20"/>
                <w:color w:val="auto"/>
              </w:rPr>
            </w:pPr>
            <w:r>
              <w:rPr>
                <w:rFonts w:ascii="Calibri" w:cs="Calibri" w:eastAsia="Calibri" w:hAnsi="Calibri"/>
                <w:sz w:val="18"/>
                <w:szCs w:val="18"/>
                <w:color w:val="auto"/>
              </w:rPr>
              <w:t>Revenues from external customers</w:t>
            </w:r>
            <w:r>
              <w:rPr>
                <w:rFonts w:ascii="Calibri" w:cs="Calibri" w:eastAsia="Calibri" w:hAnsi="Calibri"/>
                <w:sz w:val="24"/>
                <w:szCs w:val="24"/>
                <w:color w:val="auto"/>
                <w:vertAlign w:val="superscript"/>
              </w:rPr>
              <w:t>(3)(4)</w:t>
            </w:r>
          </w:p>
        </w:tc>
        <w:tc>
          <w:tcPr>
            <w:tcW w:w="260" w:type="dxa"/>
            <w:vAlign w:val="bottom"/>
            <w:gridSpan w:val="2"/>
          </w:tcPr>
          <w:p>
            <w:pPr>
              <w:ind w:left="14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1,838</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1,156</w:t>
            </w:r>
          </w:p>
        </w:tc>
        <w:tc>
          <w:tcPr>
            <w:tcW w:w="580" w:type="dxa"/>
            <w:vAlign w:val="bottom"/>
            <w:gridSpan w:val="2"/>
          </w:tcPr>
          <w:p>
            <w:pPr>
              <w:jc w:val="right"/>
              <w:ind w:right="148"/>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257</w:t>
            </w:r>
          </w:p>
        </w:tc>
        <w:tc>
          <w:tcPr>
            <w:tcW w:w="3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3,251</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158</w:t>
            </w:r>
          </w:p>
        </w:tc>
        <w:tc>
          <w:tcPr>
            <w:tcW w:w="200" w:type="dxa"/>
            <w:vAlign w:val="bottom"/>
          </w:tcPr>
          <w:p>
            <w:pPr>
              <w:spacing w:after="0"/>
              <w:rPr>
                <w:sz w:val="21"/>
                <w:szCs w:val="21"/>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3,409</w:t>
            </w:r>
          </w:p>
        </w:tc>
        <w:tc>
          <w:tcPr>
            <w:tcW w:w="100" w:type="dxa"/>
            <w:vAlign w:val="bottom"/>
          </w:tcPr>
          <w:p>
            <w:pPr>
              <w:spacing w:after="0"/>
              <w:rPr>
                <w:sz w:val="21"/>
                <w:szCs w:val="21"/>
                <w:color w:val="auto"/>
              </w:rPr>
            </w:pPr>
          </w:p>
        </w:tc>
      </w:tr>
      <w:tr>
        <w:trPr>
          <w:trHeight w:val="223"/>
        </w:trPr>
        <w:tc>
          <w:tcPr>
            <w:tcW w:w="4640" w:type="dxa"/>
            <w:vAlign w:val="bottom"/>
            <w:tcBorders>
              <w:bottom w:val="single" w:sz="8" w:color="CFF0FC"/>
            </w:tcBorders>
            <w:gridSpan w:val="2"/>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Depreciaton and amortzaton</w:t>
            </w:r>
          </w:p>
        </w:tc>
        <w:tc>
          <w:tcPr>
            <w:tcW w:w="260" w:type="dxa"/>
            <w:vAlign w:val="bottom"/>
            <w:tcBorders>
              <w:bottom w:val="single" w:sz="8" w:color="CFF0FC"/>
            </w:tcBorders>
            <w:gridSpan w:val="2"/>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70</w:t>
            </w:r>
          </w:p>
        </w:tc>
        <w:tc>
          <w:tcPr>
            <w:tcW w:w="3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73</w:t>
            </w:r>
          </w:p>
        </w:tc>
        <w:tc>
          <w:tcPr>
            <w:tcW w:w="580" w:type="dxa"/>
            <w:vAlign w:val="bottom"/>
            <w:tcBorders>
              <w:bottom w:val="single" w:sz="8" w:color="CFF0FC"/>
            </w:tcBorders>
            <w:gridSpan w:val="2"/>
            <w:shd w:val="clear" w:color="auto" w:fill="CFF0FC"/>
          </w:tcPr>
          <w:p>
            <w:pPr>
              <w:jc w:val="right"/>
              <w:ind w:right="148"/>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w:t>
            </w:r>
          </w:p>
        </w:tc>
        <w:tc>
          <w:tcPr>
            <w:tcW w:w="34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159</w:t>
            </w:r>
          </w:p>
        </w:tc>
        <w:tc>
          <w:tcPr>
            <w:tcW w:w="3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464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Equity in earnings of afliated companies</w:t>
            </w:r>
          </w:p>
        </w:tc>
        <w:tc>
          <w:tcPr>
            <w:tcW w:w="260" w:type="dxa"/>
            <w:vAlign w:val="bottom"/>
            <w:gridSpan w:val="2"/>
          </w:tcPr>
          <w:p>
            <w:pPr>
              <w:ind w:left="14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580" w:type="dxa"/>
            <w:vAlign w:val="bottom"/>
            <w:gridSpan w:val="2"/>
          </w:tcPr>
          <w:p>
            <w:pPr>
              <w:jc w:val="right"/>
              <w:ind w:right="148"/>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3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9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(1 )</w:t>
            </w: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8"/>
                <w:szCs w:val="18"/>
                <w:color w:val="auto"/>
              </w:rPr>
            </w:pPr>
          </w:p>
        </w:tc>
      </w:tr>
      <w:tr>
        <w:trPr>
          <w:trHeight w:val="28"/>
        </w:trPr>
        <w:tc>
          <w:tcPr>
            <w:tcW w:w="1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4640" w:type="dxa"/>
            <w:vAlign w:val="bottom"/>
            <w:gridSpan w:val="2"/>
            <w:shd w:val="clear" w:color="auto" w:fill="CFF0FC"/>
          </w:tcPr>
          <w:p>
            <w:pPr>
              <w:ind w:left="20"/>
              <w:spacing w:after="0" w:line="183" w:lineRule="exact"/>
              <w:rPr>
                <w:sz w:val="20"/>
                <w:szCs w:val="20"/>
                <w:color w:val="auto"/>
              </w:rPr>
            </w:pPr>
            <w:r>
              <w:rPr>
                <w:rFonts w:ascii="Calibri" w:cs="Calibri" w:eastAsia="Calibri" w:hAnsi="Calibri"/>
                <w:sz w:val="18"/>
                <w:szCs w:val="18"/>
                <w:color w:val="auto"/>
              </w:rPr>
              <w:t>Income (loss) from operatons</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76"/>
        </w:trPr>
        <w:tc>
          <w:tcPr>
            <w:tcW w:w="4640" w:type="dxa"/>
            <w:vAlign w:val="bottom"/>
            <w:gridSpan w:val="2"/>
            <w:shd w:val="clear" w:color="auto" w:fill="CFF0FC"/>
          </w:tcPr>
          <w:p>
            <w:pPr>
              <w:ind w:left="140"/>
              <w:spacing w:after="0" w:line="276" w:lineRule="exact"/>
              <w:rPr>
                <w:sz w:val="20"/>
                <w:szCs w:val="20"/>
                <w:color w:val="auto"/>
              </w:rPr>
            </w:pPr>
            <w:r>
              <w:rPr>
                <w:rFonts w:ascii="Calibri" w:cs="Calibri" w:eastAsia="Calibri" w:hAnsi="Calibri"/>
                <w:sz w:val="18"/>
                <w:szCs w:val="18"/>
                <w:color w:val="auto"/>
              </w:rPr>
              <w:t>before income taxes</w:t>
            </w:r>
            <w:r>
              <w:rPr>
                <w:rFonts w:ascii="Calibri" w:cs="Calibri" w:eastAsia="Calibri" w:hAnsi="Calibri"/>
                <w:sz w:val="24"/>
                <w:szCs w:val="24"/>
                <w:color w:val="auto"/>
                <w:vertAlign w:val="superscript"/>
              </w:rPr>
              <w:t>(5)</w:t>
            </w:r>
          </w:p>
        </w:tc>
        <w:tc>
          <w:tcPr>
            <w:tcW w:w="260" w:type="dxa"/>
            <w:vAlign w:val="bottom"/>
            <w:gridSpan w:val="2"/>
            <w:shd w:val="clear" w:color="auto" w:fill="CFF0FC"/>
          </w:tcPr>
          <w:p>
            <w:pPr>
              <w:ind w:left="140"/>
              <w:spacing w:after="0"/>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329</w:t>
            </w:r>
          </w:p>
        </w:tc>
        <w:tc>
          <w:tcPr>
            <w:tcW w:w="36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211</w:t>
            </w:r>
          </w:p>
        </w:tc>
        <w:tc>
          <w:tcPr>
            <w:tcW w:w="580" w:type="dxa"/>
            <w:vAlign w:val="bottom"/>
            <w:gridSpan w:val="2"/>
            <w:shd w:val="clear" w:color="auto" w:fill="CFF0FC"/>
          </w:tcPr>
          <w:p>
            <w:pPr>
              <w:jc w:val="right"/>
              <w:ind w:right="148"/>
              <w:spacing w:after="0"/>
              <w:rPr>
                <w:sz w:val="20"/>
                <w:szCs w:val="20"/>
                <w:color w:val="auto"/>
              </w:rPr>
            </w:pPr>
            <w:r>
              <w:rPr>
                <w:rFonts w:ascii="Calibri" w:cs="Calibri" w:eastAsia="Calibri" w:hAnsi="Calibri"/>
                <w:sz w:val="18"/>
                <w:szCs w:val="18"/>
                <w:color w:val="auto"/>
              </w:rPr>
              <w:t>$</w:t>
            </w:r>
          </w:p>
        </w:tc>
        <w:tc>
          <w:tcPr>
            <w:tcW w:w="5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10</w:t>
            </w:r>
          </w:p>
        </w:tc>
        <w:tc>
          <w:tcPr>
            <w:tcW w:w="340" w:type="dxa"/>
            <w:vAlign w:val="bottom"/>
            <w:gridSpan w:val="2"/>
            <w:shd w:val="clear" w:color="auto" w:fill="CFF0FC"/>
          </w:tcPr>
          <w:p>
            <w:pPr>
              <w:jc w:val="right"/>
              <w:ind w:right="20"/>
              <w:spacing w:after="0"/>
              <w:rPr>
                <w:sz w:val="20"/>
                <w:szCs w:val="20"/>
                <w:color w:val="auto"/>
              </w:rPr>
            </w:pPr>
            <w:r>
              <w:rPr>
                <w:rFonts w:ascii="Calibri" w:cs="Calibri" w:eastAsia="Calibri" w:hAnsi="Calibri"/>
                <w:sz w:val="18"/>
                <w:szCs w:val="18"/>
                <w:color w:val="auto"/>
              </w:rPr>
              <w:t>$</w:t>
            </w:r>
          </w:p>
        </w:tc>
        <w:tc>
          <w:tcPr>
            <w:tcW w:w="7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550</w:t>
            </w:r>
          </w:p>
        </w:tc>
        <w:tc>
          <w:tcPr>
            <w:tcW w:w="36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Calibri" w:cs="Calibri" w:eastAsia="Calibri" w:hAnsi="Calibri"/>
                <w:sz w:val="18"/>
                <w:szCs w:val="18"/>
                <w:color w:val="auto"/>
              </w:rPr>
              <w:t>(144 )</w:t>
            </w:r>
          </w:p>
        </w:tc>
        <w:tc>
          <w:tcPr>
            <w:tcW w:w="2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6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406</w:t>
            </w:r>
          </w:p>
        </w:tc>
        <w:tc>
          <w:tcPr>
            <w:tcW w:w="100" w:type="dxa"/>
            <w:vAlign w:val="bottom"/>
            <w:shd w:val="clear" w:color="auto" w:fill="CFF0FC"/>
          </w:tcPr>
          <w:p>
            <w:pPr>
              <w:spacing w:after="0"/>
              <w:rPr>
                <w:sz w:val="24"/>
                <w:szCs w:val="24"/>
                <w:color w:val="auto"/>
              </w:rPr>
            </w:pPr>
          </w:p>
        </w:tc>
      </w:tr>
      <w:tr>
        <w:trPr>
          <w:trHeight w:val="243"/>
        </w:trPr>
        <w:tc>
          <w:tcPr>
            <w:tcW w:w="4640" w:type="dxa"/>
            <w:vAlign w:val="bottom"/>
            <w:gridSpan w:val="2"/>
          </w:tcPr>
          <w:p>
            <w:pPr>
              <w:ind w:left="20"/>
              <w:spacing w:after="0" w:line="243" w:lineRule="exact"/>
              <w:rPr>
                <w:sz w:val="20"/>
                <w:szCs w:val="20"/>
                <w:color w:val="auto"/>
              </w:rPr>
            </w:pPr>
            <w:r>
              <w:rPr>
                <w:rFonts w:ascii="Calibri" w:cs="Calibri" w:eastAsia="Calibri" w:hAnsi="Calibri"/>
                <w:sz w:val="18"/>
                <w:szCs w:val="18"/>
                <w:color w:val="auto"/>
              </w:rPr>
              <w:t>Assets</w:t>
            </w:r>
            <w:r>
              <w:rPr>
                <w:rFonts w:ascii="Calibri" w:cs="Calibri" w:eastAsia="Calibri" w:hAnsi="Calibri"/>
                <w:sz w:val="24"/>
                <w:szCs w:val="24"/>
                <w:color w:val="auto"/>
                <w:vertAlign w:val="superscript"/>
              </w:rPr>
              <w:t>(6)</w:t>
            </w:r>
          </w:p>
        </w:tc>
        <w:tc>
          <w:tcPr>
            <w:tcW w:w="260" w:type="dxa"/>
            <w:vAlign w:val="bottom"/>
            <w:gridSpan w:val="2"/>
          </w:tcPr>
          <w:p>
            <w:pPr>
              <w:ind w:left="14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1,421</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1,325</w:t>
            </w:r>
          </w:p>
        </w:tc>
        <w:tc>
          <w:tcPr>
            <w:tcW w:w="580" w:type="dxa"/>
            <w:vAlign w:val="bottom"/>
            <w:gridSpan w:val="2"/>
          </w:tcPr>
          <w:p>
            <w:pPr>
              <w:jc w:val="right"/>
              <w:ind w:right="148"/>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283</w:t>
            </w:r>
          </w:p>
        </w:tc>
        <w:tc>
          <w:tcPr>
            <w:tcW w:w="3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3,029</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277</w:t>
            </w:r>
          </w:p>
        </w:tc>
        <w:tc>
          <w:tcPr>
            <w:tcW w:w="200" w:type="dxa"/>
            <w:vAlign w:val="bottom"/>
          </w:tcPr>
          <w:p>
            <w:pPr>
              <w:spacing w:after="0"/>
              <w:rPr>
                <w:sz w:val="21"/>
                <w:szCs w:val="21"/>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3,306</w:t>
            </w:r>
          </w:p>
        </w:tc>
        <w:tc>
          <w:tcPr>
            <w:tcW w:w="100" w:type="dxa"/>
            <w:vAlign w:val="bottom"/>
          </w:tcPr>
          <w:p>
            <w:pPr>
              <w:spacing w:after="0"/>
              <w:rPr>
                <w:sz w:val="21"/>
                <w:szCs w:val="21"/>
                <w:color w:val="auto"/>
              </w:rPr>
            </w:pPr>
          </w:p>
        </w:tc>
      </w:tr>
      <w:tr>
        <w:trPr>
          <w:trHeight w:val="183"/>
        </w:trPr>
        <w:tc>
          <w:tcPr>
            <w:tcW w:w="4640" w:type="dxa"/>
            <w:vAlign w:val="bottom"/>
            <w:gridSpan w:val="2"/>
            <w:shd w:val="clear" w:color="auto" w:fill="CFF0FC"/>
          </w:tcPr>
          <w:p>
            <w:pPr>
              <w:ind w:left="20"/>
              <w:spacing w:after="0" w:line="183" w:lineRule="exact"/>
              <w:rPr>
                <w:sz w:val="20"/>
                <w:szCs w:val="20"/>
                <w:color w:val="auto"/>
              </w:rPr>
            </w:pPr>
            <w:r>
              <w:rPr>
                <w:rFonts w:ascii="Calibri" w:cs="Calibri" w:eastAsia="Calibri" w:hAnsi="Calibri"/>
                <w:sz w:val="18"/>
                <w:szCs w:val="18"/>
                <w:color w:val="auto"/>
              </w:rPr>
              <w:t>Total expenditures for additons to long-lived</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76"/>
        </w:trPr>
        <w:tc>
          <w:tcPr>
            <w:tcW w:w="4640" w:type="dxa"/>
            <w:vAlign w:val="bottom"/>
            <w:gridSpan w:val="2"/>
            <w:shd w:val="clear" w:color="auto" w:fill="CFF0FC"/>
          </w:tcPr>
          <w:p>
            <w:pPr>
              <w:ind w:left="140"/>
              <w:spacing w:after="0" w:line="276" w:lineRule="exact"/>
              <w:rPr>
                <w:sz w:val="20"/>
                <w:szCs w:val="20"/>
                <w:color w:val="auto"/>
              </w:rPr>
            </w:pPr>
            <w:r>
              <w:rPr>
                <w:rFonts w:ascii="Calibri" w:cs="Calibri" w:eastAsia="Calibri" w:hAnsi="Calibri"/>
                <w:sz w:val="18"/>
                <w:szCs w:val="18"/>
                <w:color w:val="auto"/>
              </w:rPr>
              <w:t>assets</w:t>
            </w:r>
            <w:r>
              <w:rPr>
                <w:rFonts w:ascii="Calibri" w:cs="Calibri" w:eastAsia="Calibri" w:hAnsi="Calibri"/>
                <w:sz w:val="24"/>
                <w:szCs w:val="24"/>
                <w:color w:val="auto"/>
                <w:vertAlign w:val="superscript"/>
              </w:rPr>
              <w:t>(7)</w:t>
            </w:r>
          </w:p>
        </w:tc>
        <w:tc>
          <w:tcPr>
            <w:tcW w:w="260" w:type="dxa"/>
            <w:vAlign w:val="bottom"/>
            <w:gridSpan w:val="2"/>
            <w:shd w:val="clear" w:color="auto" w:fill="CFF0FC"/>
          </w:tcPr>
          <w:p>
            <w:pPr>
              <w:ind w:left="140"/>
              <w:spacing w:after="0"/>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104</w:t>
            </w:r>
          </w:p>
        </w:tc>
        <w:tc>
          <w:tcPr>
            <w:tcW w:w="36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76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80</w:t>
            </w:r>
          </w:p>
        </w:tc>
        <w:tc>
          <w:tcPr>
            <w:tcW w:w="580" w:type="dxa"/>
            <w:vAlign w:val="bottom"/>
            <w:gridSpan w:val="2"/>
            <w:shd w:val="clear" w:color="auto" w:fill="CFF0FC"/>
          </w:tcPr>
          <w:p>
            <w:pPr>
              <w:jc w:val="right"/>
              <w:ind w:right="148"/>
              <w:spacing w:after="0"/>
              <w:rPr>
                <w:sz w:val="20"/>
                <w:szCs w:val="20"/>
                <w:color w:val="auto"/>
              </w:rPr>
            </w:pPr>
            <w:r>
              <w:rPr>
                <w:rFonts w:ascii="Calibri" w:cs="Calibri" w:eastAsia="Calibri" w:hAnsi="Calibri"/>
                <w:sz w:val="18"/>
                <w:szCs w:val="18"/>
                <w:color w:val="auto"/>
              </w:rPr>
              <w:t>$</w:t>
            </w:r>
          </w:p>
        </w:tc>
        <w:tc>
          <w:tcPr>
            <w:tcW w:w="5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9</w:t>
            </w:r>
          </w:p>
        </w:tc>
        <w:tc>
          <w:tcPr>
            <w:tcW w:w="340" w:type="dxa"/>
            <w:vAlign w:val="bottom"/>
            <w:gridSpan w:val="2"/>
            <w:shd w:val="clear" w:color="auto" w:fill="CFF0FC"/>
          </w:tcPr>
          <w:p>
            <w:pPr>
              <w:jc w:val="right"/>
              <w:ind w:right="20"/>
              <w:spacing w:after="0"/>
              <w:rPr>
                <w:sz w:val="20"/>
                <w:szCs w:val="20"/>
                <w:color w:val="auto"/>
              </w:rPr>
            </w:pPr>
            <w:r>
              <w:rPr>
                <w:rFonts w:ascii="Calibri" w:cs="Calibri" w:eastAsia="Calibri" w:hAnsi="Calibri"/>
                <w:sz w:val="18"/>
                <w:szCs w:val="18"/>
                <w:color w:val="auto"/>
              </w:rPr>
              <w:t>$</w:t>
            </w:r>
          </w:p>
        </w:tc>
        <w:tc>
          <w:tcPr>
            <w:tcW w:w="7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193</w:t>
            </w:r>
          </w:p>
        </w:tc>
        <w:tc>
          <w:tcPr>
            <w:tcW w:w="36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7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5</w:t>
            </w:r>
          </w:p>
        </w:tc>
        <w:tc>
          <w:tcPr>
            <w:tcW w:w="20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6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198</w:t>
            </w:r>
          </w:p>
        </w:tc>
        <w:tc>
          <w:tcPr>
            <w:tcW w:w="100" w:type="dxa"/>
            <w:vAlign w:val="bottom"/>
            <w:shd w:val="clear" w:color="auto" w:fill="CFF0FC"/>
          </w:tcPr>
          <w:p>
            <w:pPr>
              <w:spacing w:after="0"/>
              <w:rPr>
                <w:sz w:val="24"/>
                <w:szCs w:val="24"/>
                <w:color w:val="auto"/>
              </w:rPr>
            </w:pPr>
          </w:p>
        </w:tc>
      </w:tr>
      <w:tr>
        <w:trPr>
          <w:trHeight w:val="135"/>
        </w:trPr>
        <w:tc>
          <w:tcPr>
            <w:tcW w:w="1880" w:type="dxa"/>
            <w:vAlign w:val="bottom"/>
            <w:tcBorders>
              <w:bottom w:val="single" w:sz="8" w:color="auto"/>
            </w:tcBorders>
          </w:tcPr>
          <w:p>
            <w:pPr>
              <w:spacing w:after="0"/>
              <w:rPr>
                <w:sz w:val="11"/>
                <w:szCs w:val="11"/>
                <w:color w:val="auto"/>
              </w:rPr>
            </w:pPr>
          </w:p>
        </w:tc>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ind w:left="580" w:hanging="572"/>
        <w:spacing w:after="0" w:line="190" w:lineRule="auto"/>
        <w:tabs>
          <w:tab w:leader="none" w:pos="580" w:val="left"/>
        </w:tabs>
        <w:numPr>
          <w:ilvl w:val="0"/>
          <w:numId w:val="27"/>
        </w:numPr>
        <w:rPr>
          <w:rFonts w:ascii="Calibri" w:cs="Calibri" w:eastAsia="Calibri" w:hAnsi="Calibri"/>
          <w:sz w:val="24"/>
          <w:szCs w:val="24"/>
          <w:color w:val="auto"/>
          <w:vertAlign w:val="superscript"/>
        </w:rPr>
      </w:pPr>
      <w:r>
        <w:rPr>
          <w:rFonts w:ascii="Calibri" w:cs="Calibri" w:eastAsia="Calibri" w:hAnsi="Calibri"/>
          <w:sz w:val="18"/>
          <w:szCs w:val="18"/>
          <w:color w:val="auto"/>
        </w:rPr>
        <w:t>Cabot divested its Purifcaton Solutons business on March 1, 2022. Refer to Note D for the terms of this transacton.</w:t>
      </w:r>
    </w:p>
    <w:p>
      <w:pPr>
        <w:spacing w:after="0" w:line="73" w:lineRule="exact"/>
        <w:rPr>
          <w:rFonts w:ascii="Calibri" w:cs="Calibri" w:eastAsia="Calibri" w:hAnsi="Calibri"/>
          <w:sz w:val="24"/>
          <w:szCs w:val="24"/>
          <w:color w:val="auto"/>
          <w:vertAlign w:val="superscript"/>
        </w:rPr>
      </w:pPr>
    </w:p>
    <w:p>
      <w:pPr>
        <w:ind w:left="580" w:right="420" w:hanging="572"/>
        <w:spacing w:after="0" w:line="187" w:lineRule="auto"/>
        <w:tabs>
          <w:tab w:leader="none" w:pos="580" w:val="left"/>
        </w:tabs>
        <w:numPr>
          <w:ilvl w:val="0"/>
          <w:numId w:val="27"/>
        </w:numPr>
        <w:rPr>
          <w:rFonts w:ascii="Calibri" w:cs="Calibri" w:eastAsia="Calibri" w:hAnsi="Calibri"/>
          <w:sz w:val="24"/>
          <w:szCs w:val="24"/>
          <w:color w:val="auto"/>
          <w:vertAlign w:val="superscript"/>
        </w:rPr>
      </w:pPr>
      <w:r>
        <w:rPr>
          <w:rFonts w:ascii="Calibri" w:cs="Calibri" w:eastAsia="Calibri" w:hAnsi="Calibri"/>
          <w:sz w:val="18"/>
          <w:szCs w:val="18"/>
          <w:color w:val="auto"/>
        </w:rPr>
        <w:t>Unallocated and Other includes certain items and eliminatons necessary to refect management’s reportng of operatng segment results. These items are refectve of the segment reportng presented to the CODM.</w:t>
      </w:r>
    </w:p>
    <w:p>
      <w:pPr>
        <w:spacing w:after="0" w:line="41" w:lineRule="exact"/>
        <w:rPr>
          <w:rFonts w:ascii="Calibri" w:cs="Calibri" w:eastAsia="Calibri" w:hAnsi="Calibri"/>
          <w:sz w:val="24"/>
          <w:szCs w:val="24"/>
          <w:color w:val="auto"/>
          <w:vertAlign w:val="superscript"/>
        </w:rPr>
      </w:pPr>
    </w:p>
    <w:p>
      <w:pPr>
        <w:ind w:left="580" w:right="80" w:hanging="572"/>
        <w:spacing w:after="0" w:line="229" w:lineRule="auto"/>
        <w:tabs>
          <w:tab w:leader="none" w:pos="580" w:val="left"/>
        </w:tabs>
        <w:numPr>
          <w:ilvl w:val="0"/>
          <w:numId w:val="27"/>
        </w:numPr>
        <w:rPr>
          <w:rFonts w:ascii="Calibri" w:cs="Calibri" w:eastAsia="Calibri" w:hAnsi="Calibri"/>
          <w:sz w:val="23"/>
          <w:szCs w:val="23"/>
          <w:color w:val="auto"/>
          <w:vertAlign w:val="superscript"/>
        </w:rPr>
      </w:pPr>
      <w:r>
        <w:rPr>
          <w:rFonts w:ascii="Calibri" w:cs="Calibri" w:eastAsia="Calibri" w:hAnsi="Calibri"/>
          <w:sz w:val="17"/>
          <w:szCs w:val="17"/>
          <w:color w:val="auto"/>
        </w:rPr>
        <w:t>Beginning in fscal 2023, the Company began allocatng energy center revenue to the applicable segment’s revenue. The Company recast prior period fnancial informaton to conform to the new presentaton. The allocaton of such revenue resulted in an increase of $98 million and $57 million in the Reinforcement Materials segment and $16 million and $8 million in the Performance Chemicals segment, with an ofsetng decrease in Unallocated and Other revenue for fscal 2022 and fscal 2021, respectvely. There was no impact to Consolidated Total Revenue from external customers.</w:t>
      </w:r>
    </w:p>
    <w:p>
      <w:pPr>
        <w:spacing w:after="0" w:line="83" w:lineRule="exact"/>
        <w:rPr>
          <w:rFonts w:ascii="Calibri" w:cs="Calibri" w:eastAsia="Calibri" w:hAnsi="Calibri"/>
          <w:sz w:val="23"/>
          <w:szCs w:val="23"/>
          <w:color w:val="auto"/>
          <w:vertAlign w:val="superscript"/>
        </w:rPr>
      </w:pPr>
    </w:p>
    <w:p>
      <w:pPr>
        <w:ind w:left="580" w:right="540" w:hanging="572"/>
        <w:spacing w:after="0" w:line="201" w:lineRule="auto"/>
        <w:tabs>
          <w:tab w:leader="none" w:pos="580" w:val="left"/>
        </w:tabs>
        <w:numPr>
          <w:ilvl w:val="0"/>
          <w:numId w:val="27"/>
        </w:numPr>
        <w:rPr>
          <w:rFonts w:ascii="Calibri" w:cs="Calibri" w:eastAsia="Calibri" w:hAnsi="Calibri"/>
          <w:sz w:val="24"/>
          <w:szCs w:val="24"/>
          <w:color w:val="auto"/>
          <w:vertAlign w:val="superscript"/>
        </w:rPr>
      </w:pPr>
      <w:r>
        <w:rPr>
          <w:rFonts w:ascii="Calibri" w:cs="Calibri" w:eastAsia="Calibri" w:hAnsi="Calibri"/>
          <w:sz w:val="18"/>
          <w:szCs w:val="18"/>
          <w:color w:val="auto"/>
        </w:rPr>
        <w:t>Consolidated Total Revenues from external customers reconciles to Net sales and other operatng revenues on the Consolidated Statements of Operatons. Revenues from external customers that are categorized as Unallocated and Other are summarized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gridSpan w:val="6"/>
          </w:tcPr>
          <w:p>
            <w:pPr>
              <w:jc w:val="center"/>
              <w:spacing w:after="0"/>
              <w:rPr>
                <w:sz w:val="20"/>
                <w:szCs w:val="20"/>
                <w:color w:val="auto"/>
              </w:rPr>
            </w:pPr>
            <w:r>
              <w:rPr>
                <w:rFonts w:ascii="Calibri" w:cs="Calibri" w:eastAsia="Calibri" w:hAnsi="Calibri"/>
                <w:sz w:val="14"/>
                <w:szCs w:val="14"/>
                <w:b w:val="1"/>
                <w:bCs w:val="1"/>
                <w:color w:val="auto"/>
              </w:rPr>
              <w:t>Years Ended September 30</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9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center"/>
              <w:ind w:right="36"/>
              <w:spacing w:after="0" w:line="164" w:lineRule="exact"/>
              <w:rPr>
                <w:sz w:val="20"/>
                <w:szCs w:val="20"/>
                <w:color w:val="auto"/>
              </w:rPr>
            </w:pPr>
            <w:r>
              <w:rPr>
                <w:rFonts w:ascii="Calibri" w:cs="Calibri" w:eastAsia="Calibri" w:hAnsi="Calibri"/>
                <w:sz w:val="14"/>
                <w:szCs w:val="14"/>
                <w:b w:val="1"/>
                <w:bCs w:val="1"/>
                <w:color w:val="auto"/>
                <w:w w:val="98"/>
              </w:rPr>
              <w:t>2022</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94"/>
              <w:spacing w:after="0" w:line="164" w:lineRule="exact"/>
              <w:rPr>
                <w:sz w:val="20"/>
                <w:szCs w:val="20"/>
                <w:color w:val="auto"/>
              </w:rPr>
            </w:pPr>
            <w:r>
              <w:rPr>
                <w:rFonts w:ascii="Calibri" w:cs="Calibri" w:eastAsia="Calibri" w:hAnsi="Calibri"/>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76"/>
              <w:spacing w:after="0" w:line="164" w:lineRule="exact"/>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Shipping and handling fees</w:t>
            </w:r>
          </w:p>
        </w:tc>
        <w:tc>
          <w:tcPr>
            <w:tcW w:w="2900" w:type="dxa"/>
            <w:vAlign w:val="bottom"/>
            <w:tcBorders>
              <w:bottom w:val="single" w:sz="8" w:color="CFF0FC"/>
            </w:tcBorders>
            <w:gridSpan w:val="2"/>
            <w:shd w:val="clear" w:color="auto" w:fill="CFF0FC"/>
          </w:tcPr>
          <w:p>
            <w:pPr>
              <w:jc w:val="right"/>
              <w:ind w:right="539"/>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132</w:t>
            </w:r>
          </w:p>
        </w:tc>
        <w:tc>
          <w:tcPr>
            <w:tcW w:w="34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153</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160" w:type="dxa"/>
            <w:vAlign w:val="bottom"/>
          </w:tcPr>
          <w:p>
            <w:pPr>
              <w:spacing w:after="0" w:line="215" w:lineRule="exact"/>
              <w:rPr>
                <w:sz w:val="20"/>
                <w:szCs w:val="20"/>
                <w:color w:val="auto"/>
              </w:rPr>
            </w:pPr>
            <w:r>
              <w:rPr>
                <w:rFonts w:ascii="Calibri" w:cs="Calibri" w:eastAsia="Calibri" w:hAnsi="Calibri"/>
                <w:sz w:val="18"/>
                <w:szCs w:val="18"/>
                <w:color w:val="auto"/>
              </w:rPr>
              <w:t>By-product sales</w:t>
            </w:r>
          </w:p>
        </w:tc>
        <w:tc>
          <w:tcPr>
            <w:tcW w:w="2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Other</w:t>
            </w:r>
          </w:p>
        </w:tc>
        <w:tc>
          <w:tcPr>
            <w:tcW w:w="2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(7 )</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(3 )</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60" w:type="dxa"/>
            <w:vAlign w:val="bottom"/>
            <w:shd w:val="clear" w:color="auto" w:fill="CFF0FC"/>
          </w:tcPr>
          <w:p>
            <w:pPr>
              <w:spacing w:after="0" w:line="20" w:lineRule="exact"/>
              <w:rPr>
                <w:sz w:val="1"/>
                <w:szCs w:val="1"/>
                <w:color w:val="auto"/>
              </w:rPr>
            </w:pPr>
          </w:p>
        </w:tc>
        <w:tc>
          <w:tcPr>
            <w:tcW w:w="21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3160" w:type="dxa"/>
            <w:vAlign w:val="bottom"/>
          </w:tcPr>
          <w:p>
            <w:pPr>
              <w:ind w:left="180"/>
              <w:spacing w:after="0"/>
              <w:rPr>
                <w:sz w:val="20"/>
                <w:szCs w:val="20"/>
                <w:color w:val="auto"/>
              </w:rPr>
            </w:pPr>
            <w:r>
              <w:rPr>
                <w:rFonts w:ascii="Calibri" w:cs="Calibri" w:eastAsia="Calibri" w:hAnsi="Calibri"/>
                <w:sz w:val="18"/>
                <w:szCs w:val="18"/>
                <w:color w:val="auto"/>
              </w:rPr>
              <w:t>Total</w:t>
            </w:r>
          </w:p>
        </w:tc>
        <w:tc>
          <w:tcPr>
            <w:tcW w:w="2180" w:type="dxa"/>
            <w:vAlign w:val="bottom"/>
          </w:tcPr>
          <w:p>
            <w:pPr>
              <w:spacing w:after="0"/>
              <w:rPr>
                <w:sz w:val="20"/>
                <w:szCs w:val="20"/>
                <w:color w:val="auto"/>
              </w:rPr>
            </w:pPr>
          </w:p>
        </w:tc>
        <w:tc>
          <w:tcPr>
            <w:tcW w:w="720" w:type="dxa"/>
            <w:vAlign w:val="bottom"/>
          </w:tcPr>
          <w:p>
            <w:pPr>
              <w:jc w:val="right"/>
              <w:ind w:right="539"/>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143</w:t>
            </w:r>
          </w:p>
        </w:tc>
        <w:tc>
          <w:tcPr>
            <w:tcW w:w="3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163</w:t>
            </w:r>
          </w:p>
        </w:tc>
        <w:tc>
          <w:tcPr>
            <w:tcW w:w="200" w:type="dxa"/>
            <w:vAlign w:val="bottom"/>
          </w:tcPr>
          <w:p>
            <w:pPr>
              <w:spacing w:after="0"/>
              <w:rPr>
                <w:sz w:val="20"/>
                <w:szCs w:val="20"/>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158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80" w:type="dxa"/>
            <w:vAlign w:val="bottom"/>
            <w:vMerge w:val="restart"/>
          </w:tcPr>
          <w:p>
            <w:pPr>
              <w:jc w:val="right"/>
              <w:ind w:right="670"/>
              <w:spacing w:after="0"/>
              <w:rPr>
                <w:sz w:val="20"/>
                <w:szCs w:val="20"/>
                <w:color w:val="auto"/>
              </w:rPr>
            </w:pPr>
            <w:r>
              <w:rPr>
                <w:rFonts w:ascii="Calibri" w:cs="Calibri" w:eastAsia="Calibri" w:hAnsi="Calibri"/>
                <w:sz w:val="18"/>
                <w:szCs w:val="18"/>
                <w:color w:val="auto"/>
              </w:rPr>
              <w:t>77</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14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-668020</wp:posOffset>
            </wp:positionV>
            <wp:extent cx="6032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-668020</wp:posOffset>
            </wp:positionV>
            <wp:extent cx="5143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-668020</wp:posOffset>
            </wp:positionV>
            <wp:extent cx="5143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7" w:name="page78"/>
    <w:bookmarkEnd w:id="77"/>
    <w:p>
      <w:pPr>
        <w:ind w:left="580" w:right="140" w:hanging="572"/>
        <w:spacing w:after="0" w:line="211" w:lineRule="auto"/>
        <w:tabs>
          <w:tab w:leader="none" w:pos="580" w:val="left"/>
        </w:tabs>
        <w:numPr>
          <w:ilvl w:val="0"/>
          <w:numId w:val="28"/>
        </w:numPr>
        <w:rPr>
          <w:rFonts w:ascii="Calibri" w:cs="Calibri" w:eastAsia="Calibri" w:hAnsi="Calibri"/>
          <w:sz w:val="24"/>
          <w:szCs w:val="24"/>
          <w:color w:val="auto"/>
          <w:vertAlign w:val="superscript"/>
        </w:rPr>
      </w:pPr>
      <w:r>
        <w:rPr>
          <w:rFonts w:ascii="Calibri" w:cs="Calibri" w:eastAsia="Calibri" w:hAnsi="Calibri"/>
          <w:sz w:val="18"/>
          <w:szCs w:val="18"/>
          <w:color w:val="auto"/>
        </w:rPr>
        <w:t>Consolidated Total Income (loss) from operatons before income taxes reconciles to Income (loss) from operatons before income taxes and equity in earnings of afliated companies on the Consolidated Statements of Operatons. Total Income (loss) from operatons before income taxes that are categorized as Unallocated and Other includes:</w:t>
      </w:r>
    </w:p>
    <w:p>
      <w:pPr>
        <w:spacing w:after="0" w:line="10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4"/>
          </w:tcPr>
          <w:p>
            <w:pPr>
              <w:jc w:val="center"/>
              <w:spacing w:after="0"/>
              <w:rPr>
                <w:sz w:val="20"/>
                <w:szCs w:val="20"/>
                <w:color w:val="auto"/>
              </w:rPr>
            </w:pPr>
            <w:r>
              <w:rPr>
                <w:rFonts w:ascii="Calibri" w:cs="Calibri" w:eastAsia="Calibri" w:hAnsi="Calibri"/>
                <w:sz w:val="14"/>
                <w:szCs w:val="14"/>
                <w:b w:val="1"/>
                <w:bCs w:val="1"/>
                <w:color w:val="auto"/>
              </w:rPr>
              <w:t>Years Ended September 30</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04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2"/>
              <w:spacing w:after="0" w:line="164" w:lineRule="exact"/>
              <w:rPr>
                <w:sz w:val="20"/>
                <w:szCs w:val="20"/>
                <w:color w:val="auto"/>
              </w:rPr>
            </w:pPr>
            <w:r>
              <w:rPr>
                <w:rFonts w:ascii="Calibri" w:cs="Calibri" w:eastAsia="Calibri" w:hAnsi="Calibri"/>
                <w:sz w:val="14"/>
                <w:szCs w:val="14"/>
                <w:b w:val="1"/>
                <w:bCs w:val="1"/>
                <w:color w:val="auto"/>
                <w:w w:val="98"/>
              </w:rPr>
              <w:t>2022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1"/>
              <w:spacing w:after="0" w:line="164" w:lineRule="exact"/>
              <w:rPr>
                <w:sz w:val="20"/>
                <w:szCs w:val="20"/>
                <w:color w:val="auto"/>
              </w:rPr>
            </w:pPr>
            <w:r>
              <w:rPr>
                <w:rFonts w:ascii="Calibri" w:cs="Calibri" w:eastAsia="Calibri" w:hAnsi="Calibri"/>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12"/>
              <w:spacing w:after="0" w:line="164" w:lineRule="exact"/>
              <w:rPr>
                <w:sz w:val="20"/>
                <w:szCs w:val="20"/>
                <w:color w:val="auto"/>
              </w:rPr>
            </w:pPr>
            <w:r>
              <w:rPr>
                <w:rFonts w:ascii="Calibri" w:cs="Calibri" w:eastAsia="Calibri" w:hAnsi="Calibri"/>
                <w:sz w:val="14"/>
                <w:szCs w:val="14"/>
                <w:b w:val="1"/>
                <w:bCs w:val="1"/>
                <w:color w:val="auto"/>
              </w:rPr>
              <w:t>(In millions)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Calibri" w:cs="Calibri" w:eastAsia="Calibri" w:hAnsi="Calibri"/>
                <w:sz w:val="18"/>
                <w:szCs w:val="18"/>
                <w:color w:val="auto"/>
              </w:rPr>
              <w:t>Interest expense</w:t>
            </w:r>
          </w:p>
        </w:tc>
        <w:tc>
          <w:tcPr>
            <w:tcW w:w="800" w:type="dxa"/>
            <w:vAlign w:val="bottom"/>
          </w:tcPr>
          <w:p>
            <w:pPr>
              <w:jc w:val="right"/>
              <w:ind w:right="616"/>
              <w:spacing w:after="0"/>
              <w:rPr>
                <w:sz w:val="20"/>
                <w:szCs w:val="20"/>
                <w:color w:val="auto"/>
              </w:rPr>
            </w:pPr>
            <w:r>
              <w:rPr>
                <w:rFonts w:ascii="Calibri" w:cs="Calibri" w:eastAsia="Calibri" w:hAnsi="Calibri"/>
                <w:sz w:val="18"/>
                <w:szCs w:val="18"/>
                <w:color w:val="auto"/>
                <w:w w:val="87"/>
              </w:rPr>
              <w:t>$</w:t>
            </w:r>
          </w:p>
        </w:tc>
        <w:tc>
          <w:tcPr>
            <w:tcW w:w="620" w:type="dxa"/>
            <w:vAlign w:val="bottom"/>
            <w:gridSpan w:val="2"/>
          </w:tcPr>
          <w:p>
            <w:pPr>
              <w:jc w:val="right"/>
              <w:ind w:right="99"/>
              <w:spacing w:after="0"/>
              <w:rPr>
                <w:sz w:val="20"/>
                <w:szCs w:val="20"/>
                <w:color w:val="auto"/>
              </w:rPr>
            </w:pPr>
            <w:r>
              <w:rPr>
                <w:rFonts w:ascii="Calibri" w:cs="Calibri" w:eastAsia="Calibri" w:hAnsi="Calibri"/>
                <w:sz w:val="18"/>
                <w:szCs w:val="18"/>
                <w:color w:val="auto"/>
              </w:rPr>
              <w:t>(90 )</w:t>
            </w:r>
          </w:p>
        </w:tc>
        <w:tc>
          <w:tcPr>
            <w:tcW w:w="16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220" w:type="dxa"/>
            <w:vAlign w:val="bottom"/>
            <w:gridSpan w:val="2"/>
          </w:tcPr>
          <w:p>
            <w:pPr>
              <w:jc w:val="right"/>
              <w:ind w:right="70"/>
              <w:spacing w:after="0"/>
              <w:rPr>
                <w:sz w:val="20"/>
                <w:szCs w:val="20"/>
                <w:color w:val="auto"/>
              </w:rPr>
            </w:pPr>
            <w:r>
              <w:rPr>
                <w:rFonts w:ascii="Calibri" w:cs="Calibri" w:eastAsia="Calibri" w:hAnsi="Calibri"/>
                <w:sz w:val="18"/>
                <w:szCs w:val="18"/>
                <w:color w:val="auto"/>
              </w:rPr>
              <w:t>(56 )</w:t>
            </w:r>
          </w:p>
        </w:tc>
        <w:tc>
          <w:tcPr>
            <w:tcW w:w="260" w:type="dxa"/>
            <w:vAlign w:val="bottom"/>
          </w:tcPr>
          <w:p>
            <w:pPr>
              <w:jc w:val="right"/>
              <w:ind w:right="70"/>
              <w:spacing w:after="0"/>
              <w:rPr>
                <w:sz w:val="20"/>
                <w:szCs w:val="20"/>
                <w:color w:val="auto"/>
              </w:rPr>
            </w:pPr>
            <w:r>
              <w:rPr>
                <w:rFonts w:ascii="Calibri" w:cs="Calibri" w:eastAsia="Calibri" w:hAnsi="Calibri"/>
                <w:sz w:val="18"/>
                <w:szCs w:val="18"/>
                <w:color w:val="auto"/>
                <w:w w:val="87"/>
              </w:rPr>
              <w:t>$</w:t>
            </w:r>
          </w:p>
        </w:tc>
        <w:tc>
          <w:tcPr>
            <w:tcW w:w="1000" w:type="dxa"/>
            <w:vAlign w:val="bottom"/>
            <w:gridSpan w:val="2"/>
          </w:tcPr>
          <w:p>
            <w:pPr>
              <w:jc w:val="right"/>
              <w:spacing w:after="0"/>
              <w:rPr>
                <w:sz w:val="20"/>
                <w:szCs w:val="20"/>
                <w:color w:val="auto"/>
              </w:rPr>
            </w:pPr>
            <w:r>
              <w:rPr>
                <w:rFonts w:ascii="Calibri" w:cs="Calibri" w:eastAsia="Calibri" w:hAnsi="Calibri"/>
                <w:sz w:val="18"/>
                <w:szCs w:val="18"/>
                <w:color w:val="auto"/>
              </w:rPr>
              <w:t>(49 )</w:t>
            </w:r>
          </w:p>
        </w:tc>
        <w:tc>
          <w:tcPr>
            <w:tcW w:w="0" w:type="dxa"/>
            <w:vAlign w:val="bottom"/>
          </w:tcPr>
          <w:p>
            <w:pPr>
              <w:spacing w:after="0"/>
              <w:rPr>
                <w:sz w:val="1"/>
                <w:szCs w:val="1"/>
                <w:color w:val="auto"/>
              </w:rPr>
            </w:pPr>
          </w:p>
        </w:tc>
      </w:tr>
      <w:tr>
        <w:trPr>
          <w:trHeight w:val="285"/>
        </w:trPr>
        <w:tc>
          <w:tcPr>
            <w:tcW w:w="6040" w:type="dxa"/>
            <w:vAlign w:val="bottom"/>
          </w:tcPr>
          <w:p>
            <w:pPr>
              <w:spacing w:after="0" w:line="280" w:lineRule="exact"/>
              <w:rPr>
                <w:sz w:val="20"/>
                <w:szCs w:val="20"/>
                <w:color w:val="auto"/>
              </w:rPr>
            </w:pPr>
            <w:r>
              <w:rPr>
                <w:rFonts w:ascii="Calibri" w:cs="Calibri" w:eastAsia="Calibri" w:hAnsi="Calibri"/>
                <w:sz w:val="18"/>
                <w:szCs w:val="18"/>
                <w:color w:val="auto"/>
              </w:rPr>
              <w:t>Certain items:</w:t>
            </w:r>
            <w:r>
              <w:rPr>
                <w:rFonts w:ascii="Calibri" w:cs="Calibri" w:eastAsia="Calibri" w:hAnsi="Calibri"/>
                <w:sz w:val="24"/>
                <w:szCs w:val="24"/>
                <w:color w:val="auto"/>
                <w:vertAlign w:val="superscript"/>
              </w:rPr>
              <w:t>(a)</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40" w:type="dxa"/>
            <w:vAlign w:val="bottom"/>
            <w:tcBorders>
              <w:bottom w:val="single" w:sz="8" w:color="CFF0FC"/>
            </w:tcBorders>
            <w:shd w:val="clear" w:color="auto" w:fill="CFF0FC"/>
          </w:tcPr>
          <w:p>
            <w:pPr>
              <w:ind w:left="100"/>
              <w:spacing w:after="0"/>
              <w:rPr>
                <w:sz w:val="20"/>
                <w:szCs w:val="20"/>
                <w:color w:val="auto"/>
              </w:rPr>
            </w:pPr>
            <w:r>
              <w:rPr>
                <w:rFonts w:ascii="Calibri" w:cs="Calibri" w:eastAsia="Calibri" w:hAnsi="Calibri"/>
                <w:sz w:val="18"/>
                <w:szCs w:val="18"/>
                <w:color w:val="auto"/>
              </w:rPr>
              <w:t>Gain on sale of land</w:t>
            </w:r>
          </w:p>
        </w:tc>
        <w:tc>
          <w:tcPr>
            <w:tcW w:w="8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rPr>
              <w:t>1</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rPr>
              <w:t>17</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ind w:right="3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6040" w:type="dxa"/>
            <w:vAlign w:val="bottom"/>
          </w:tcPr>
          <w:p>
            <w:pPr>
              <w:ind w:left="100"/>
              <w:spacing w:after="0" w:line="215" w:lineRule="exact"/>
              <w:rPr>
                <w:sz w:val="20"/>
                <w:szCs w:val="20"/>
                <w:color w:val="auto"/>
              </w:rPr>
            </w:pPr>
            <w:r>
              <w:rPr>
                <w:rFonts w:ascii="Calibri" w:cs="Calibri" w:eastAsia="Calibri" w:hAnsi="Calibri"/>
                <w:sz w:val="18"/>
                <w:szCs w:val="18"/>
                <w:color w:val="auto"/>
              </w:rPr>
              <w:t>Legal and environmental maters and reserves (Note S)</w:t>
            </w:r>
          </w:p>
        </w:tc>
        <w:tc>
          <w:tcPr>
            <w:tcW w:w="800" w:type="dxa"/>
            <w:vAlign w:val="bottom"/>
          </w:tcPr>
          <w:p>
            <w:pPr>
              <w:spacing w:after="0"/>
              <w:rPr>
                <w:sz w:val="18"/>
                <w:szCs w:val="18"/>
                <w:color w:val="auto"/>
              </w:rPr>
            </w:pPr>
          </w:p>
        </w:tc>
        <w:tc>
          <w:tcPr>
            <w:tcW w:w="620" w:type="dxa"/>
            <w:vAlign w:val="bottom"/>
            <w:gridSpan w:val="2"/>
          </w:tcPr>
          <w:p>
            <w:pPr>
              <w:jc w:val="right"/>
              <w:ind w:right="99"/>
              <w:spacing w:after="0" w:line="215" w:lineRule="exact"/>
              <w:rPr>
                <w:sz w:val="20"/>
                <w:szCs w:val="20"/>
                <w:color w:val="auto"/>
              </w:rPr>
            </w:pPr>
            <w:r>
              <w:rPr>
                <w:rFonts w:ascii="Calibri" w:cs="Calibri" w:eastAsia="Calibri" w:hAnsi="Calibri"/>
                <w:sz w:val="18"/>
                <w:szCs w:val="18"/>
                <w:color w:val="auto"/>
              </w:rPr>
              <w:t>(10 )</w:t>
            </w:r>
          </w:p>
        </w:tc>
        <w:tc>
          <w:tcPr>
            <w:tcW w:w="160" w:type="dxa"/>
            <w:vAlign w:val="bottom"/>
          </w:tcPr>
          <w:p>
            <w:pPr>
              <w:spacing w:after="0"/>
              <w:rPr>
                <w:sz w:val="18"/>
                <w:szCs w:val="18"/>
                <w:color w:val="auto"/>
              </w:rPr>
            </w:pPr>
          </w:p>
        </w:tc>
        <w:tc>
          <w:tcPr>
            <w:tcW w:w="122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(9 )</w:t>
            </w:r>
          </w:p>
        </w:tc>
        <w:tc>
          <w:tcPr>
            <w:tcW w:w="260" w:type="dxa"/>
            <w:vAlign w:val="bottom"/>
          </w:tcPr>
          <w:p>
            <w:pPr>
              <w:spacing w:after="0"/>
              <w:rPr>
                <w:sz w:val="18"/>
                <w:szCs w:val="18"/>
                <w:color w:val="auto"/>
              </w:rPr>
            </w:pPr>
          </w:p>
        </w:tc>
        <w:tc>
          <w:tcPr>
            <w:tcW w:w="10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(25 )</w:t>
            </w:r>
          </w:p>
        </w:tc>
        <w:tc>
          <w:tcPr>
            <w:tcW w:w="0" w:type="dxa"/>
            <w:vAlign w:val="bottom"/>
          </w:tcPr>
          <w:p>
            <w:pPr>
              <w:spacing w:after="0"/>
              <w:rPr>
                <w:sz w:val="1"/>
                <w:szCs w:val="1"/>
                <w:color w:val="auto"/>
              </w:rPr>
            </w:pPr>
          </w:p>
        </w:tc>
      </w:tr>
      <w:tr>
        <w:trPr>
          <w:trHeight w:val="28"/>
        </w:trPr>
        <w:tc>
          <w:tcPr>
            <w:tcW w:w="6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Argentna controlled currency devaluaton loss</w:t>
            </w:r>
          </w:p>
        </w:tc>
        <w:tc>
          <w:tcPr>
            <w:tcW w:w="8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99"/>
              <w:spacing w:after="0" w:line="215" w:lineRule="exact"/>
              <w:rPr>
                <w:sz w:val="20"/>
                <w:szCs w:val="20"/>
                <w:color w:val="auto"/>
              </w:rPr>
            </w:pPr>
            <w:r>
              <w:rPr>
                <w:rFonts w:ascii="Calibri" w:cs="Calibri" w:eastAsia="Calibri" w:hAnsi="Calibri"/>
                <w:sz w:val="18"/>
                <w:szCs w:val="18"/>
                <w:color w:val="auto"/>
              </w:rPr>
              <w:t>(7 )</w:t>
            </w:r>
          </w:p>
        </w:tc>
        <w:tc>
          <w:tcPr>
            <w:tcW w:w="1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6040" w:type="dxa"/>
            <w:vAlign w:val="bottom"/>
          </w:tcPr>
          <w:p>
            <w:pPr>
              <w:ind w:left="100"/>
              <w:spacing w:after="0" w:line="215" w:lineRule="exact"/>
              <w:rPr>
                <w:sz w:val="20"/>
                <w:szCs w:val="20"/>
                <w:color w:val="auto"/>
              </w:rPr>
            </w:pPr>
            <w:r>
              <w:rPr>
                <w:rFonts w:ascii="Calibri" w:cs="Calibri" w:eastAsia="Calibri" w:hAnsi="Calibri"/>
                <w:sz w:val="18"/>
                <w:szCs w:val="18"/>
                <w:color w:val="auto"/>
              </w:rPr>
              <w:t>Acquisiton and integraton-related charges</w:t>
            </w:r>
          </w:p>
        </w:tc>
        <w:tc>
          <w:tcPr>
            <w:tcW w:w="800" w:type="dxa"/>
            <w:vAlign w:val="bottom"/>
          </w:tcPr>
          <w:p>
            <w:pPr>
              <w:spacing w:after="0"/>
              <w:rPr>
                <w:sz w:val="18"/>
                <w:szCs w:val="18"/>
                <w:color w:val="auto"/>
              </w:rPr>
            </w:pPr>
          </w:p>
        </w:tc>
        <w:tc>
          <w:tcPr>
            <w:tcW w:w="620" w:type="dxa"/>
            <w:vAlign w:val="bottom"/>
            <w:gridSpan w:val="2"/>
          </w:tcPr>
          <w:p>
            <w:pPr>
              <w:jc w:val="right"/>
              <w:ind w:right="99"/>
              <w:spacing w:after="0" w:line="215" w:lineRule="exact"/>
              <w:rPr>
                <w:sz w:val="20"/>
                <w:szCs w:val="20"/>
                <w:color w:val="auto"/>
              </w:rPr>
            </w:pPr>
            <w:r>
              <w:rPr>
                <w:rFonts w:ascii="Calibri" w:cs="Calibri" w:eastAsia="Calibri" w:hAnsi="Calibri"/>
                <w:sz w:val="18"/>
                <w:szCs w:val="18"/>
                <w:color w:val="auto"/>
              </w:rPr>
              <w:t>(4 )</w:t>
            </w:r>
          </w:p>
        </w:tc>
        <w:tc>
          <w:tcPr>
            <w:tcW w:w="160" w:type="dxa"/>
            <w:vAlign w:val="bottom"/>
          </w:tcPr>
          <w:p>
            <w:pPr>
              <w:spacing w:after="0"/>
              <w:rPr>
                <w:sz w:val="18"/>
                <w:szCs w:val="18"/>
                <w:color w:val="auto"/>
              </w:rPr>
            </w:pPr>
          </w:p>
        </w:tc>
        <w:tc>
          <w:tcPr>
            <w:tcW w:w="122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(6 )</w:t>
            </w:r>
          </w:p>
        </w:tc>
        <w:tc>
          <w:tcPr>
            <w:tcW w:w="260" w:type="dxa"/>
            <w:vAlign w:val="bottom"/>
          </w:tcPr>
          <w:p>
            <w:pPr>
              <w:spacing w:after="0"/>
              <w:rPr>
                <w:sz w:val="18"/>
                <w:szCs w:val="18"/>
                <w:color w:val="auto"/>
              </w:rPr>
            </w:pPr>
          </w:p>
        </w:tc>
        <w:tc>
          <w:tcPr>
            <w:tcW w:w="10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(5 )</w:t>
            </w:r>
          </w:p>
        </w:tc>
        <w:tc>
          <w:tcPr>
            <w:tcW w:w="0" w:type="dxa"/>
            <w:vAlign w:val="bottom"/>
          </w:tcPr>
          <w:p>
            <w:pPr>
              <w:spacing w:after="0"/>
              <w:rPr>
                <w:sz w:val="1"/>
                <w:szCs w:val="1"/>
                <w:color w:val="auto"/>
              </w:rPr>
            </w:pPr>
          </w:p>
        </w:tc>
      </w:tr>
      <w:tr>
        <w:trPr>
          <w:trHeight w:val="28"/>
        </w:trPr>
        <w:tc>
          <w:tcPr>
            <w:tcW w:w="6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Global restructuring actvites</w:t>
            </w:r>
          </w:p>
        </w:tc>
        <w:tc>
          <w:tcPr>
            <w:tcW w:w="8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99"/>
              <w:spacing w:after="0" w:line="215" w:lineRule="exact"/>
              <w:rPr>
                <w:sz w:val="20"/>
                <w:szCs w:val="20"/>
                <w:color w:val="auto"/>
              </w:rPr>
            </w:pPr>
            <w:r>
              <w:rPr>
                <w:rFonts w:ascii="Calibri" w:cs="Calibri" w:eastAsia="Calibri" w:hAnsi="Calibri"/>
                <w:sz w:val="18"/>
                <w:szCs w:val="18"/>
                <w:color w:val="auto"/>
              </w:rPr>
              <w:t>(4 )</w:t>
            </w:r>
          </w:p>
        </w:tc>
        <w:tc>
          <w:tcPr>
            <w:tcW w:w="1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gridSpan w:val="2"/>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(3 )</w:t>
            </w: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(11 )</w:t>
            </w:r>
          </w:p>
        </w:tc>
        <w:tc>
          <w:tcPr>
            <w:tcW w:w="0" w:type="dxa"/>
            <w:vAlign w:val="bottom"/>
          </w:tcPr>
          <w:p>
            <w:pPr>
              <w:spacing w:after="0"/>
              <w:rPr>
                <w:sz w:val="1"/>
                <w:szCs w:val="1"/>
                <w:color w:val="auto"/>
              </w:rPr>
            </w:pPr>
          </w:p>
        </w:tc>
      </w:tr>
      <w:tr>
        <w:trPr>
          <w:trHeight w:val="215"/>
        </w:trPr>
        <w:tc>
          <w:tcPr>
            <w:tcW w:w="6040" w:type="dxa"/>
            <w:vAlign w:val="bottom"/>
          </w:tcPr>
          <w:p>
            <w:pPr>
              <w:ind w:left="100"/>
              <w:spacing w:after="0" w:line="215" w:lineRule="exact"/>
              <w:rPr>
                <w:sz w:val="20"/>
                <w:szCs w:val="20"/>
                <w:color w:val="auto"/>
              </w:rPr>
            </w:pPr>
            <w:r>
              <w:rPr>
                <w:rFonts w:ascii="Calibri" w:cs="Calibri" w:eastAsia="Calibri" w:hAnsi="Calibri"/>
                <w:sz w:val="18"/>
                <w:szCs w:val="18"/>
                <w:color w:val="auto"/>
              </w:rPr>
              <w:t>Loss on sale of business and asset impairment charge</w:t>
            </w:r>
          </w:p>
        </w:tc>
        <w:tc>
          <w:tcPr>
            <w:tcW w:w="800" w:type="dxa"/>
            <w:vAlign w:val="bottom"/>
          </w:tcPr>
          <w:p>
            <w:pPr>
              <w:spacing w:after="0"/>
              <w:rPr>
                <w:sz w:val="18"/>
                <w:szCs w:val="18"/>
                <w:color w:val="auto"/>
              </w:rPr>
            </w:pPr>
          </w:p>
        </w:tc>
        <w:tc>
          <w:tcPr>
            <w:tcW w:w="620" w:type="dxa"/>
            <w:vAlign w:val="bottom"/>
            <w:gridSpan w:val="2"/>
          </w:tcPr>
          <w:p>
            <w:pPr>
              <w:jc w:val="right"/>
              <w:ind w:right="99"/>
              <w:spacing w:after="0" w:line="215" w:lineRule="exact"/>
              <w:rPr>
                <w:sz w:val="20"/>
                <w:szCs w:val="20"/>
                <w:color w:val="auto"/>
              </w:rPr>
            </w:pPr>
            <w:r>
              <w:rPr>
                <w:rFonts w:ascii="Calibri" w:cs="Calibri" w:eastAsia="Calibri" w:hAnsi="Calibri"/>
                <w:sz w:val="18"/>
                <w:szCs w:val="18"/>
                <w:color w:val="auto"/>
              </w:rPr>
              <w:t>(3 )</w:t>
            </w:r>
          </w:p>
        </w:tc>
        <w:tc>
          <w:tcPr>
            <w:tcW w:w="160" w:type="dxa"/>
            <w:vAlign w:val="bottom"/>
          </w:tcPr>
          <w:p>
            <w:pPr>
              <w:spacing w:after="0"/>
              <w:rPr>
                <w:sz w:val="18"/>
                <w:szCs w:val="18"/>
                <w:color w:val="auto"/>
              </w:rPr>
            </w:pPr>
          </w:p>
        </w:tc>
        <w:tc>
          <w:tcPr>
            <w:tcW w:w="122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(207 )</w:t>
            </w:r>
          </w:p>
        </w:tc>
        <w:tc>
          <w:tcPr>
            <w:tcW w:w="260" w:type="dxa"/>
            <w:vAlign w:val="bottom"/>
          </w:tcPr>
          <w:p>
            <w:pPr>
              <w:spacing w:after="0"/>
              <w:rPr>
                <w:sz w:val="18"/>
                <w:szCs w:val="18"/>
                <w:color w:val="auto"/>
              </w:rPr>
            </w:pPr>
          </w:p>
        </w:tc>
        <w:tc>
          <w:tcPr>
            <w:tcW w:w="100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
        </w:trPr>
        <w:tc>
          <w:tcPr>
            <w:tcW w:w="6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Other certain items</w:t>
            </w:r>
          </w:p>
        </w:tc>
        <w:tc>
          <w:tcPr>
            <w:tcW w:w="8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99"/>
              <w:spacing w:after="0" w:line="215" w:lineRule="exact"/>
              <w:rPr>
                <w:sz w:val="20"/>
                <w:szCs w:val="20"/>
                <w:color w:val="auto"/>
              </w:rPr>
            </w:pPr>
            <w:r>
              <w:rPr>
                <w:rFonts w:ascii="Calibri" w:cs="Calibri" w:eastAsia="Calibri" w:hAnsi="Calibri"/>
                <w:sz w:val="18"/>
                <w:szCs w:val="18"/>
                <w:color w:val="auto"/>
              </w:rPr>
              <w:t>(2 )</w:t>
            </w:r>
          </w:p>
        </w:tc>
        <w:tc>
          <w:tcPr>
            <w:tcW w:w="1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15"/>
        </w:trPr>
        <w:tc>
          <w:tcPr>
            <w:tcW w:w="6040" w:type="dxa"/>
            <w:vAlign w:val="bottom"/>
          </w:tcPr>
          <w:p>
            <w:pPr>
              <w:ind w:left="100"/>
              <w:spacing w:after="0" w:line="215" w:lineRule="exact"/>
              <w:rPr>
                <w:sz w:val="20"/>
                <w:szCs w:val="20"/>
                <w:color w:val="auto"/>
              </w:rPr>
            </w:pPr>
            <w:r>
              <w:rPr>
                <w:rFonts w:ascii="Calibri" w:cs="Calibri" w:eastAsia="Calibri" w:hAnsi="Calibri"/>
                <w:sz w:val="18"/>
                <w:szCs w:val="18"/>
                <w:color w:val="auto"/>
              </w:rPr>
              <w:t>Gain on bargain purchase of a business (Note C)</w:t>
            </w:r>
          </w:p>
        </w:tc>
        <w:tc>
          <w:tcPr>
            <w:tcW w:w="800" w:type="dxa"/>
            <w:vAlign w:val="bottom"/>
          </w:tcPr>
          <w:p>
            <w:pPr>
              <w:spacing w:after="0"/>
              <w:rPr>
                <w:sz w:val="18"/>
                <w:szCs w:val="18"/>
                <w:color w:val="auto"/>
              </w:rPr>
            </w:pPr>
          </w:p>
        </w:tc>
        <w:tc>
          <w:tcPr>
            <w:tcW w:w="620" w:type="dxa"/>
            <w:vAlign w:val="bottom"/>
            <w:gridSpan w:val="2"/>
          </w:tcPr>
          <w:p>
            <w:pPr>
              <w:jc w:val="right"/>
              <w:ind w:right="179"/>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
        </w:trPr>
        <w:tc>
          <w:tcPr>
            <w:tcW w:w="6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Specialty Fluids divestture related beneft</w:t>
            </w:r>
          </w:p>
        </w:tc>
        <w:tc>
          <w:tcPr>
            <w:tcW w:w="8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179"/>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6040" w:type="dxa"/>
            <w:vAlign w:val="bottom"/>
          </w:tcPr>
          <w:p>
            <w:pPr>
              <w:ind w:left="100"/>
              <w:spacing w:after="0" w:line="215" w:lineRule="exact"/>
              <w:rPr>
                <w:sz w:val="20"/>
                <w:szCs w:val="20"/>
                <w:color w:val="auto"/>
              </w:rPr>
            </w:pPr>
            <w:r>
              <w:rPr>
                <w:rFonts w:ascii="Calibri" w:cs="Calibri" w:eastAsia="Calibri" w:hAnsi="Calibri"/>
                <w:sz w:val="18"/>
                <w:szCs w:val="18"/>
                <w:color w:val="auto"/>
              </w:rPr>
              <w:t>Employee beneft plan setlement and other charges</w:t>
            </w:r>
          </w:p>
        </w:tc>
        <w:tc>
          <w:tcPr>
            <w:tcW w:w="800" w:type="dxa"/>
            <w:vAlign w:val="bottom"/>
          </w:tcPr>
          <w:p>
            <w:pPr>
              <w:spacing w:after="0"/>
              <w:rPr>
                <w:sz w:val="18"/>
                <w:szCs w:val="18"/>
                <w:color w:val="auto"/>
              </w:rPr>
            </w:pPr>
          </w:p>
        </w:tc>
        <w:tc>
          <w:tcPr>
            <w:tcW w:w="620" w:type="dxa"/>
            <w:vAlign w:val="bottom"/>
            <w:gridSpan w:val="2"/>
          </w:tcPr>
          <w:p>
            <w:pPr>
              <w:jc w:val="right"/>
              <w:ind w:right="179"/>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(4 )</w:t>
            </w:r>
          </w:p>
        </w:tc>
        <w:tc>
          <w:tcPr>
            <w:tcW w:w="0" w:type="dxa"/>
            <w:vAlign w:val="bottom"/>
          </w:tcPr>
          <w:p>
            <w:pPr>
              <w:spacing w:after="0"/>
              <w:rPr>
                <w:sz w:val="1"/>
                <w:szCs w:val="1"/>
                <w:color w:val="auto"/>
              </w:rPr>
            </w:pPr>
          </w:p>
        </w:tc>
      </w:tr>
      <w:tr>
        <w:trPr>
          <w:trHeight w:val="28"/>
        </w:trPr>
        <w:tc>
          <w:tcPr>
            <w:tcW w:w="6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8"/>
                <w:szCs w:val="18"/>
                <w:color w:val="auto"/>
              </w:rPr>
              <w:t>Purifcaton Solutons divestture related charges</w:t>
            </w:r>
          </w:p>
        </w:tc>
        <w:tc>
          <w:tcPr>
            <w:tcW w:w="8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179"/>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gridSpan w:val="2"/>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(5 )</w:t>
            </w: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9"/>
        </w:trPr>
        <w:tc>
          <w:tcPr>
            <w:tcW w:w="6040" w:type="dxa"/>
            <w:vAlign w:val="bottom"/>
          </w:tcPr>
          <w:p>
            <w:pPr>
              <w:ind w:left="100"/>
              <w:spacing w:after="0"/>
              <w:rPr>
                <w:sz w:val="20"/>
                <w:szCs w:val="20"/>
                <w:color w:val="auto"/>
              </w:rPr>
            </w:pPr>
            <w:r>
              <w:rPr>
                <w:rFonts w:ascii="Calibri" w:cs="Calibri" w:eastAsia="Calibri" w:hAnsi="Calibri"/>
                <w:sz w:val="18"/>
                <w:szCs w:val="18"/>
                <w:color w:val="auto"/>
              </w:rPr>
              <w:t>Indirect tax setlement credits</w:t>
            </w:r>
          </w:p>
        </w:tc>
        <w:tc>
          <w:tcPr>
            <w:tcW w:w="800" w:type="dxa"/>
            <w:vAlign w:val="bottom"/>
          </w:tcPr>
          <w:p>
            <w:pPr>
              <w:spacing w:after="0"/>
              <w:rPr>
                <w:sz w:val="19"/>
                <w:szCs w:val="19"/>
                <w:color w:val="auto"/>
              </w:rPr>
            </w:pPr>
          </w:p>
        </w:tc>
        <w:tc>
          <w:tcPr>
            <w:tcW w:w="620" w:type="dxa"/>
            <w:vAlign w:val="bottom"/>
            <w:gridSpan w:val="2"/>
          </w:tcPr>
          <w:p>
            <w:pPr>
              <w:jc w:val="right"/>
              <w:ind w:right="179"/>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80"/>
              <w:spacing w:after="0" w:line="203" w:lineRule="exact"/>
              <w:rPr>
                <w:sz w:val="20"/>
                <w:szCs w:val="20"/>
                <w:color w:val="auto"/>
              </w:rPr>
            </w:pPr>
            <w:r>
              <w:rPr>
                <w:rFonts w:ascii="Calibri" w:cs="Calibri" w:eastAsia="Calibri" w:hAnsi="Calibri"/>
                <w:sz w:val="18"/>
                <w:szCs w:val="18"/>
                <w:color w:val="auto"/>
              </w:rPr>
              <w:t>Total certain items, pre-tax</w:t>
            </w:r>
          </w:p>
        </w:tc>
        <w:tc>
          <w:tcPr>
            <w:tcW w:w="800" w:type="dxa"/>
            <w:vAlign w:val="bottom"/>
          </w:tcPr>
          <w:p>
            <w:pPr>
              <w:spacing w:after="0"/>
              <w:rPr>
                <w:sz w:val="17"/>
                <w:szCs w:val="17"/>
                <w:color w:val="auto"/>
              </w:rPr>
            </w:pPr>
          </w:p>
        </w:tc>
        <w:tc>
          <w:tcPr>
            <w:tcW w:w="620" w:type="dxa"/>
            <w:vAlign w:val="bottom"/>
            <w:gridSpan w:val="2"/>
          </w:tcPr>
          <w:p>
            <w:pPr>
              <w:jc w:val="right"/>
              <w:ind w:right="99"/>
              <w:spacing w:after="0" w:line="203" w:lineRule="exact"/>
              <w:rPr>
                <w:sz w:val="20"/>
                <w:szCs w:val="20"/>
                <w:color w:val="auto"/>
              </w:rPr>
            </w:pPr>
            <w:r>
              <w:rPr>
                <w:rFonts w:ascii="Calibri" w:cs="Calibri" w:eastAsia="Calibri" w:hAnsi="Calibri"/>
                <w:sz w:val="18"/>
                <w:szCs w:val="18"/>
                <w:color w:val="auto"/>
              </w:rPr>
              <w:t>(29 )</w:t>
            </w:r>
          </w:p>
        </w:tc>
        <w:tc>
          <w:tcPr>
            <w:tcW w:w="160" w:type="dxa"/>
            <w:vAlign w:val="bottom"/>
          </w:tcPr>
          <w:p>
            <w:pPr>
              <w:spacing w:after="0"/>
              <w:rPr>
                <w:sz w:val="17"/>
                <w:szCs w:val="17"/>
                <w:color w:val="auto"/>
              </w:rPr>
            </w:pPr>
          </w:p>
        </w:tc>
        <w:tc>
          <w:tcPr>
            <w:tcW w:w="1220" w:type="dxa"/>
            <w:vAlign w:val="bottom"/>
            <w:gridSpan w:val="2"/>
          </w:tcPr>
          <w:p>
            <w:pPr>
              <w:jc w:val="right"/>
              <w:ind w:right="70"/>
              <w:spacing w:after="0" w:line="203" w:lineRule="exact"/>
              <w:rPr>
                <w:sz w:val="20"/>
                <w:szCs w:val="20"/>
                <w:color w:val="auto"/>
              </w:rPr>
            </w:pPr>
            <w:r>
              <w:rPr>
                <w:rFonts w:ascii="Calibri" w:cs="Calibri" w:eastAsia="Calibri" w:hAnsi="Calibri"/>
                <w:sz w:val="18"/>
                <w:szCs w:val="18"/>
                <w:color w:val="auto"/>
              </w:rPr>
              <w:t>(183 )</w:t>
            </w:r>
          </w:p>
        </w:tc>
        <w:tc>
          <w:tcPr>
            <w:tcW w:w="2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alibri" w:cs="Calibri" w:eastAsia="Calibri" w:hAnsi="Calibri"/>
                <w:sz w:val="18"/>
                <w:szCs w:val="18"/>
                <w:color w:val="auto"/>
              </w:rPr>
              <w:t>(34 )</w:t>
            </w:r>
          </w:p>
        </w:tc>
        <w:tc>
          <w:tcPr>
            <w:tcW w:w="0" w:type="dxa"/>
            <w:vAlign w:val="bottom"/>
          </w:tcPr>
          <w:p>
            <w:pPr>
              <w:spacing w:after="0"/>
              <w:rPr>
                <w:sz w:val="1"/>
                <w:szCs w:val="1"/>
                <w:color w:val="auto"/>
              </w:rPr>
            </w:pPr>
          </w:p>
        </w:tc>
      </w:tr>
      <w:tr>
        <w:trPr>
          <w:trHeight w:val="33"/>
        </w:trPr>
        <w:tc>
          <w:tcPr>
            <w:tcW w:w="6040" w:type="dxa"/>
            <w:vAlign w:val="bottom"/>
            <w:vMerge w:val="restart"/>
          </w:tcPr>
          <w:p>
            <w:pPr>
              <w:spacing w:after="0" w:line="243" w:lineRule="exact"/>
              <w:rPr>
                <w:sz w:val="20"/>
                <w:szCs w:val="20"/>
                <w:color w:val="auto"/>
              </w:rPr>
            </w:pPr>
            <w:r>
              <w:rPr>
                <w:rFonts w:ascii="Calibri" w:cs="Calibri" w:eastAsia="Calibri" w:hAnsi="Calibri"/>
                <w:sz w:val="18"/>
                <w:szCs w:val="18"/>
                <w:color w:val="auto"/>
              </w:rPr>
              <w:t>Unallocated corporate costs</w:t>
            </w:r>
            <w:r>
              <w:rPr>
                <w:rFonts w:ascii="Calibri" w:cs="Calibri" w:eastAsia="Calibri" w:hAnsi="Calibri"/>
                <w:sz w:val="24"/>
                <w:szCs w:val="24"/>
                <w:color w:val="auto"/>
                <w:vertAlign w:val="superscript"/>
              </w:rPr>
              <w:t>(b)</w:t>
            </w:r>
          </w:p>
        </w:tc>
        <w:tc>
          <w:tcPr>
            <w:tcW w:w="8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40" w:type="dxa"/>
            <w:vAlign w:val="bottom"/>
            <w:vMerge w:val="continue"/>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line="190" w:lineRule="exact"/>
              <w:rPr>
                <w:sz w:val="20"/>
                <w:szCs w:val="20"/>
                <w:color w:val="auto"/>
              </w:rPr>
            </w:pPr>
            <w:r>
              <w:rPr>
                <w:rFonts w:ascii="Calibri" w:cs="Calibri" w:eastAsia="Calibri" w:hAnsi="Calibri"/>
                <w:sz w:val="18"/>
                <w:szCs w:val="18"/>
                <w:color w:val="auto"/>
              </w:rPr>
              <w:t>(54</w:t>
            </w:r>
          </w:p>
        </w:tc>
        <w:tc>
          <w:tcPr>
            <w:tcW w:w="240" w:type="dxa"/>
            <w:vAlign w:val="bottom"/>
          </w:tcPr>
          <w:p>
            <w:pPr>
              <w:jc w:val="right"/>
              <w:ind w:right="99"/>
              <w:spacing w:after="0" w:line="190" w:lineRule="exact"/>
              <w:rPr>
                <w:sz w:val="20"/>
                <w:szCs w:val="20"/>
                <w:color w:val="auto"/>
              </w:rPr>
            </w:pPr>
            <w:r>
              <w:rPr>
                <w:rFonts w:ascii="Calibri" w:cs="Calibri" w:eastAsia="Calibri" w:hAnsi="Calibri"/>
                <w:sz w:val="18"/>
                <w:szCs w:val="18"/>
                <w:color w:val="auto"/>
                <w:w w:val="72"/>
              </w:rPr>
              <w:t>)</w:t>
            </w: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0" w:lineRule="exact"/>
              <w:rPr>
                <w:sz w:val="20"/>
                <w:szCs w:val="20"/>
                <w:color w:val="auto"/>
              </w:rPr>
            </w:pPr>
            <w:r>
              <w:rPr>
                <w:rFonts w:ascii="Calibri" w:cs="Calibri" w:eastAsia="Calibri" w:hAnsi="Calibri"/>
                <w:sz w:val="18"/>
                <w:szCs w:val="18"/>
                <w:color w:val="auto"/>
              </w:rPr>
              <w:t>(59</w:t>
            </w:r>
          </w:p>
        </w:tc>
        <w:tc>
          <w:tcPr>
            <w:tcW w:w="220" w:type="dxa"/>
            <w:vAlign w:val="bottom"/>
          </w:tcPr>
          <w:p>
            <w:pPr>
              <w:jc w:val="right"/>
              <w:ind w:right="70"/>
              <w:spacing w:after="0" w:line="190" w:lineRule="exact"/>
              <w:rPr>
                <w:sz w:val="20"/>
                <w:szCs w:val="20"/>
                <w:color w:val="auto"/>
              </w:rPr>
            </w:pPr>
            <w:r>
              <w:rPr>
                <w:rFonts w:ascii="Calibri" w:cs="Calibri" w:eastAsia="Calibri" w:hAnsi="Calibri"/>
                <w:sz w:val="18"/>
                <w:szCs w:val="18"/>
                <w:color w:val="auto"/>
                <w:w w:val="72"/>
              </w:rPr>
              <w:t>)</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0" w:lineRule="exact"/>
              <w:rPr>
                <w:sz w:val="20"/>
                <w:szCs w:val="20"/>
                <w:color w:val="auto"/>
              </w:rPr>
            </w:pPr>
            <w:r>
              <w:rPr>
                <w:rFonts w:ascii="Calibri" w:cs="Calibri" w:eastAsia="Calibri" w:hAnsi="Calibri"/>
                <w:sz w:val="18"/>
                <w:szCs w:val="18"/>
                <w:color w:val="auto"/>
              </w:rPr>
              <w:t>(58</w:t>
            </w:r>
          </w:p>
        </w:tc>
        <w:tc>
          <w:tcPr>
            <w:tcW w:w="100" w:type="dxa"/>
            <w:vAlign w:val="bottom"/>
          </w:tcPr>
          <w:p>
            <w:pPr>
              <w:jc w:val="right"/>
              <w:spacing w:after="0" w:line="190"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57"/>
        </w:trPr>
        <w:tc>
          <w:tcPr>
            <w:tcW w:w="6040" w:type="dxa"/>
            <w:vAlign w:val="bottom"/>
          </w:tcPr>
          <w:p>
            <w:pPr>
              <w:spacing w:after="0" w:line="257" w:lineRule="exact"/>
              <w:rPr>
                <w:sz w:val="20"/>
                <w:szCs w:val="20"/>
                <w:color w:val="auto"/>
              </w:rPr>
            </w:pPr>
            <w:r>
              <w:rPr>
                <w:rFonts w:ascii="Calibri" w:cs="Calibri" w:eastAsia="Calibri" w:hAnsi="Calibri"/>
                <w:sz w:val="18"/>
                <w:szCs w:val="18"/>
                <w:color w:val="auto"/>
              </w:rPr>
              <w:t>General unallocated income (expense)</w:t>
            </w:r>
            <w:r>
              <w:rPr>
                <w:rFonts w:ascii="Calibri" w:cs="Calibri" w:eastAsia="Calibri" w:hAnsi="Calibri"/>
                <w:sz w:val="24"/>
                <w:szCs w:val="24"/>
                <w:color w:val="auto"/>
                <w:vertAlign w:val="superscript"/>
              </w:rPr>
              <w:t>(c)</w:t>
            </w:r>
          </w:p>
        </w:tc>
        <w:tc>
          <w:tcPr>
            <w:tcW w:w="8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Calibri" w:cs="Calibri" w:eastAsia="Calibri" w:hAnsi="Calibri"/>
                <w:sz w:val="18"/>
                <w:szCs w:val="18"/>
                <w:color w:val="auto"/>
              </w:rPr>
              <w:t>22</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3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76"/>
        </w:trPr>
        <w:tc>
          <w:tcPr>
            <w:tcW w:w="6040" w:type="dxa"/>
            <w:vAlign w:val="bottom"/>
          </w:tcPr>
          <w:p>
            <w:pPr>
              <w:spacing w:after="0" w:line="276" w:lineRule="exact"/>
              <w:rPr>
                <w:sz w:val="20"/>
                <w:szCs w:val="20"/>
                <w:color w:val="auto"/>
              </w:rPr>
            </w:pPr>
            <w:r>
              <w:rPr>
                <w:rFonts w:ascii="Calibri" w:cs="Calibri" w:eastAsia="Calibri" w:hAnsi="Calibri"/>
                <w:sz w:val="18"/>
                <w:szCs w:val="18"/>
                <w:color w:val="auto"/>
              </w:rPr>
              <w:t>Less: Equity in earnings of afliated companies, net of tax</w:t>
            </w:r>
            <w:r>
              <w:rPr>
                <w:rFonts w:ascii="Calibri" w:cs="Calibri" w:eastAsia="Calibri" w:hAnsi="Calibri"/>
                <w:sz w:val="24"/>
                <w:szCs w:val="24"/>
                <w:color w:val="auto"/>
                <w:vertAlign w:val="superscript"/>
              </w:rPr>
              <w:t>(d)</w:t>
            </w: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5</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10</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40" w:type="dxa"/>
            <w:vAlign w:val="bottom"/>
            <w:shd w:val="clear" w:color="auto" w:fill="CFF0FC"/>
          </w:tcPr>
          <w:p>
            <w:pPr>
              <w:ind w:left="180"/>
              <w:spacing w:after="0"/>
              <w:rPr>
                <w:sz w:val="20"/>
                <w:szCs w:val="20"/>
                <w:color w:val="auto"/>
              </w:rPr>
            </w:pPr>
            <w:r>
              <w:rPr>
                <w:rFonts w:ascii="Calibri" w:cs="Calibri" w:eastAsia="Calibri" w:hAnsi="Calibri"/>
                <w:sz w:val="18"/>
                <w:szCs w:val="18"/>
                <w:color w:val="auto"/>
              </w:rPr>
              <w:t>Total</w:t>
            </w:r>
          </w:p>
        </w:tc>
        <w:tc>
          <w:tcPr>
            <w:tcW w:w="800" w:type="dxa"/>
            <w:vAlign w:val="bottom"/>
            <w:shd w:val="clear" w:color="auto" w:fill="CFF0FC"/>
          </w:tcPr>
          <w:p>
            <w:pPr>
              <w:jc w:val="right"/>
              <w:ind w:right="616"/>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gridSpan w:val="2"/>
            <w:shd w:val="clear" w:color="auto" w:fill="CFF0FC"/>
          </w:tcPr>
          <w:p>
            <w:pPr>
              <w:jc w:val="right"/>
              <w:ind w:right="99"/>
              <w:spacing w:after="0" w:line="215" w:lineRule="exact"/>
              <w:rPr>
                <w:sz w:val="20"/>
                <w:szCs w:val="20"/>
                <w:color w:val="auto"/>
              </w:rPr>
            </w:pPr>
            <w:r>
              <w:rPr>
                <w:rFonts w:ascii="Calibri" w:cs="Calibri" w:eastAsia="Calibri" w:hAnsi="Calibri"/>
                <w:sz w:val="18"/>
                <w:szCs w:val="18"/>
                <w:color w:val="auto"/>
                <w:w w:val="99"/>
              </w:rPr>
              <w:t>(156 )</w:t>
            </w:r>
          </w:p>
        </w:tc>
        <w:tc>
          <w:tcPr>
            <w:tcW w:w="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gridSpan w:val="2"/>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rPr>
              <w:t>(307 )</w:t>
            </w:r>
          </w:p>
        </w:tc>
        <w:tc>
          <w:tcPr>
            <w:tcW w:w="260" w:type="dxa"/>
            <w:vAlign w:val="bottom"/>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(144 )</w:t>
            </w:r>
          </w:p>
        </w:tc>
        <w:tc>
          <w:tcPr>
            <w:tcW w:w="0" w:type="dxa"/>
            <w:vAlign w:val="bottom"/>
          </w:tcPr>
          <w:p>
            <w:pPr>
              <w:spacing w:after="0"/>
              <w:rPr>
                <w:sz w:val="1"/>
                <w:szCs w:val="1"/>
                <w:color w:val="auto"/>
              </w:rPr>
            </w:pPr>
          </w:p>
        </w:tc>
      </w:tr>
      <w:tr>
        <w:trPr>
          <w:trHeight w:val="20"/>
        </w:trPr>
        <w:tc>
          <w:tcPr>
            <w:tcW w:w="60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-2982595</wp:posOffset>
            </wp:positionV>
            <wp:extent cx="6412230" cy="1543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-813435</wp:posOffset>
            </wp:positionV>
            <wp:extent cx="6412230" cy="16256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032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032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93" w:lineRule="exact"/>
        <w:rPr>
          <w:sz w:val="20"/>
          <w:szCs w:val="20"/>
          <w:color w:val="auto"/>
        </w:rPr>
      </w:pPr>
    </w:p>
    <w:p>
      <w:pPr>
        <w:ind w:left="1020" w:right="380" w:hanging="499"/>
        <w:spacing w:after="0" w:line="201" w:lineRule="auto"/>
        <w:tabs>
          <w:tab w:leader="none" w:pos="1020" w:val="left"/>
        </w:tabs>
        <w:numPr>
          <w:ilvl w:val="1"/>
          <w:numId w:val="29"/>
        </w:numPr>
        <w:rPr>
          <w:rFonts w:ascii="Calibri" w:cs="Calibri" w:eastAsia="Calibri" w:hAnsi="Calibri"/>
          <w:sz w:val="24"/>
          <w:szCs w:val="24"/>
          <w:color w:val="auto"/>
          <w:vertAlign w:val="superscript"/>
        </w:rPr>
      </w:pPr>
      <w:r>
        <w:rPr>
          <w:rFonts w:ascii="Calibri" w:cs="Calibri" w:eastAsia="Calibri" w:hAnsi="Calibri"/>
          <w:sz w:val="18"/>
          <w:szCs w:val="18"/>
          <w:color w:val="auto"/>
        </w:rPr>
        <w:t>Certain items are items that management does not consider representatve of operatng segment results and they are, therefore, excluded from Segment EBIT.</w:t>
      </w:r>
    </w:p>
    <w:p>
      <w:pPr>
        <w:spacing w:after="0" w:line="5" w:lineRule="exact"/>
        <w:rPr>
          <w:rFonts w:ascii="Calibri" w:cs="Calibri" w:eastAsia="Calibri" w:hAnsi="Calibri"/>
          <w:sz w:val="24"/>
          <w:szCs w:val="24"/>
          <w:color w:val="auto"/>
          <w:vertAlign w:val="superscript"/>
        </w:rPr>
      </w:pPr>
    </w:p>
    <w:p>
      <w:pPr>
        <w:ind w:left="1020" w:hanging="499"/>
        <w:spacing w:after="0"/>
        <w:tabs>
          <w:tab w:leader="none" w:pos="1020" w:val="left"/>
        </w:tabs>
        <w:numPr>
          <w:ilvl w:val="1"/>
          <w:numId w:val="29"/>
        </w:numPr>
        <w:rPr>
          <w:rFonts w:ascii="Calibri" w:cs="Calibri" w:eastAsia="Calibri" w:hAnsi="Calibri"/>
          <w:sz w:val="24"/>
          <w:szCs w:val="24"/>
          <w:color w:val="auto"/>
          <w:vertAlign w:val="superscript"/>
        </w:rPr>
      </w:pPr>
      <w:r>
        <w:rPr>
          <w:rFonts w:ascii="Calibri" w:cs="Calibri" w:eastAsia="Calibri" w:hAnsi="Calibri"/>
          <w:sz w:val="18"/>
          <w:szCs w:val="18"/>
          <w:color w:val="auto"/>
        </w:rPr>
        <w:t>Unallocated corporate costs are not controlled by the segments and primarily beneft corporate interests.</w:t>
      </w:r>
    </w:p>
    <w:p>
      <w:pPr>
        <w:spacing w:after="0" w:line="82" w:lineRule="exact"/>
        <w:rPr>
          <w:rFonts w:ascii="Calibri" w:cs="Calibri" w:eastAsia="Calibri" w:hAnsi="Calibri"/>
          <w:sz w:val="24"/>
          <w:szCs w:val="24"/>
          <w:color w:val="auto"/>
          <w:vertAlign w:val="superscript"/>
        </w:rPr>
      </w:pPr>
    </w:p>
    <w:p>
      <w:pPr>
        <w:ind w:left="1020" w:right="280" w:hanging="499"/>
        <w:spacing w:after="0" w:line="211" w:lineRule="auto"/>
        <w:tabs>
          <w:tab w:leader="none" w:pos="1020" w:val="left"/>
        </w:tabs>
        <w:numPr>
          <w:ilvl w:val="1"/>
          <w:numId w:val="29"/>
        </w:numPr>
        <w:rPr>
          <w:rFonts w:ascii="Calibri" w:cs="Calibri" w:eastAsia="Calibri" w:hAnsi="Calibri"/>
          <w:sz w:val="24"/>
          <w:szCs w:val="24"/>
          <w:color w:val="auto"/>
          <w:vertAlign w:val="superscript"/>
        </w:rPr>
      </w:pPr>
      <w:r>
        <w:rPr>
          <w:rFonts w:ascii="Calibri" w:cs="Calibri" w:eastAsia="Calibri" w:hAnsi="Calibri"/>
          <w:sz w:val="18"/>
          <w:szCs w:val="18"/>
          <w:color w:val="auto"/>
        </w:rPr>
        <w:t>General unallocated income (expense) consists of gains (losses) arising from foreign currency transactons, net of other foreign currency risk management actvites, interest and dividend income, the proft or loss related to the corporate adjustment for unearned revenue, and unrealized holding gains (losses) for investments.</w:t>
      </w:r>
    </w:p>
    <w:p>
      <w:pPr>
        <w:spacing w:after="0" w:line="85" w:lineRule="exact"/>
        <w:rPr>
          <w:rFonts w:ascii="Calibri" w:cs="Calibri" w:eastAsia="Calibri" w:hAnsi="Calibri"/>
          <w:sz w:val="24"/>
          <w:szCs w:val="24"/>
          <w:color w:val="auto"/>
          <w:vertAlign w:val="superscript"/>
        </w:rPr>
      </w:pPr>
    </w:p>
    <w:p>
      <w:pPr>
        <w:ind w:left="1020" w:right="320" w:hanging="499"/>
        <w:spacing w:after="0" w:line="201" w:lineRule="auto"/>
        <w:tabs>
          <w:tab w:leader="none" w:pos="1020" w:val="left"/>
        </w:tabs>
        <w:numPr>
          <w:ilvl w:val="1"/>
          <w:numId w:val="29"/>
        </w:numPr>
        <w:rPr>
          <w:rFonts w:ascii="Calibri" w:cs="Calibri" w:eastAsia="Calibri" w:hAnsi="Calibri"/>
          <w:sz w:val="24"/>
          <w:szCs w:val="24"/>
          <w:color w:val="auto"/>
          <w:vertAlign w:val="superscript"/>
        </w:rPr>
      </w:pPr>
      <w:r>
        <w:rPr>
          <w:rFonts w:ascii="Calibri" w:cs="Calibri" w:eastAsia="Calibri" w:hAnsi="Calibri"/>
          <w:sz w:val="18"/>
          <w:szCs w:val="18"/>
          <w:color w:val="auto"/>
        </w:rPr>
        <w:t>Equity in earnings of afliated companies, net of tax is included in Segment EBIT and is removed from Unallocated and other to reconcile to income (loss) from operatons before taxes and equity in earnings from afliated companies.</w:t>
      </w:r>
    </w:p>
    <w:p>
      <w:pPr>
        <w:spacing w:after="0" w:line="83" w:lineRule="exact"/>
        <w:rPr>
          <w:rFonts w:ascii="Calibri" w:cs="Calibri" w:eastAsia="Calibri" w:hAnsi="Calibri"/>
          <w:sz w:val="24"/>
          <w:szCs w:val="24"/>
          <w:color w:val="auto"/>
          <w:vertAlign w:val="superscript"/>
        </w:rPr>
      </w:pPr>
    </w:p>
    <w:p>
      <w:pPr>
        <w:ind w:left="580" w:right="20" w:hanging="572"/>
        <w:spacing w:after="0" w:line="201" w:lineRule="auto"/>
        <w:tabs>
          <w:tab w:leader="none" w:pos="580" w:val="left"/>
        </w:tabs>
        <w:numPr>
          <w:ilvl w:val="0"/>
          <w:numId w:val="30"/>
        </w:numPr>
        <w:rPr>
          <w:rFonts w:ascii="Calibri" w:cs="Calibri" w:eastAsia="Calibri" w:hAnsi="Calibri"/>
          <w:sz w:val="24"/>
          <w:szCs w:val="24"/>
          <w:color w:val="auto"/>
          <w:vertAlign w:val="superscript"/>
        </w:rPr>
      </w:pPr>
      <w:r>
        <w:rPr>
          <w:rFonts w:ascii="Calibri" w:cs="Calibri" w:eastAsia="Calibri" w:hAnsi="Calibri"/>
          <w:sz w:val="18"/>
          <w:szCs w:val="18"/>
          <w:color w:val="auto"/>
        </w:rPr>
        <w:t>Unallocated and Other assets include cash, marketable securites, cost investments, income taxes receivable, deferred taxes, headquarters’ assets and current and non-current assets held for sale.</w:t>
      </w:r>
    </w:p>
    <w:p>
      <w:pPr>
        <w:spacing w:after="0" w:line="83" w:lineRule="exact"/>
        <w:rPr>
          <w:rFonts w:ascii="Calibri" w:cs="Calibri" w:eastAsia="Calibri" w:hAnsi="Calibri"/>
          <w:sz w:val="24"/>
          <w:szCs w:val="24"/>
          <w:color w:val="auto"/>
          <w:vertAlign w:val="superscript"/>
        </w:rPr>
      </w:pPr>
    </w:p>
    <w:p>
      <w:pPr>
        <w:ind w:left="580" w:right="160" w:hanging="572"/>
        <w:spacing w:after="0" w:line="201" w:lineRule="auto"/>
        <w:tabs>
          <w:tab w:leader="none" w:pos="580" w:val="left"/>
        </w:tabs>
        <w:numPr>
          <w:ilvl w:val="0"/>
          <w:numId w:val="30"/>
        </w:numPr>
        <w:rPr>
          <w:rFonts w:ascii="Calibri" w:cs="Calibri" w:eastAsia="Calibri" w:hAnsi="Calibri"/>
          <w:sz w:val="24"/>
          <w:szCs w:val="24"/>
          <w:color w:val="auto"/>
          <w:vertAlign w:val="superscript"/>
        </w:rPr>
      </w:pPr>
      <w:r>
        <w:rPr>
          <w:rFonts w:ascii="Calibri" w:cs="Calibri" w:eastAsia="Calibri" w:hAnsi="Calibri"/>
          <w:sz w:val="18"/>
          <w:szCs w:val="18"/>
          <w:color w:val="auto"/>
        </w:rPr>
        <w:t>Expenditures for additons to long-lived assets include total equity and other investments (including available-for-sale securites) and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-1894840</wp:posOffset>
            </wp:positionV>
            <wp:extent cx="11912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9"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i w:val="1"/>
          <w:iCs w:val="1"/>
          <w:color w:val="auto"/>
        </w:rPr>
        <w:t>Geographic Informaton</w:t>
      </w:r>
    </w:p>
    <w:p>
      <w:pPr>
        <w:spacing w:after="0" w:line="82"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Revenues from external customers atributable to an individual country, other than the U.S. and China, were not material for disclosure. Revenues from external customers by individual country are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tcPr>
          <w:p>
            <w:pPr>
              <w:jc w:val="right"/>
              <w:spacing w:after="0"/>
              <w:rPr>
                <w:sz w:val="20"/>
                <w:szCs w:val="20"/>
                <w:color w:val="auto"/>
              </w:rPr>
            </w:pPr>
            <w:r>
              <w:rPr>
                <w:rFonts w:ascii="Calibri" w:cs="Calibri" w:eastAsia="Calibri" w:hAnsi="Calibri"/>
                <w:sz w:val="14"/>
                <w:szCs w:val="14"/>
                <w:b w:val="1"/>
                <w:bCs w:val="1"/>
                <w:color w:val="auto"/>
              </w:rPr>
              <w:t>Years Ended September 30</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7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6"/>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4"/>
              <w:spacing w:after="0" w:line="164" w:lineRule="exact"/>
              <w:rPr>
                <w:sz w:val="20"/>
                <w:szCs w:val="20"/>
                <w:color w:val="auto"/>
              </w:rPr>
            </w:pPr>
            <w:r>
              <w:rPr>
                <w:rFonts w:ascii="Calibri" w:cs="Calibri" w:eastAsia="Calibri" w:hAnsi="Calibri"/>
                <w:sz w:val="14"/>
                <w:szCs w:val="14"/>
                <w:b w:val="1"/>
                <w:bCs w:val="1"/>
                <w:color w:val="auto"/>
              </w:rPr>
              <w:t>2022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4"/>
              <w:spacing w:after="0" w:line="164" w:lineRule="exact"/>
              <w:rPr>
                <w:sz w:val="20"/>
                <w:szCs w:val="20"/>
                <w:color w:val="auto"/>
              </w:rPr>
            </w:pPr>
            <w:r>
              <w:rPr>
                <w:rFonts w:ascii="Calibri" w:cs="Calibri" w:eastAsia="Calibri" w:hAnsi="Calibri"/>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7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54"/>
              <w:spacing w:after="0" w:line="164" w:lineRule="exact"/>
              <w:rPr>
                <w:sz w:val="20"/>
                <w:szCs w:val="20"/>
                <w:color w:val="auto"/>
              </w:rPr>
            </w:pPr>
            <w:r>
              <w:rPr>
                <w:rFonts w:ascii="Calibri" w:cs="Calibri" w:eastAsia="Calibri" w:hAnsi="Calibri"/>
                <w:sz w:val="14"/>
                <w:szCs w:val="14"/>
                <w:b w:val="1"/>
                <w:bCs w:val="1"/>
                <w:color w:val="auto"/>
              </w:rPr>
              <w:t>(In millions)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24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United States</w:t>
            </w:r>
          </w:p>
        </w:tc>
        <w:tc>
          <w:tcPr>
            <w:tcW w:w="2400" w:type="dxa"/>
            <w:vAlign w:val="bottom"/>
            <w:tcBorders>
              <w:bottom w:val="single" w:sz="8" w:color="CFF0FC"/>
            </w:tcBorders>
            <w:gridSpan w:val="2"/>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738</w:t>
            </w:r>
          </w:p>
        </w:tc>
        <w:tc>
          <w:tcPr>
            <w:tcW w:w="400" w:type="dxa"/>
            <w:vAlign w:val="bottom"/>
            <w:tcBorders>
              <w:bottom w:val="single" w:sz="8" w:color="CFF0FC"/>
            </w:tcBorders>
            <w:gridSpan w:val="2"/>
            <w:shd w:val="clear" w:color="auto" w:fill="CFF0FC"/>
          </w:tcPr>
          <w:p>
            <w:pPr>
              <w:jc w:val="right"/>
              <w:ind w:right="19"/>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842</w:t>
            </w:r>
          </w:p>
        </w:tc>
        <w:tc>
          <w:tcPr>
            <w:tcW w:w="380" w:type="dxa"/>
            <w:vAlign w:val="bottom"/>
            <w:tcBorders>
              <w:bottom w:val="single" w:sz="8" w:color="CFF0FC"/>
            </w:tcBorders>
            <w:gridSpan w:val="2"/>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668</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2480" w:type="dxa"/>
            <w:vAlign w:val="bottom"/>
          </w:tcPr>
          <w:p>
            <w:pPr>
              <w:spacing w:after="0" w:line="215" w:lineRule="exact"/>
              <w:rPr>
                <w:sz w:val="20"/>
                <w:szCs w:val="20"/>
                <w:color w:val="auto"/>
              </w:rPr>
            </w:pPr>
            <w:r>
              <w:rPr>
                <w:rFonts w:ascii="Calibri" w:cs="Calibri" w:eastAsia="Calibri" w:hAnsi="Calibri"/>
                <w:sz w:val="18"/>
                <w:szCs w:val="18"/>
                <w:color w:val="auto"/>
              </w:rPr>
              <w:t>China</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972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1,129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858</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700" w:type="dxa"/>
            <w:vAlign w:val="bottom"/>
          </w:tcPr>
          <w:p>
            <w:pPr>
              <w:spacing w:after="0"/>
              <w:rPr>
                <w:sz w:val="21"/>
                <w:szCs w:val="21"/>
                <w:color w:val="auto"/>
              </w:rPr>
            </w:pPr>
          </w:p>
        </w:tc>
        <w:tc>
          <w:tcPr>
            <w:tcW w:w="24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Other countries</w:t>
            </w:r>
          </w:p>
        </w:tc>
        <w:tc>
          <w:tcPr>
            <w:tcW w:w="2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2,221</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2,350</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1,883</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2480" w:type="dxa"/>
            <w:vAlign w:val="bottom"/>
            <w:tcBorders>
              <w:top w:val="single" w:sz="8" w:color="CFF0FC"/>
            </w:tcBorders>
          </w:tcPr>
          <w:p>
            <w:pPr>
              <w:spacing w:after="0"/>
              <w:rPr>
                <w:sz w:val="20"/>
                <w:szCs w:val="20"/>
                <w:color w:val="auto"/>
              </w:rPr>
            </w:pPr>
            <w:r>
              <w:rPr>
                <w:rFonts w:ascii="Calibri" w:cs="Calibri" w:eastAsia="Calibri" w:hAnsi="Calibri"/>
                <w:sz w:val="18"/>
                <w:szCs w:val="18"/>
                <w:color w:val="auto"/>
              </w:rPr>
              <w:t>Total</w:t>
            </w:r>
          </w:p>
        </w:tc>
        <w:tc>
          <w:tcPr>
            <w:tcW w:w="22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3,931</w:t>
            </w:r>
          </w:p>
        </w:tc>
        <w:tc>
          <w:tcPr>
            <w:tcW w:w="2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4,321</w:t>
            </w:r>
          </w:p>
        </w:tc>
        <w:tc>
          <w:tcPr>
            <w:tcW w:w="1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6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3,409</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0" w:type="dxa"/>
            <w:vAlign w:val="bottom"/>
            <w:vMerge w:val="restart"/>
          </w:tcPr>
          <w:p>
            <w:pPr>
              <w:jc w:val="right"/>
              <w:ind w:right="570"/>
              <w:spacing w:after="0"/>
              <w:rPr>
                <w:sz w:val="20"/>
                <w:szCs w:val="20"/>
                <w:color w:val="auto"/>
              </w:rPr>
            </w:pPr>
            <w:r>
              <w:rPr>
                <w:rFonts w:ascii="Calibri" w:cs="Calibri" w:eastAsia="Calibri" w:hAnsi="Calibri"/>
                <w:sz w:val="18"/>
                <w:szCs w:val="18"/>
                <w:color w:val="auto"/>
              </w:rPr>
              <w:t>78</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70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-693420</wp:posOffset>
            </wp:positionV>
            <wp:extent cx="5143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-693420</wp:posOffset>
            </wp:positionV>
            <wp:extent cx="431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-693420</wp:posOffset>
            </wp:positionV>
            <wp:extent cx="4318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78" w:name="page79"/>
    <w:bookmarkEnd w:id="78"/>
    <w:p>
      <w:pPr>
        <w:ind w:right="180" w:firstLine="509"/>
        <w:spacing w:after="0" w:line="235" w:lineRule="auto"/>
        <w:rPr>
          <w:sz w:val="20"/>
          <w:szCs w:val="20"/>
          <w:color w:val="auto"/>
        </w:rPr>
      </w:pPr>
      <w:r>
        <w:rPr>
          <w:rFonts w:ascii="Calibri" w:cs="Calibri" w:eastAsia="Calibri" w:hAnsi="Calibri"/>
          <w:sz w:val="18"/>
          <w:szCs w:val="18"/>
          <w:color w:val="auto"/>
        </w:rPr>
        <w:t>Each of the Company’s segments operates globally. In additon to presentng Revenue from external customers by reportable segment, the following tables further disaggregate Revenue from external customers by geographic region.</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3"/>
          </w:tcPr>
          <w:p>
            <w:pPr>
              <w:jc w:val="right"/>
              <w:ind w:right="48"/>
              <w:spacing w:after="0"/>
              <w:rPr>
                <w:sz w:val="20"/>
                <w:szCs w:val="20"/>
                <w:color w:val="auto"/>
              </w:rPr>
            </w:pPr>
            <w:r>
              <w:rPr>
                <w:rFonts w:ascii="Calibri" w:cs="Calibri" w:eastAsia="Calibri" w:hAnsi="Calibri"/>
                <w:sz w:val="14"/>
                <w:szCs w:val="14"/>
                <w:b w:val="1"/>
                <w:bCs w:val="1"/>
                <w:color w:val="auto"/>
              </w:rPr>
              <w:t>Year Ended September 30, 2023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9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16"/>
              <w:spacing w:after="0" w:line="164" w:lineRule="exact"/>
              <w:rPr>
                <w:sz w:val="20"/>
                <w:szCs w:val="20"/>
                <w:color w:val="auto"/>
              </w:rPr>
            </w:pPr>
            <w:r>
              <w:rPr>
                <w:rFonts w:ascii="Calibri" w:cs="Calibri" w:eastAsia="Calibri" w:hAnsi="Calibri"/>
                <w:sz w:val="14"/>
                <w:szCs w:val="14"/>
                <w:b w:val="1"/>
                <w:bCs w:val="1"/>
                <w:color w:val="auto"/>
              </w:rPr>
              <w:t>Reinforcement</w:t>
            </w: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ind w:right="79"/>
              <w:spacing w:after="0" w:line="164" w:lineRule="exact"/>
              <w:rPr>
                <w:sz w:val="20"/>
                <w:szCs w:val="20"/>
                <w:color w:val="auto"/>
              </w:rPr>
            </w:pPr>
            <w:r>
              <w:rPr>
                <w:rFonts w:ascii="Calibri" w:cs="Calibri" w:eastAsia="Calibri" w:hAnsi="Calibri"/>
                <w:sz w:val="14"/>
                <w:szCs w:val="14"/>
                <w:b w:val="1"/>
                <w:bCs w:val="1"/>
                <w:color w:val="auto"/>
              </w:rPr>
              <w:t>Performance</w:t>
            </w: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left="128"/>
              <w:spacing w:after="0" w:line="164" w:lineRule="exact"/>
              <w:rPr>
                <w:sz w:val="20"/>
                <w:szCs w:val="20"/>
                <w:color w:val="auto"/>
              </w:rPr>
            </w:pPr>
            <w:r>
              <w:rPr>
                <w:rFonts w:ascii="Calibri" w:cs="Calibri" w:eastAsia="Calibri" w:hAnsi="Calibri"/>
                <w:sz w:val="14"/>
                <w:szCs w:val="14"/>
                <w:b w:val="1"/>
                <w:bCs w:val="1"/>
                <w:color w:val="auto"/>
              </w:rPr>
              <w:t>Purifcaton</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ind w:right="75"/>
              <w:spacing w:after="0" w:line="164" w:lineRule="exact"/>
              <w:rPr>
                <w:sz w:val="20"/>
                <w:szCs w:val="20"/>
                <w:color w:val="auto"/>
              </w:rPr>
            </w:pPr>
            <w:r>
              <w:rPr>
                <w:rFonts w:ascii="Calibri" w:cs="Calibri" w:eastAsia="Calibri" w:hAnsi="Calibri"/>
                <w:sz w:val="14"/>
                <w:szCs w:val="14"/>
                <w:b w:val="1"/>
                <w:bCs w:val="1"/>
                <w:color w:val="auto"/>
              </w:rPr>
              <w:t>Consolidated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rPr>
                <w:sz w:val="20"/>
                <w:szCs w:val="20"/>
                <w:color w:val="auto"/>
              </w:rPr>
            </w:pPr>
            <w:r>
              <w:rPr>
                <w:rFonts w:ascii="Calibri" w:cs="Calibri" w:eastAsia="Calibri" w:hAnsi="Calibri"/>
                <w:sz w:val="14"/>
                <w:szCs w:val="14"/>
                <w:b w:val="1"/>
                <w:bCs w:val="1"/>
                <w:color w:val="auto"/>
              </w:rPr>
              <w:t>Materials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79"/>
              <w:spacing w:after="0"/>
              <w:rPr>
                <w:sz w:val="20"/>
                <w:szCs w:val="20"/>
                <w:color w:val="auto"/>
              </w:rPr>
            </w:pPr>
            <w:r>
              <w:rPr>
                <w:rFonts w:ascii="Calibri" w:cs="Calibri" w:eastAsia="Calibri" w:hAnsi="Calibri"/>
                <w:sz w:val="14"/>
                <w:szCs w:val="14"/>
                <w:b w:val="1"/>
                <w:bCs w:val="1"/>
                <w:color w:val="auto"/>
              </w:rPr>
              <w:t>Chemicals</w:t>
            </w:r>
          </w:p>
        </w:tc>
        <w:tc>
          <w:tcPr>
            <w:tcW w:w="240" w:type="dxa"/>
            <w:vAlign w:val="bottom"/>
          </w:tcPr>
          <w:p>
            <w:pPr>
              <w:spacing w:after="0"/>
              <w:rPr>
                <w:sz w:val="15"/>
                <w:szCs w:val="15"/>
                <w:color w:val="auto"/>
              </w:rPr>
            </w:pPr>
          </w:p>
        </w:tc>
        <w:tc>
          <w:tcPr>
            <w:tcW w:w="900" w:type="dxa"/>
            <w:vAlign w:val="bottom"/>
          </w:tcPr>
          <w:p>
            <w:pPr>
              <w:jc w:val="center"/>
              <w:ind w:left="128"/>
              <w:spacing w:after="0"/>
              <w:rPr>
                <w:sz w:val="20"/>
                <w:szCs w:val="20"/>
                <w:color w:val="auto"/>
              </w:rPr>
            </w:pPr>
            <w:r>
              <w:rPr>
                <w:rFonts w:ascii="Calibri" w:cs="Calibri" w:eastAsia="Calibri" w:hAnsi="Calibri"/>
                <w:sz w:val="14"/>
                <w:szCs w:val="14"/>
                <w:b w:val="1"/>
                <w:bCs w:val="1"/>
                <w:color w:val="auto"/>
              </w:rPr>
              <w:t>Solutons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w w:val="94"/>
              </w:rPr>
              <w:t>Total</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9"/>
              <w:spacing w:after="0" w:line="164" w:lineRule="exact"/>
              <w:rPr>
                <w:sz w:val="20"/>
                <w:szCs w:val="20"/>
                <w:color w:val="auto"/>
              </w:rPr>
            </w:pPr>
            <w:r>
              <w:rPr>
                <w:rFonts w:ascii="Calibri" w:cs="Calibri" w:eastAsia="Calibri" w:hAnsi="Calibri"/>
                <w:sz w:val="14"/>
                <w:szCs w:val="14"/>
                <w:b w:val="1"/>
                <w:bCs w:val="1"/>
                <w:color w:val="auto"/>
              </w:rPr>
              <w:t>(In</w:t>
            </w:r>
          </w:p>
        </w:tc>
        <w:tc>
          <w:tcPr>
            <w:tcW w:w="1140" w:type="dxa"/>
            <w:vAlign w:val="bottom"/>
            <w:gridSpan w:val="2"/>
          </w:tcPr>
          <w:p>
            <w:pPr>
              <w:jc w:val="right"/>
              <w:ind w:right="648"/>
              <w:spacing w:after="0" w:line="164" w:lineRule="exact"/>
              <w:rPr>
                <w:sz w:val="20"/>
                <w:szCs w:val="20"/>
                <w:color w:val="auto"/>
              </w:rPr>
            </w:pPr>
            <w:r>
              <w:rPr>
                <w:rFonts w:ascii="Calibri" w:cs="Calibri" w:eastAsia="Calibri" w:hAnsi="Calibri"/>
                <w:sz w:val="14"/>
                <w:szCs w:val="14"/>
                <w:b w:val="1"/>
                <w:bCs w:val="1"/>
                <w:color w:val="auto"/>
                <w:w w:val="79"/>
              </w:rPr>
              <w:t>millions)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Americas</w:t>
            </w:r>
          </w:p>
        </w:tc>
        <w:tc>
          <w:tcPr>
            <w:tcW w:w="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1,046</w:t>
            </w:r>
          </w:p>
        </w:tc>
        <w:tc>
          <w:tcPr>
            <w:tcW w:w="4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379</w:t>
            </w:r>
          </w:p>
        </w:tc>
        <w:tc>
          <w:tcPr>
            <w:tcW w:w="1140" w:type="dxa"/>
            <w:vAlign w:val="bottom"/>
            <w:tcBorders>
              <w:bottom w:val="single" w:sz="8" w:color="CFF0FC"/>
            </w:tcBorders>
            <w:gridSpan w:val="2"/>
            <w:shd w:val="clear" w:color="auto" w:fill="CFF0FC"/>
          </w:tcPr>
          <w:p>
            <w:pPr>
              <w:jc w:val="right"/>
              <w:ind w:right="728"/>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20"/>
              <w:spacing w:after="0" w:line="215" w:lineRule="exact"/>
              <w:rPr>
                <w:sz w:val="20"/>
                <w:szCs w:val="20"/>
                <w:color w:val="auto"/>
              </w:rPr>
            </w:pPr>
            <w:r>
              <w:rPr>
                <w:rFonts w:ascii="Calibri" w:cs="Calibri" w:eastAsia="Calibri" w:hAnsi="Calibri"/>
                <w:sz w:val="18"/>
                <w:szCs w:val="18"/>
                <w:color w:val="auto"/>
              </w:rPr>
              <w:t>Asia Pacifc</w:t>
            </w:r>
          </w:p>
        </w:tc>
        <w:tc>
          <w:tcPr>
            <w:tcW w:w="1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995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491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9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Europe, Middle East and Africa</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522</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355</w:t>
            </w:r>
          </w:p>
        </w:tc>
        <w:tc>
          <w:tcPr>
            <w:tcW w:w="2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877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9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Segment revenues from external customers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2,563</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1,225</w:t>
            </w:r>
          </w:p>
        </w:tc>
        <w:tc>
          <w:tcPr>
            <w:tcW w:w="24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3,788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9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Unallocated and other</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Net sales and other operatng revenues</w:t>
            </w:r>
          </w:p>
        </w:tc>
        <w:tc>
          <w:tcPr>
            <w:tcW w:w="100" w:type="dxa"/>
            <w:vAlign w:val="bottom"/>
            <w:tcBorders>
              <w:top w:val="single" w:sz="8" w:color="CFF0FC"/>
            </w:tcBorders>
          </w:tcPr>
          <w:p>
            <w:pPr>
              <w:spacing w:after="0"/>
              <w:rPr>
                <w:sz w:val="20"/>
                <w:szCs w:val="20"/>
                <w:color w:val="auto"/>
              </w:rPr>
            </w:pPr>
          </w:p>
        </w:tc>
        <w:tc>
          <w:tcPr>
            <w:tcW w:w="102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0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90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3,931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gridSpan w:val="3"/>
            <w:vMerge w:val="restart"/>
          </w:tcPr>
          <w:p>
            <w:pPr>
              <w:jc w:val="right"/>
              <w:ind w:right="48"/>
              <w:spacing w:after="0"/>
              <w:rPr>
                <w:sz w:val="20"/>
                <w:szCs w:val="20"/>
                <w:color w:val="auto"/>
              </w:rPr>
            </w:pPr>
            <w:r>
              <w:rPr>
                <w:rFonts w:ascii="Calibri" w:cs="Calibri" w:eastAsia="Calibri" w:hAnsi="Calibri"/>
                <w:sz w:val="14"/>
                <w:szCs w:val="14"/>
                <w:b w:val="1"/>
                <w:bCs w:val="1"/>
                <w:color w:val="auto"/>
              </w:rPr>
              <w:t>Year Ended September 30, 2022</w:t>
            </w: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6"/>
              <w:spacing w:after="0" w:line="146" w:lineRule="exact"/>
              <w:rPr>
                <w:sz w:val="20"/>
                <w:szCs w:val="20"/>
                <w:color w:val="auto"/>
              </w:rPr>
            </w:pPr>
            <w:r>
              <w:rPr>
                <w:rFonts w:ascii="Calibri" w:cs="Calibri" w:eastAsia="Calibri" w:hAnsi="Calibri"/>
                <w:sz w:val="14"/>
                <w:szCs w:val="14"/>
                <w:b w:val="1"/>
                <w:bCs w:val="1"/>
                <w:color w:val="auto"/>
              </w:rPr>
              <w:t>Reinforcement</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79"/>
              <w:spacing w:after="0" w:line="146" w:lineRule="exact"/>
              <w:rPr>
                <w:sz w:val="20"/>
                <w:szCs w:val="20"/>
                <w:color w:val="auto"/>
              </w:rPr>
            </w:pPr>
            <w:r>
              <w:rPr>
                <w:rFonts w:ascii="Calibri" w:cs="Calibri" w:eastAsia="Calibri" w:hAnsi="Calibri"/>
                <w:sz w:val="14"/>
                <w:szCs w:val="14"/>
                <w:b w:val="1"/>
                <w:bCs w:val="1"/>
                <w:color w:val="auto"/>
              </w:rPr>
              <w:t>Performance</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left="128"/>
              <w:spacing w:after="0" w:line="146" w:lineRule="exact"/>
              <w:rPr>
                <w:sz w:val="20"/>
                <w:szCs w:val="20"/>
                <w:color w:val="auto"/>
              </w:rPr>
            </w:pPr>
            <w:r>
              <w:rPr>
                <w:rFonts w:ascii="Calibri" w:cs="Calibri" w:eastAsia="Calibri" w:hAnsi="Calibri"/>
                <w:sz w:val="14"/>
                <w:szCs w:val="14"/>
                <w:b w:val="1"/>
                <w:bCs w:val="1"/>
                <w:color w:val="auto"/>
              </w:rPr>
              <w:t>Purifcaton</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75"/>
              <w:spacing w:after="0" w:line="146" w:lineRule="exact"/>
              <w:rPr>
                <w:sz w:val="20"/>
                <w:szCs w:val="20"/>
                <w:color w:val="auto"/>
              </w:rPr>
            </w:pPr>
            <w:r>
              <w:rPr>
                <w:rFonts w:ascii="Calibri" w:cs="Calibri" w:eastAsia="Calibri" w:hAnsi="Calibri"/>
                <w:sz w:val="14"/>
                <w:szCs w:val="14"/>
                <w:b w:val="1"/>
                <w:bCs w:val="1"/>
                <w:color w:val="auto"/>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6"/>
              <w:spacing w:after="0" w:line="223" w:lineRule="exact"/>
              <w:rPr>
                <w:sz w:val="20"/>
                <w:szCs w:val="20"/>
                <w:color w:val="auto"/>
              </w:rPr>
            </w:pPr>
            <w:r>
              <w:rPr>
                <w:rFonts w:ascii="Calibri" w:cs="Calibri" w:eastAsia="Calibri" w:hAnsi="Calibri"/>
                <w:sz w:val="14"/>
                <w:szCs w:val="14"/>
                <w:b w:val="1"/>
                <w:bCs w:val="1"/>
                <w:color w:val="auto"/>
                <w:w w:val="97"/>
              </w:rPr>
              <w:t>Materials</w:t>
            </w:r>
            <w:r>
              <w:rPr>
                <w:rFonts w:ascii="Calibri" w:cs="Calibri" w:eastAsia="Calibri" w:hAnsi="Calibri"/>
                <w:sz w:val="19"/>
                <w:szCs w:val="19"/>
                <w:b w:val="1"/>
                <w:bCs w:val="1"/>
                <w:color w:val="auto"/>
                <w:w w:val="97"/>
                <w:vertAlign w:val="superscript"/>
              </w:rPr>
              <w:t>(1)</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9"/>
              <w:spacing w:after="0" w:line="223" w:lineRule="exact"/>
              <w:rPr>
                <w:sz w:val="20"/>
                <w:szCs w:val="20"/>
                <w:color w:val="auto"/>
              </w:rPr>
            </w:pPr>
            <w:r>
              <w:rPr>
                <w:rFonts w:ascii="Calibri" w:cs="Calibri" w:eastAsia="Calibri" w:hAnsi="Calibri"/>
                <w:sz w:val="14"/>
                <w:szCs w:val="14"/>
                <w:b w:val="1"/>
                <w:bCs w:val="1"/>
                <w:color w:val="auto"/>
                <w:w w:val="95"/>
              </w:rPr>
              <w:t>Chemicals</w:t>
            </w:r>
            <w:r>
              <w:rPr>
                <w:rFonts w:ascii="Calibri" w:cs="Calibri" w:eastAsia="Calibri" w:hAnsi="Calibri"/>
                <w:sz w:val="19"/>
                <w:szCs w:val="19"/>
                <w:b w:val="1"/>
                <w:bCs w:val="1"/>
                <w:color w:val="auto"/>
                <w:w w:val="95"/>
                <w:vertAlign w:val="superscript"/>
              </w:rPr>
              <w:t>(1)</w:t>
            </w:r>
          </w:p>
        </w:tc>
        <w:tc>
          <w:tcPr>
            <w:tcW w:w="240" w:type="dxa"/>
            <w:vAlign w:val="bottom"/>
          </w:tcPr>
          <w:p>
            <w:pPr>
              <w:spacing w:after="0"/>
              <w:rPr>
                <w:sz w:val="19"/>
                <w:szCs w:val="19"/>
                <w:color w:val="auto"/>
              </w:rPr>
            </w:pPr>
          </w:p>
        </w:tc>
        <w:tc>
          <w:tcPr>
            <w:tcW w:w="900" w:type="dxa"/>
            <w:vAlign w:val="bottom"/>
            <w:tcBorders>
              <w:bottom w:val="single" w:sz="8" w:color="auto"/>
            </w:tcBorders>
          </w:tcPr>
          <w:p>
            <w:pPr>
              <w:jc w:val="center"/>
              <w:ind w:left="128"/>
              <w:spacing w:after="0"/>
              <w:rPr>
                <w:sz w:val="20"/>
                <w:szCs w:val="20"/>
                <w:color w:val="auto"/>
              </w:rPr>
            </w:pPr>
            <w:r>
              <w:rPr>
                <w:rFonts w:ascii="Calibri" w:cs="Calibri" w:eastAsia="Calibri" w:hAnsi="Calibri"/>
                <w:sz w:val="14"/>
                <w:szCs w:val="14"/>
                <w:b w:val="1"/>
                <w:bCs w:val="1"/>
                <w:color w:val="auto"/>
              </w:rPr>
              <w:t>Solutons</w:t>
            </w: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5"/>
              <w:spacing w:after="0"/>
              <w:rPr>
                <w:sz w:val="20"/>
                <w:szCs w:val="20"/>
                <w:color w:val="auto"/>
              </w:rPr>
            </w:pPr>
            <w:r>
              <w:rPr>
                <w:rFonts w:ascii="Calibri" w:cs="Calibri" w:eastAsia="Calibri" w:hAnsi="Calibri"/>
                <w:sz w:val="14"/>
                <w:szCs w:val="14"/>
                <w:b w:val="1"/>
                <w:bCs w:val="1"/>
                <w:color w:val="auto"/>
                <w:w w:val="94"/>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9"/>
              <w:spacing w:after="0" w:line="165" w:lineRule="exact"/>
              <w:rPr>
                <w:sz w:val="20"/>
                <w:szCs w:val="20"/>
                <w:color w:val="auto"/>
              </w:rPr>
            </w:pPr>
            <w:r>
              <w:rPr>
                <w:rFonts w:ascii="Calibri" w:cs="Calibri" w:eastAsia="Calibri" w:hAnsi="Calibri"/>
                <w:sz w:val="14"/>
                <w:szCs w:val="14"/>
                <w:b w:val="1"/>
                <w:bCs w:val="1"/>
                <w:color w:val="auto"/>
              </w:rPr>
              <w:t>(In</w:t>
            </w:r>
          </w:p>
        </w:tc>
        <w:tc>
          <w:tcPr>
            <w:tcW w:w="1140" w:type="dxa"/>
            <w:vAlign w:val="bottom"/>
            <w:gridSpan w:val="2"/>
          </w:tcPr>
          <w:p>
            <w:pPr>
              <w:jc w:val="right"/>
              <w:ind w:right="648"/>
              <w:spacing w:after="0" w:line="165" w:lineRule="exact"/>
              <w:rPr>
                <w:sz w:val="20"/>
                <w:szCs w:val="20"/>
                <w:color w:val="auto"/>
              </w:rPr>
            </w:pPr>
            <w:r>
              <w:rPr>
                <w:rFonts w:ascii="Calibri" w:cs="Calibri" w:eastAsia="Calibri" w:hAnsi="Calibri"/>
                <w:sz w:val="14"/>
                <w:szCs w:val="14"/>
                <w:b w:val="1"/>
                <w:bCs w:val="1"/>
                <w:color w:val="auto"/>
                <w:w w:val="79"/>
              </w:rPr>
              <w:t>millions)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Americas</w:t>
            </w:r>
          </w:p>
        </w:tc>
        <w:tc>
          <w:tcPr>
            <w:tcW w:w="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1,072</w:t>
            </w:r>
          </w:p>
        </w:tc>
        <w:tc>
          <w:tcPr>
            <w:tcW w:w="4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419</w:t>
            </w:r>
          </w:p>
        </w:tc>
        <w:tc>
          <w:tcPr>
            <w:tcW w:w="1140" w:type="dxa"/>
            <w:vAlign w:val="bottom"/>
            <w:tcBorders>
              <w:bottom w:val="single" w:sz="8" w:color="CFF0FC"/>
            </w:tcBorders>
            <w:gridSpan w:val="2"/>
            <w:shd w:val="clear" w:color="auto" w:fill="CFF0FC"/>
          </w:tcPr>
          <w:p>
            <w:pPr>
              <w:jc w:val="right"/>
              <w:ind w:right="728"/>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8"/>
              </w:rPr>
              <w:t>43</w:t>
            </w:r>
          </w:p>
        </w:tc>
        <w:tc>
          <w:tcPr>
            <w:tcW w:w="3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20"/>
              <w:spacing w:after="0" w:line="215" w:lineRule="exact"/>
              <w:rPr>
                <w:sz w:val="20"/>
                <w:szCs w:val="20"/>
                <w:color w:val="auto"/>
              </w:rPr>
            </w:pPr>
            <w:r>
              <w:rPr>
                <w:rFonts w:ascii="Calibri" w:cs="Calibri" w:eastAsia="Calibri" w:hAnsi="Calibri"/>
                <w:sz w:val="18"/>
                <w:szCs w:val="18"/>
                <w:color w:val="auto"/>
              </w:rPr>
              <w:t>Asia Pacifc</w:t>
            </w:r>
          </w:p>
        </w:tc>
        <w:tc>
          <w:tcPr>
            <w:tcW w:w="1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1,049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567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w w:val="98"/>
              </w:rPr>
              <w:t>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9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Europe, Middle East and Africa</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552</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402</w:t>
            </w:r>
          </w:p>
        </w:tc>
        <w:tc>
          <w:tcPr>
            <w:tcW w:w="2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8"/>
              </w:rPr>
              <w:t>40</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994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9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Segment revenues from external customers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2,673</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1,388</w:t>
            </w:r>
          </w:p>
        </w:tc>
        <w:tc>
          <w:tcPr>
            <w:tcW w:w="24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98"/>
              </w:rPr>
              <w:t>97</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4,158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9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Unallocated and other</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Net sales and other operatng revenues</w:t>
            </w:r>
          </w:p>
        </w:tc>
        <w:tc>
          <w:tcPr>
            <w:tcW w:w="100" w:type="dxa"/>
            <w:vAlign w:val="bottom"/>
            <w:tcBorders>
              <w:top w:val="single" w:sz="8" w:color="CFF0FC"/>
            </w:tcBorders>
          </w:tcPr>
          <w:p>
            <w:pPr>
              <w:spacing w:after="0"/>
              <w:rPr>
                <w:sz w:val="20"/>
                <w:szCs w:val="20"/>
                <w:color w:val="auto"/>
              </w:rPr>
            </w:pPr>
          </w:p>
        </w:tc>
        <w:tc>
          <w:tcPr>
            <w:tcW w:w="102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0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90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4,321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-2159635</wp:posOffset>
            </wp:positionV>
            <wp:extent cx="768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-2159635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-2159635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-505460</wp:posOffset>
            </wp:positionV>
            <wp:extent cx="7683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-505460</wp:posOffset>
            </wp:positionV>
            <wp:extent cx="6858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-505460</wp:posOffset>
            </wp:positionV>
            <wp:extent cx="6858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80" w:right="80" w:hanging="572"/>
        <w:spacing w:after="0" w:line="201" w:lineRule="auto"/>
        <w:tabs>
          <w:tab w:leader="none" w:pos="580" w:val="left"/>
        </w:tabs>
        <w:numPr>
          <w:ilvl w:val="0"/>
          <w:numId w:val="31"/>
        </w:numPr>
        <w:rPr>
          <w:rFonts w:ascii="Calibri" w:cs="Calibri" w:eastAsia="Calibri" w:hAnsi="Calibri"/>
          <w:sz w:val="24"/>
          <w:szCs w:val="24"/>
          <w:color w:val="auto"/>
          <w:vertAlign w:val="superscript"/>
        </w:rPr>
      </w:pPr>
      <w:r>
        <w:rPr>
          <w:rFonts w:ascii="Calibri" w:cs="Calibri" w:eastAsia="Calibri" w:hAnsi="Calibri"/>
          <w:sz w:val="18"/>
          <w:szCs w:val="18"/>
          <w:color w:val="auto"/>
        </w:rPr>
        <w:t>Beginning in fscal 2023, the Company began allocatng energy center revenue to the applicable segment’s revenue. The Company recast prior period fnancial informaton to conform to the new presentaton.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4"/>
          </w:tcPr>
          <w:p>
            <w:pPr>
              <w:jc w:val="right"/>
              <w:ind w:right="236"/>
              <w:spacing w:after="0"/>
              <w:rPr>
                <w:sz w:val="20"/>
                <w:szCs w:val="20"/>
                <w:color w:val="auto"/>
              </w:rPr>
            </w:pPr>
            <w:r>
              <w:rPr>
                <w:rFonts w:ascii="Calibri" w:cs="Calibri" w:eastAsia="Calibri" w:hAnsi="Calibri"/>
                <w:sz w:val="14"/>
                <w:szCs w:val="14"/>
                <w:b w:val="1"/>
                <w:bCs w:val="1"/>
                <w:color w:val="auto"/>
              </w:rPr>
              <w:t>Year Ended September 30, 2021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146"/>
        </w:trPr>
        <w:tc>
          <w:tcPr>
            <w:tcW w:w="5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6"/>
              <w:spacing w:after="0" w:line="146" w:lineRule="exact"/>
              <w:rPr>
                <w:sz w:val="20"/>
                <w:szCs w:val="20"/>
                <w:color w:val="auto"/>
              </w:rPr>
            </w:pPr>
            <w:r>
              <w:rPr>
                <w:rFonts w:ascii="Calibri" w:cs="Calibri" w:eastAsia="Calibri" w:hAnsi="Calibri"/>
                <w:sz w:val="14"/>
                <w:szCs w:val="14"/>
                <w:b w:val="1"/>
                <w:bCs w:val="1"/>
                <w:color w:val="auto"/>
              </w:rPr>
              <w:t>Reinforcement</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19"/>
              <w:spacing w:after="0" w:line="146" w:lineRule="exact"/>
              <w:rPr>
                <w:sz w:val="20"/>
                <w:szCs w:val="20"/>
                <w:color w:val="auto"/>
              </w:rPr>
            </w:pPr>
            <w:r>
              <w:rPr>
                <w:rFonts w:ascii="Calibri" w:cs="Calibri" w:eastAsia="Calibri" w:hAnsi="Calibri"/>
                <w:sz w:val="14"/>
                <w:szCs w:val="14"/>
                <w:b w:val="1"/>
                <w:bCs w:val="1"/>
                <w:color w:val="auto"/>
              </w:rPr>
              <w:t>Performance</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16"/>
              <w:spacing w:after="0" w:line="146" w:lineRule="exact"/>
              <w:rPr>
                <w:sz w:val="20"/>
                <w:szCs w:val="20"/>
                <w:color w:val="auto"/>
              </w:rPr>
            </w:pPr>
            <w:r>
              <w:rPr>
                <w:rFonts w:ascii="Calibri" w:cs="Calibri" w:eastAsia="Calibri" w:hAnsi="Calibri"/>
                <w:sz w:val="14"/>
                <w:szCs w:val="14"/>
                <w:b w:val="1"/>
                <w:bCs w:val="1"/>
                <w:color w:val="auto"/>
              </w:rPr>
              <w:t>Purifcaton</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95"/>
              <w:spacing w:after="0" w:line="146" w:lineRule="exact"/>
              <w:rPr>
                <w:sz w:val="20"/>
                <w:szCs w:val="20"/>
                <w:color w:val="auto"/>
              </w:rPr>
            </w:pPr>
            <w:r>
              <w:rPr>
                <w:rFonts w:ascii="Calibri" w:cs="Calibri" w:eastAsia="Calibri" w:hAnsi="Calibri"/>
                <w:sz w:val="14"/>
                <w:szCs w:val="14"/>
                <w:b w:val="1"/>
                <w:bCs w:val="1"/>
                <w:color w:val="auto"/>
              </w:rPr>
              <w:t>Consolidated</w:t>
            </w:r>
          </w:p>
        </w:tc>
        <w:tc>
          <w:tcPr>
            <w:tcW w:w="100" w:type="dxa"/>
            <w:vAlign w:val="bottom"/>
          </w:tcPr>
          <w:p>
            <w:pPr>
              <w:spacing w:after="0"/>
              <w:rPr>
                <w:sz w:val="12"/>
                <w:szCs w:val="12"/>
                <w:color w:val="auto"/>
              </w:rPr>
            </w:pPr>
          </w:p>
        </w:tc>
      </w:tr>
      <w:tr>
        <w:trPr>
          <w:trHeight w:val="224"/>
        </w:trPr>
        <w:tc>
          <w:tcPr>
            <w:tcW w:w="5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6"/>
              <w:spacing w:after="0" w:line="223" w:lineRule="exact"/>
              <w:rPr>
                <w:sz w:val="20"/>
                <w:szCs w:val="20"/>
                <w:color w:val="auto"/>
              </w:rPr>
            </w:pPr>
            <w:r>
              <w:rPr>
                <w:rFonts w:ascii="Calibri" w:cs="Calibri" w:eastAsia="Calibri" w:hAnsi="Calibri"/>
                <w:sz w:val="14"/>
                <w:szCs w:val="14"/>
                <w:b w:val="1"/>
                <w:bCs w:val="1"/>
                <w:color w:val="auto"/>
              </w:rPr>
              <w:t>Materials</w:t>
            </w:r>
            <w:r>
              <w:rPr>
                <w:rFonts w:ascii="Calibri" w:cs="Calibri" w:eastAsia="Calibri" w:hAnsi="Calibri"/>
                <w:sz w:val="19"/>
                <w:szCs w:val="19"/>
                <w:b w:val="1"/>
                <w:bCs w:val="1"/>
                <w:color w:val="auto"/>
                <w:vertAlign w:val="superscript"/>
              </w:rPr>
              <w:t>(1)</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9"/>
              <w:spacing w:after="0" w:line="223" w:lineRule="exact"/>
              <w:rPr>
                <w:sz w:val="20"/>
                <w:szCs w:val="20"/>
                <w:color w:val="auto"/>
              </w:rPr>
            </w:pPr>
            <w:r>
              <w:rPr>
                <w:rFonts w:ascii="Calibri" w:cs="Calibri" w:eastAsia="Calibri" w:hAnsi="Calibri"/>
                <w:sz w:val="14"/>
                <w:szCs w:val="14"/>
                <w:b w:val="1"/>
                <w:bCs w:val="1"/>
                <w:color w:val="auto"/>
              </w:rPr>
              <w:t>Chemicals</w:t>
            </w:r>
            <w:r>
              <w:rPr>
                <w:rFonts w:ascii="Calibri" w:cs="Calibri" w:eastAsia="Calibri" w:hAnsi="Calibri"/>
                <w:sz w:val="19"/>
                <w:szCs w:val="19"/>
                <w:b w:val="1"/>
                <w:bCs w:val="1"/>
                <w:color w:val="auto"/>
                <w:vertAlign w:val="superscript"/>
              </w:rPr>
              <w:t>(1)</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6"/>
              <w:spacing w:after="0"/>
              <w:rPr>
                <w:sz w:val="20"/>
                <w:szCs w:val="20"/>
                <w:color w:val="auto"/>
              </w:rPr>
            </w:pPr>
            <w:r>
              <w:rPr>
                <w:rFonts w:ascii="Calibri" w:cs="Calibri" w:eastAsia="Calibri" w:hAnsi="Calibri"/>
                <w:sz w:val="14"/>
                <w:szCs w:val="14"/>
                <w:b w:val="1"/>
                <w:bCs w:val="1"/>
                <w:color w:val="auto"/>
              </w:rPr>
              <w:t>Solutons</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5"/>
              <w:spacing w:after="0"/>
              <w:rPr>
                <w:sz w:val="20"/>
                <w:szCs w:val="20"/>
                <w:color w:val="auto"/>
              </w:rPr>
            </w:pPr>
            <w:r>
              <w:rPr>
                <w:rFonts w:ascii="Calibri" w:cs="Calibri" w:eastAsia="Calibri" w:hAnsi="Calibri"/>
                <w:sz w:val="14"/>
                <w:szCs w:val="14"/>
                <w:b w:val="1"/>
                <w:bCs w:val="1"/>
                <w:color w:val="auto"/>
              </w:rPr>
              <w:t>Total</w:t>
            </w:r>
          </w:p>
        </w:tc>
        <w:tc>
          <w:tcPr>
            <w:tcW w:w="100" w:type="dxa"/>
            <w:vAlign w:val="bottom"/>
          </w:tcPr>
          <w:p>
            <w:pPr>
              <w:spacing w:after="0"/>
              <w:rPr>
                <w:sz w:val="19"/>
                <w:szCs w:val="19"/>
                <w:color w:val="auto"/>
              </w:rPr>
            </w:pPr>
          </w:p>
        </w:tc>
      </w:tr>
      <w:tr>
        <w:trPr>
          <w:trHeight w:val="165"/>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9"/>
              <w:spacing w:after="0" w:line="165" w:lineRule="exact"/>
              <w:rPr>
                <w:sz w:val="20"/>
                <w:szCs w:val="20"/>
                <w:color w:val="auto"/>
              </w:rPr>
            </w:pPr>
            <w:r>
              <w:rPr>
                <w:rFonts w:ascii="Calibri" w:cs="Calibri" w:eastAsia="Calibri" w:hAnsi="Calibri"/>
                <w:sz w:val="14"/>
                <w:szCs w:val="14"/>
                <w:b w:val="1"/>
                <w:bCs w:val="1"/>
                <w:color w:val="auto"/>
              </w:rPr>
              <w:t>(In</w:t>
            </w:r>
          </w:p>
        </w:tc>
        <w:tc>
          <w:tcPr>
            <w:tcW w:w="440" w:type="dxa"/>
            <w:vAlign w:val="bottom"/>
            <w:gridSpan w:val="2"/>
          </w:tcPr>
          <w:p>
            <w:pPr>
              <w:jc w:val="right"/>
              <w:ind w:right="20"/>
              <w:spacing w:after="0" w:line="165" w:lineRule="exact"/>
              <w:rPr>
                <w:sz w:val="20"/>
                <w:szCs w:val="20"/>
                <w:color w:val="auto"/>
              </w:rPr>
            </w:pPr>
            <w:r>
              <w:rPr>
                <w:rFonts w:ascii="Calibri" w:cs="Calibri" w:eastAsia="Calibri" w:hAnsi="Calibri"/>
                <w:sz w:val="14"/>
                <w:szCs w:val="14"/>
                <w:b w:val="1"/>
                <w:bCs w:val="1"/>
                <w:color w:val="auto"/>
                <w:w w:val="79"/>
              </w:rPr>
              <w:t>millions)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9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Americas</w:t>
            </w:r>
          </w:p>
        </w:tc>
        <w:tc>
          <w:tcPr>
            <w:tcW w:w="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708</w:t>
            </w:r>
          </w:p>
        </w:tc>
        <w:tc>
          <w:tcPr>
            <w:tcW w:w="4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311</w:t>
            </w:r>
          </w:p>
        </w:tc>
        <w:tc>
          <w:tcPr>
            <w:tcW w:w="440" w:type="dxa"/>
            <w:vAlign w:val="bottom"/>
            <w:tcBorders>
              <w:bottom w:val="single" w:sz="8" w:color="CFF0FC"/>
            </w:tcBorders>
            <w:gridSpan w:val="2"/>
            <w:shd w:val="clear" w:color="auto" w:fill="CFF0FC"/>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110</w:t>
            </w:r>
          </w:p>
        </w:tc>
        <w:tc>
          <w:tcPr>
            <w:tcW w:w="3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5900" w:type="dxa"/>
            <w:vAlign w:val="bottom"/>
          </w:tcPr>
          <w:p>
            <w:pPr>
              <w:ind w:left="20"/>
              <w:spacing w:after="0" w:line="215" w:lineRule="exact"/>
              <w:rPr>
                <w:sz w:val="20"/>
                <w:szCs w:val="20"/>
                <w:color w:val="auto"/>
              </w:rPr>
            </w:pPr>
            <w:r>
              <w:rPr>
                <w:rFonts w:ascii="Calibri" w:cs="Calibri" w:eastAsia="Calibri" w:hAnsi="Calibri"/>
                <w:sz w:val="18"/>
                <w:szCs w:val="18"/>
                <w:color w:val="auto"/>
              </w:rPr>
              <w:t>Asia Pacifc</w:t>
            </w:r>
          </w:p>
        </w:tc>
        <w:tc>
          <w:tcPr>
            <w:tcW w:w="1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777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489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34</w:t>
            </w:r>
          </w:p>
        </w:tc>
        <w:tc>
          <w:tcPr>
            <w:tcW w:w="3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1,300</w:t>
            </w:r>
          </w:p>
        </w:tc>
        <w:tc>
          <w:tcPr>
            <w:tcW w:w="100" w:type="dxa"/>
            <w:vAlign w:val="bottom"/>
          </w:tcPr>
          <w:p>
            <w:pPr>
              <w:spacing w:after="0"/>
              <w:rPr>
                <w:sz w:val="18"/>
                <w:szCs w:val="18"/>
                <w:color w:val="auto"/>
              </w:rPr>
            </w:pPr>
          </w:p>
        </w:tc>
      </w:tr>
      <w:tr>
        <w:trPr>
          <w:trHeight w:val="28"/>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59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Europe, Middle East and Africa</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353</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356</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8"/>
        </w:trPr>
        <w:tc>
          <w:tcPr>
            <w:tcW w:w="590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Segment revenues from external customers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1,838</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1,156</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257</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3,251</w:t>
            </w:r>
          </w:p>
        </w:tc>
        <w:tc>
          <w:tcPr>
            <w:tcW w:w="100" w:type="dxa"/>
            <w:vAlign w:val="bottom"/>
            <w:tcBorders>
              <w:top w:val="single" w:sz="8" w:color="CFF0FC"/>
            </w:tcBorders>
          </w:tcPr>
          <w:p>
            <w:pPr>
              <w:spacing w:after="0"/>
              <w:rPr>
                <w:sz w:val="18"/>
                <w:szCs w:val="18"/>
                <w:color w:val="auto"/>
              </w:rPr>
            </w:pPr>
          </w:p>
        </w:tc>
      </w:tr>
      <w:tr>
        <w:trPr>
          <w:trHeight w:val="28"/>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59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Unallocated and other</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0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Net sales and other operatng revenues</w:t>
            </w:r>
          </w:p>
        </w:tc>
        <w:tc>
          <w:tcPr>
            <w:tcW w:w="100" w:type="dxa"/>
            <w:vAlign w:val="bottom"/>
            <w:tcBorders>
              <w:top w:val="single" w:sz="8" w:color="CFF0FC"/>
            </w:tcBorders>
          </w:tcPr>
          <w:p>
            <w:pPr>
              <w:spacing w:after="0"/>
              <w:rPr>
                <w:sz w:val="20"/>
                <w:szCs w:val="20"/>
                <w:color w:val="auto"/>
              </w:rPr>
            </w:pPr>
          </w:p>
        </w:tc>
        <w:tc>
          <w:tcPr>
            <w:tcW w:w="102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0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90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3,409</w:t>
            </w:r>
          </w:p>
        </w:tc>
        <w:tc>
          <w:tcPr>
            <w:tcW w:w="100" w:type="dxa"/>
            <w:vAlign w:val="bottom"/>
            <w:tcBorders>
              <w:top w:val="single" w:sz="8" w:color="CFF0FC"/>
            </w:tcBorders>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-505460</wp:posOffset>
            </wp:positionV>
            <wp:extent cx="7683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-505460</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-505460</wp:posOffset>
            </wp:positionV>
            <wp:extent cx="685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80" w:right="80" w:hanging="572"/>
        <w:spacing w:after="0" w:line="201" w:lineRule="auto"/>
        <w:tabs>
          <w:tab w:leader="none" w:pos="580" w:val="left"/>
        </w:tabs>
        <w:numPr>
          <w:ilvl w:val="0"/>
          <w:numId w:val="32"/>
        </w:numPr>
        <w:rPr>
          <w:rFonts w:ascii="Calibri" w:cs="Calibri" w:eastAsia="Calibri" w:hAnsi="Calibri"/>
          <w:sz w:val="24"/>
          <w:szCs w:val="24"/>
          <w:color w:val="auto"/>
          <w:vertAlign w:val="superscript"/>
        </w:rPr>
      </w:pPr>
      <w:r>
        <w:rPr>
          <w:rFonts w:ascii="Calibri" w:cs="Calibri" w:eastAsia="Calibri" w:hAnsi="Calibri"/>
          <w:sz w:val="18"/>
          <w:szCs w:val="18"/>
          <w:color w:val="auto"/>
        </w:rPr>
        <w:t>Beginning in fscal 2023, the Company began allocatng energy center revenue to the applicable segment’s revenue. The Company recast prior period fnancial informaton to conform to the new presentaton.</w:t>
      </w:r>
    </w:p>
    <w:p>
      <w:pPr>
        <w:spacing w:after="0" w:line="340"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Property, plant and equipment atributable to an individual country, other than the U.S. and China, were not material for disclosure. Property, plant and equipment informaton by individual country is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jc w:val="right"/>
              <w:ind w:right="460"/>
              <w:spacing w:after="0"/>
              <w:rPr>
                <w:sz w:val="20"/>
                <w:szCs w:val="20"/>
                <w:color w:val="auto"/>
              </w:rPr>
            </w:pPr>
            <w:r>
              <w:rPr>
                <w:rFonts w:ascii="Calibri" w:cs="Calibri" w:eastAsia="Calibri" w:hAnsi="Calibri"/>
                <w:sz w:val="14"/>
                <w:szCs w:val="14"/>
                <w:b w:val="1"/>
                <w:bCs w:val="1"/>
                <w:color w:val="auto"/>
              </w:rPr>
              <w:t>Years Ended September 30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7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8"/>
              <w:spacing w:after="0" w:line="164" w:lineRule="exact"/>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294"/>
              <w:spacing w:after="0" w:line="164" w:lineRule="exact"/>
              <w:rPr>
                <w:sz w:val="20"/>
                <w:szCs w:val="20"/>
                <w:color w:val="auto"/>
              </w:rPr>
            </w:pPr>
            <w:r>
              <w:rPr>
                <w:rFonts w:ascii="Calibri" w:cs="Calibri" w:eastAsia="Calibri" w:hAnsi="Calibri"/>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7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18"/>
              <w:spacing w:after="0" w:line="164" w:lineRule="exact"/>
              <w:rPr>
                <w:sz w:val="20"/>
                <w:szCs w:val="20"/>
                <w:color w:val="auto"/>
              </w:rPr>
            </w:pPr>
            <w:r>
              <w:rPr>
                <w:rFonts w:ascii="Calibri" w:cs="Calibri" w:eastAsia="Calibri" w:hAnsi="Calibri"/>
                <w:sz w:val="14"/>
                <w:szCs w:val="14"/>
                <w:b w:val="1"/>
                <w:bCs w:val="1"/>
                <w:color w:val="auto"/>
              </w:rPr>
              <w:t>(In</w:t>
            </w:r>
          </w:p>
        </w:tc>
        <w:tc>
          <w:tcPr>
            <w:tcW w:w="520" w:type="dxa"/>
            <w:vAlign w:val="bottom"/>
            <w:gridSpan w:val="2"/>
          </w:tcPr>
          <w:p>
            <w:pPr>
              <w:jc w:val="right"/>
              <w:spacing w:after="0" w:line="164" w:lineRule="exact"/>
              <w:rPr>
                <w:sz w:val="20"/>
                <w:szCs w:val="20"/>
                <w:color w:val="auto"/>
              </w:rPr>
            </w:pPr>
            <w:r>
              <w:rPr>
                <w:rFonts w:ascii="Calibri" w:cs="Calibri" w:eastAsia="Calibri" w:hAnsi="Calibri"/>
                <w:sz w:val="14"/>
                <w:szCs w:val="14"/>
                <w:b w:val="1"/>
                <w:bCs w:val="1"/>
                <w:color w:val="auto"/>
                <w:w w:val="83"/>
              </w:rPr>
              <w:t>millions)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24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United States</w:t>
            </w:r>
          </w:p>
        </w:tc>
        <w:tc>
          <w:tcPr>
            <w:tcW w:w="3200" w:type="dxa"/>
            <w:vAlign w:val="bottom"/>
            <w:tcBorders>
              <w:bottom w:val="single" w:sz="8" w:color="CFF0FC"/>
            </w:tcBorders>
            <w:gridSpan w:val="2"/>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588</w:t>
            </w:r>
          </w:p>
        </w:tc>
        <w:tc>
          <w:tcPr>
            <w:tcW w:w="52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524</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2480" w:type="dxa"/>
            <w:vAlign w:val="bottom"/>
          </w:tcPr>
          <w:p>
            <w:pPr>
              <w:spacing w:after="0" w:line="215" w:lineRule="exact"/>
              <w:rPr>
                <w:sz w:val="20"/>
                <w:szCs w:val="20"/>
                <w:color w:val="auto"/>
              </w:rPr>
            </w:pPr>
            <w:r>
              <w:rPr>
                <w:rFonts w:ascii="Calibri" w:cs="Calibri" w:eastAsia="Calibri" w:hAnsi="Calibri"/>
                <w:sz w:val="18"/>
                <w:szCs w:val="18"/>
                <w:color w:val="auto"/>
              </w:rPr>
              <w:t>China</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356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333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700" w:type="dxa"/>
            <w:vAlign w:val="bottom"/>
          </w:tcPr>
          <w:p>
            <w:pPr>
              <w:spacing w:after="0"/>
              <w:rPr>
                <w:sz w:val="21"/>
                <w:szCs w:val="21"/>
                <w:color w:val="auto"/>
              </w:rPr>
            </w:pPr>
          </w:p>
        </w:tc>
        <w:tc>
          <w:tcPr>
            <w:tcW w:w="24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Other countries</w:t>
            </w:r>
          </w:p>
        </w:tc>
        <w:tc>
          <w:tcPr>
            <w:tcW w:w="29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468</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413</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2480" w:type="dxa"/>
            <w:vAlign w:val="bottom"/>
            <w:tcBorders>
              <w:top w:val="single" w:sz="8" w:color="CFF0FC"/>
            </w:tcBorders>
          </w:tcPr>
          <w:p>
            <w:pPr>
              <w:spacing w:after="0"/>
              <w:rPr>
                <w:sz w:val="20"/>
                <w:szCs w:val="20"/>
                <w:color w:val="auto"/>
              </w:rPr>
            </w:pPr>
            <w:r>
              <w:rPr>
                <w:rFonts w:ascii="Calibri" w:cs="Calibri" w:eastAsia="Calibri" w:hAnsi="Calibri"/>
                <w:sz w:val="18"/>
                <w:szCs w:val="18"/>
                <w:color w:val="auto"/>
              </w:rPr>
              <w:t>Total</w:t>
            </w:r>
          </w:p>
        </w:tc>
        <w:tc>
          <w:tcPr>
            <w:tcW w:w="29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1,412</w:t>
            </w:r>
          </w:p>
        </w:tc>
        <w:tc>
          <w:tcPr>
            <w:tcW w:w="2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7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1,270</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960" w:type="dxa"/>
            <w:vAlign w:val="bottom"/>
            <w:vMerge w:val="restart"/>
          </w:tcPr>
          <w:p>
            <w:pPr>
              <w:jc w:val="right"/>
              <w:ind w:right="1330"/>
              <w:spacing w:after="0"/>
              <w:rPr>
                <w:sz w:val="20"/>
                <w:szCs w:val="20"/>
                <w:color w:val="auto"/>
              </w:rPr>
            </w:pPr>
            <w:r>
              <w:rPr>
                <w:rFonts w:ascii="Calibri" w:cs="Calibri" w:eastAsia="Calibri" w:hAnsi="Calibri"/>
                <w:sz w:val="18"/>
                <w:szCs w:val="18"/>
                <w:color w:val="auto"/>
              </w:rPr>
              <w:t>79</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700" w:type="dxa"/>
            <w:vAlign w:val="bottom"/>
            <w:tcBorders>
              <w:bottom w:val="single" w:sz="8" w:color="9A9A9A"/>
            </w:tcBorders>
          </w:tcPr>
          <w:p>
            <w:pPr>
              <w:spacing w:after="0"/>
              <w:rPr>
                <w:sz w:val="12"/>
                <w:szCs w:val="12"/>
                <w:color w:val="auto"/>
              </w:rPr>
            </w:pPr>
          </w:p>
        </w:tc>
        <w:tc>
          <w:tcPr>
            <w:tcW w:w="2480" w:type="dxa"/>
            <w:vAlign w:val="bottom"/>
            <w:tcBorders>
              <w:bottom w:val="single" w:sz="8" w:color="9A9A9A"/>
            </w:tcBorders>
          </w:tcPr>
          <w:p>
            <w:pPr>
              <w:spacing w:after="0"/>
              <w:rPr>
                <w:sz w:val="12"/>
                <w:szCs w:val="12"/>
                <w:color w:val="auto"/>
              </w:rPr>
            </w:pPr>
          </w:p>
        </w:tc>
        <w:tc>
          <w:tcPr>
            <w:tcW w:w="29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-685165</wp:posOffset>
            </wp:positionV>
            <wp:extent cx="5143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-685165</wp:posOffset>
            </wp:positionV>
            <wp:extent cx="431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9" w:name="page80"/>
    <w:bookmarkEnd w:id="79"/>
    <w:p>
      <w:pPr>
        <w:spacing w:after="0"/>
        <w:rPr>
          <w:sz w:val="20"/>
          <w:szCs w:val="20"/>
          <w:color w:val="auto"/>
        </w:rPr>
      </w:pPr>
      <w:r>
        <w:rPr>
          <w:rFonts w:ascii="Calibri" w:cs="Calibri" w:eastAsia="Calibri" w:hAnsi="Calibri"/>
          <w:sz w:val="18"/>
          <w:szCs w:val="18"/>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Shareholders and the Board of Directors of Cabot Corporaton</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Opinion on the Financial Statements</w:t>
      </w:r>
    </w:p>
    <w:p>
      <w:pPr>
        <w:spacing w:after="0" w:line="16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We have audited the accompanying consolidated balance sheets of Cabot Corporaton and subsidiaries (the "Company") as of September 30, 2023 and 2022, the related consolidated statements of operatons, comprehensive income, stockholders' equity, and cash fows, for each of the three years in the period ended September 30, 2023, and the related notes (collectvely referred to as the "fnancial statements"). In our opinion, the fnancial statements present fairly, in all material respects, the fnancial positon of the Company as of September 30, 2023 and 2022, and the results of its operatons and its cash fows for each of the three years in the period ended September 30, 2023, in conformity with accountng principles generally accepted in the United States of America.</w:t>
      </w:r>
    </w:p>
    <w:p>
      <w:pPr>
        <w:spacing w:after="0" w:line="15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also audited, in accordance with the standards of the Public Company Accountng Oversight Board (United States) (PCAOB), the Company's internal control over fnancial reportng as of September 30, 2023, based on criteria established in Internal Control — Integrated Framework (2013) issued by the Commitee of Sponsoring Organizatons of the Treadway Commission and our report dated November 22, 2023, expressed an unqualifed opinion on the Company's internal control over fnancial reportng.</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163"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These fnancial statements are the responsibility of the Company's management. Our responsibility is to express an opinion on the Company's fnancial statements based on our audits.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Audit Mater</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critcal audit maters communicated below are maters arising from the current-period audit of the fnancial statements that were communicated or required to be communicated to the audit commitee and that (1) relate to accounts or disclosures that are material to the fnancial statements and (2) involved our especially challenging, subjectve, or complex judgments. The communicaton of critcal audit maters does not alter in any way our opinion on the fnancial statements, taken as a whole, and we are not, by communicatng the critcal audit maters below, providing a separate opinion on the critcal audit maters or on the accounts or disclosures to which it relates.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Commitments and Contngencies — CWP Respirator Liabilites — Refer to Note S to the consolidated fnancial statements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Critcal Audit Mater Descripton</w:t>
      </w:r>
    </w:p>
    <w:p>
      <w:pPr>
        <w:spacing w:after="0" w:line="163"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The Company has exposure in connecton with a safety respiratory products business previously owned by one of its subsidiaries. The respirator liabilites involve claims for personal injury, including asbestosis, silicosis and coal worker’s pneumoconiosis (“CWP”).</w:t>
      </w:r>
    </w:p>
    <w:p>
      <w:pPr>
        <w:spacing w:after="0" w:line="218" w:lineRule="exact"/>
        <w:rPr>
          <w:sz w:val="20"/>
          <w:szCs w:val="20"/>
          <w:color w:val="auto"/>
        </w:rPr>
      </w:pPr>
    </w:p>
    <w:p>
      <w:pPr>
        <w:ind w:right="160"/>
        <w:spacing w:after="0" w:line="254" w:lineRule="auto"/>
        <w:rPr>
          <w:sz w:val="20"/>
          <w:szCs w:val="20"/>
          <w:color w:val="auto"/>
        </w:rPr>
      </w:pPr>
      <w:r>
        <w:rPr>
          <w:rFonts w:ascii="Calibri" w:cs="Calibri" w:eastAsia="Calibri" w:hAnsi="Calibri"/>
          <w:sz w:val="17"/>
          <w:szCs w:val="17"/>
          <w:color w:val="auto"/>
        </w:rPr>
        <w:t>We identfed CWP respirator liabilites, which are part of the total respirator liabilites, as a critcal audit mater because there is signifcant uncertainty related to the number of future claims and the estmate of the cost to resolve pending and future claims. Audit procedures around CWP respirator liabilites required a high degree of auditor judgment and an increased extent of efort and specialized skill, including the need to involve our actuarial specialists.</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How the Critcal Audit Mater Was Addressed in the Audit</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Our audit procedures related to respirator liabilites included the following, among others:</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0" w:name="page81"/>
    <w:bookmarkEnd w:id="80"/>
    <w:p>
      <w:pPr>
        <w:ind w:left="1020" w:right="540" w:hanging="503"/>
        <w:spacing w:after="0" w:line="235" w:lineRule="auto"/>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tested the efectveness of controls over management’s review of the calculaton of the CWP respirator liabilites, including the work performed by the Company’s tort liability consultants, and the assumptons and data utlized in the calculaton.</w:t>
      </w:r>
    </w:p>
    <w:p>
      <w:pPr>
        <w:spacing w:after="0" w:line="231" w:lineRule="exact"/>
        <w:rPr>
          <w:rFonts w:ascii="Times New Roman" w:cs="Times New Roman" w:eastAsia="Times New Roman" w:hAnsi="Times New Roman"/>
          <w:sz w:val="18"/>
          <w:szCs w:val="18"/>
          <w:color w:val="auto"/>
        </w:rPr>
      </w:pPr>
    </w:p>
    <w:p>
      <w:pPr>
        <w:ind w:left="1020" w:right="120" w:hanging="503"/>
        <w:spacing w:after="0" w:line="235" w:lineRule="auto"/>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evaluated the method and assumptons used by management to estmate the CWP respirator liabilites by utlizing our actuarial specialists to assist with the calculaton of an independent estmate of the CWP respirator liabilites, and comparing our estmate to the Company’s estmate.</w:t>
      </w:r>
    </w:p>
    <w:p>
      <w:pPr>
        <w:spacing w:after="0" w:line="2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assessed the appropriateness of the disclosures in the fnancial statements.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Income Taxes – Domestc Deferred Tax Assets – Refer to Note Q to the consolidated fnancial statements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Critcal Audit Mater Descripton</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determines deferred income taxes based on the estmated future tax efects of diferences between fnancial statement carrying amounts and the tax bases of existng assets and liabilites. A valuaton allowance is established for deferred taxes when it is more likely than not that all or a porton of the deferred tax assets will not be realized, which is dependent upon the generaton of future taxable income of applicable character.</w:t>
      </w:r>
    </w:p>
    <w:p>
      <w:pPr>
        <w:spacing w:after="0" w:line="21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During 2023 the Company reversed a porton of the valuaton allowance that was recorded against its domestc net deferred tax assets. This reversal resulted in a non-cash income tax beneft of $152 million.</w:t>
      </w:r>
    </w:p>
    <w:p>
      <w:pPr>
        <w:spacing w:after="0" w:line="218"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We identfed the evaluaton of the realizability of domestc net deferred tax assets, which are part of total net deferred tax assets, as a critcal audit mater because performing audit procedures on the Company’s assessment of recoverability of domestc deferred tax assets required increased extent of efort and specialized skill, including the need to involve our income tax specialists.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How the Critcal Audit Mater Was Addressed in the Audit</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Our audit procedures related to the realizability of the Company's domestc deferred tax assets included the following, among others:</w:t>
      </w:r>
    </w:p>
    <w:p>
      <w:pPr>
        <w:spacing w:after="0" w:line="11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tested the efectveness of controls over management's domestc deferred tax asset realizability assessment.</w:t>
      </w:r>
    </w:p>
    <w:p>
      <w:pPr>
        <w:spacing w:after="0" w:line="122" w:lineRule="exact"/>
        <w:rPr>
          <w:rFonts w:ascii="Times New Roman" w:cs="Times New Roman" w:eastAsia="Times New Roman" w:hAnsi="Times New Roman"/>
          <w:sz w:val="18"/>
          <w:szCs w:val="18"/>
          <w:color w:val="auto"/>
        </w:rPr>
      </w:pPr>
    </w:p>
    <w:p>
      <w:pPr>
        <w:ind w:left="1020" w:right="220" w:hanging="503"/>
        <w:spacing w:after="0" w:line="235" w:lineRule="auto"/>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evaluated the method and assumptons used by management to evaluate realizability of domestc net deferred tax assets by utlizing our income tax specialists to assist with the calculaton of an independent estmate of the amount of domestc deferred tax assets that is recoverable, and comparing our estmate to the Company’s estmate.</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assessed the appropriateness of the disclosures in the fnancial statements.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/s/ Deloite &amp; Touche LLP</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Boston, Massachusets</w:t>
      </w:r>
    </w:p>
    <w:p>
      <w:pPr>
        <w:spacing w:after="0" w:line="235" w:lineRule="auto"/>
        <w:rPr>
          <w:sz w:val="20"/>
          <w:szCs w:val="20"/>
          <w:color w:val="auto"/>
        </w:rPr>
      </w:pPr>
      <w:r>
        <w:rPr>
          <w:rFonts w:ascii="Calibri" w:cs="Calibri" w:eastAsia="Calibri" w:hAnsi="Calibri"/>
          <w:sz w:val="18"/>
          <w:szCs w:val="18"/>
          <w:color w:val="auto"/>
        </w:rPr>
        <w:t>November 22, 2023</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served as the Company's auditor since 2007.</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1" w:name="page82"/>
    <w:bookmarkEnd w:id="81"/>
    <w:p>
      <w:pPr>
        <w:spacing w:after="0"/>
        <w:rPr>
          <w:sz w:val="20"/>
          <w:szCs w:val="20"/>
          <w:color w:val="auto"/>
        </w:rPr>
      </w:pPr>
      <w:r>
        <w:rPr>
          <w:rFonts w:ascii="Calibri" w:cs="Calibri" w:eastAsia="Calibri" w:hAnsi="Calibri"/>
          <w:sz w:val="18"/>
          <w:szCs w:val="18"/>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Shareholders and the Board of Directors of Cabot Corporaton</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Opinion on Internal Control over Financial Reportng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have audited the internal control over fnancial reportng of Cabot Corporaton and subsidiaries (the “Company”) as of September 30, 2023, based on criteria established in </w:t>
      </w:r>
      <w:r>
        <w:rPr>
          <w:rFonts w:ascii="Calibri" w:cs="Calibri" w:eastAsia="Calibri" w:hAnsi="Calibri"/>
          <w:sz w:val="18"/>
          <w:szCs w:val="18"/>
          <w:i w:val="1"/>
          <w:iCs w:val="1"/>
          <w:color w:val="auto"/>
        </w:rPr>
        <w:t>Internal Control — Integrated Framework (2013)</w:t>
      </w:r>
      <w:r>
        <w:rPr>
          <w:rFonts w:ascii="Calibri" w:cs="Calibri" w:eastAsia="Calibri" w:hAnsi="Calibri"/>
          <w:sz w:val="18"/>
          <w:szCs w:val="18"/>
          <w:color w:val="auto"/>
        </w:rPr>
        <w:t xml:space="preserve"> issued by the Commitee of Sponsoring Organizatons of the Treadway Commission (COSO). In our opinion, the Company maintained, in all material respects, efectve internal control over fnancial reportng as of September 30, 2023, based on criteria established in </w:t>
      </w:r>
      <w:r>
        <w:rPr>
          <w:rFonts w:ascii="Calibri" w:cs="Calibri" w:eastAsia="Calibri" w:hAnsi="Calibri"/>
          <w:sz w:val="18"/>
          <w:szCs w:val="18"/>
          <w:i w:val="1"/>
          <w:iCs w:val="1"/>
          <w:color w:val="auto"/>
        </w:rPr>
        <w:t>Internal Control — Integrated Framework (2013)</w:t>
      </w:r>
      <w:r>
        <w:rPr>
          <w:rFonts w:ascii="Calibri" w:cs="Calibri" w:eastAsia="Calibri" w:hAnsi="Calibri"/>
          <w:sz w:val="18"/>
          <w:szCs w:val="18"/>
          <w:color w:val="auto"/>
        </w:rPr>
        <w:t xml:space="preserve"> issued by COSO.</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also audited, in accordance with the standards of the Public Company Accountng Oversight Board (United States) (PCAOB), the consolidated fnancial statements as of and for the year ended September 30, 2023, of the Company and our report dated November 22, 2023, expressed an unqualifed opinion on those fnancial statements.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Company’s management is responsible for maintaining efectve internal control over fnancial reportng and for its assessment of the efectveness of internal control over fnancial reportng, included in the accompanying </w:t>
      </w:r>
      <w:r>
        <w:rPr>
          <w:rFonts w:ascii="Calibri" w:cs="Calibri" w:eastAsia="Calibri" w:hAnsi="Calibri"/>
          <w:sz w:val="18"/>
          <w:szCs w:val="18"/>
          <w:i w:val="1"/>
          <w:iCs w:val="1"/>
          <w:color w:val="auto"/>
        </w:rPr>
        <w:t>Management’s Annual Report on Internal Control Over Financial Reportng</w:t>
      </w:r>
      <w:r>
        <w:rPr>
          <w:rFonts w:ascii="Calibri" w:cs="Calibri" w:eastAsia="Calibri" w:hAnsi="Calibri"/>
          <w:sz w:val="18"/>
          <w:szCs w:val="18"/>
          <w:color w:val="auto"/>
        </w:rPr>
        <w:t>. Our responsibility is to express an opinion on the Company’s internal control over fnancial reportng based on our audit.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conducted our audit in accordance with the standards of the PCAOB. Those standards require that we plan and perform the audit to obtain reasonable assurance about whether efectve internal control over fnancial reportng was maintained in all material respects. Our audit included obtaining an understanding of internal control over fnancial reportng, assessing the risk that a material weakness exists, testng and evaluatng the design and operatng efectveness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Defniton and Limitatons of Internal Control over Financial Reportng</w:t>
      </w:r>
    </w:p>
    <w:p>
      <w:pPr>
        <w:spacing w:after="0" w:line="16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(1) pertain to the maintenance of records that, in reasonable detail, accurately and fairly refect the transactons and dispositons of the assets of the company; (2)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(3) provide reasonable assurance regarding preventon or tmely detecton of unauthorized acquisiton, use, or dispositon of the company’s assets that could have a material efect on the fnancial statements.</w:t>
      </w:r>
    </w:p>
    <w:p>
      <w:pPr>
        <w:spacing w:after="0" w:line="1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auto"/>
        </w:rPr>
        <w:t>/s/ Deloite &amp; Touche LLP</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Boston, Massachusets</w:t>
      </w:r>
    </w:p>
    <w:p>
      <w:pPr>
        <w:spacing w:after="0" w:line="235" w:lineRule="auto"/>
        <w:rPr>
          <w:sz w:val="20"/>
          <w:szCs w:val="20"/>
          <w:color w:val="auto"/>
        </w:rPr>
      </w:pPr>
      <w:r>
        <w:rPr>
          <w:rFonts w:ascii="Calibri" w:cs="Calibri" w:eastAsia="Calibri" w:hAnsi="Calibri"/>
          <w:sz w:val="18"/>
          <w:szCs w:val="18"/>
          <w:color w:val="auto"/>
        </w:rPr>
        <w:t>November 22, 2023</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2" w:name="page83"/>
    <w:bookmarkEnd w:id="82"/>
    <w:p>
      <w:pPr>
        <w:ind w:left="5380"/>
        <w:spacing w:after="0"/>
        <w:rPr>
          <w:sz w:val="20"/>
          <w:szCs w:val="20"/>
          <w:color w:val="auto"/>
        </w:rPr>
      </w:pPr>
      <w:r>
        <w:rPr>
          <w:rFonts w:ascii="Calibri" w:cs="Calibri" w:eastAsia="Calibri" w:hAnsi="Calibri"/>
          <w:sz w:val="18"/>
          <w:szCs w:val="18"/>
          <w:b w:val="1"/>
          <w:bCs w:val="1"/>
          <w:color w:val="auto"/>
        </w:rPr>
        <w:t>PART II</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9. </w:t>
      </w:r>
      <w:r>
        <w:rPr>
          <w:rFonts w:ascii="Calibri" w:cs="Calibri" w:eastAsia="Calibri" w:hAnsi="Calibri"/>
          <w:sz w:val="18"/>
          <w:szCs w:val="18"/>
          <w:b w:val="1"/>
          <w:bCs w:val="1"/>
          <w:i w:val="1"/>
          <w:iCs w:val="1"/>
          <w:color w:val="auto"/>
        </w:rPr>
        <w:t>Changes in and Disagreements with Accountants on Accountng and Financial Disclosure</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9A. </w:t>
      </w:r>
      <w:r>
        <w:rPr>
          <w:rFonts w:ascii="Calibri" w:cs="Calibri" w:eastAsia="Calibri" w:hAnsi="Calibri"/>
          <w:sz w:val="18"/>
          <w:szCs w:val="18"/>
          <w:b w:val="1"/>
          <w:bCs w:val="1"/>
          <w:i w:val="1"/>
          <w:iCs w:val="1"/>
          <w:color w:val="auto"/>
        </w:rPr>
        <w:t>Controls and Procedures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Disclosure Controls and Procedures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Cabot carried out an evaluaton, under the supervision and with the partcipaton of its management, including its principal executve ofcer and its principal fnancial ofcer, of the efectveness of the Company’s disclosure controls and procedures pursuant to Rule 13a-15 under the Securites Exchange Act of 1934, as amended (the “Exchange Act”), as of September 30, 2023. Based on that evaluaton, Cabot’s principal executve ofcer and its principal fnancial ofcer concluded that the Company’s disclosure controls and procedures are efectve with respect to the recording, processing, summarizing and reportng, within the tme periods specifed in the Securites and Exchange Commission’s rules and forms, of informaton required to be disclosed by the Company in the reports that it fles or submits under the Exchange Act and such informaton is accumulated and communicated to management to allow tmely decisions regarding required disclosure.</w:t>
      </w:r>
    </w:p>
    <w:p>
      <w:pPr>
        <w:spacing w:after="0" w:line="8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Management’s Annual Report on Internal Control Over Financial Reportng</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Cabot’s management is responsible for establishing and maintaining adequate internal control over fnancial reportng for Cabot. Internal control over fnancial reportng is defned in Rules 13a-15(f) and 15d-15(f) under the Exchange Act as a process designed by, or under the supervision of, a company’s principal executve and principal fnancial ofcers, and efected by the company’s board of directors, management and other personnel, to provide reasonable assurance regarding the reliability of fnancial reportng and the preparaton of fnancial statements for external purposes in accordance with generally accepted accountng principles and includes those policies and procedures that:</w:t>
      </w:r>
    </w:p>
    <w:p>
      <w:pPr>
        <w:spacing w:after="0" w:line="99" w:lineRule="exact"/>
        <w:rPr>
          <w:sz w:val="20"/>
          <w:szCs w:val="20"/>
          <w:color w:val="auto"/>
        </w:rPr>
      </w:pPr>
    </w:p>
    <w:p>
      <w:pPr>
        <w:ind w:left="1020" w:right="260" w:hanging="503"/>
        <w:spacing w:after="0" w:line="235" w:lineRule="auto"/>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Pertain to the maintenance of records that in reasonable detail accurately and fairly refect the transactons and dispositons of the assets of the company;</w:t>
      </w:r>
    </w:p>
    <w:p>
      <w:pPr>
        <w:spacing w:after="0" w:line="96" w:lineRule="exact"/>
        <w:rPr>
          <w:rFonts w:ascii="Times New Roman" w:cs="Times New Roman" w:eastAsia="Times New Roman" w:hAnsi="Times New Roman"/>
          <w:sz w:val="18"/>
          <w:szCs w:val="18"/>
          <w:color w:val="auto"/>
        </w:rPr>
      </w:pPr>
    </w:p>
    <w:p>
      <w:pPr>
        <w:ind w:left="1020" w:right="340" w:hanging="503"/>
        <w:spacing w:after="0" w:line="235" w:lineRule="auto"/>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w:t>
      </w:r>
    </w:p>
    <w:p>
      <w:pPr>
        <w:spacing w:after="0" w:line="97" w:lineRule="exact"/>
        <w:rPr>
          <w:rFonts w:ascii="Times New Roman" w:cs="Times New Roman" w:eastAsia="Times New Roman" w:hAnsi="Times New Roman"/>
          <w:sz w:val="18"/>
          <w:szCs w:val="18"/>
          <w:color w:val="auto"/>
        </w:rPr>
      </w:pPr>
    </w:p>
    <w:p>
      <w:pPr>
        <w:ind w:left="1020" w:right="100" w:hanging="503"/>
        <w:spacing w:after="0" w:line="235" w:lineRule="auto"/>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Provide reasonable assurance regarding preventon or tmely detecton of unauthorized acquisiton, use or dispositon of the company’s assets that could have a material efect on the fnancial statements.</w:t>
      </w:r>
    </w:p>
    <w:p>
      <w:pPr>
        <w:spacing w:after="0" w:line="83"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Also, projectons of any evaluaton of the efectveness to future periods are subject to the risk that controls may become inadequate because of changes in conditons, or that the degree of compliance with policies or procedures may deteriorate.</w:t>
      </w:r>
    </w:p>
    <w:p>
      <w:pPr>
        <w:spacing w:after="0" w:line="84" w:lineRule="exact"/>
        <w:rPr>
          <w:sz w:val="20"/>
          <w:szCs w:val="20"/>
          <w:color w:val="auto"/>
        </w:rPr>
      </w:pPr>
    </w:p>
    <w:p>
      <w:pPr>
        <w:ind w:right="60" w:firstLine="509"/>
        <w:spacing w:after="0" w:line="254" w:lineRule="auto"/>
        <w:rPr>
          <w:sz w:val="20"/>
          <w:szCs w:val="20"/>
          <w:color w:val="auto"/>
        </w:rPr>
      </w:pPr>
      <w:r>
        <w:rPr>
          <w:rFonts w:ascii="Calibri" w:cs="Calibri" w:eastAsia="Calibri" w:hAnsi="Calibri"/>
          <w:sz w:val="17"/>
          <w:szCs w:val="17"/>
          <w:color w:val="auto"/>
        </w:rPr>
        <w:t xml:space="preserve">Cabot’s management assessed the efectveness of Cabot’s internal control over fnancial reportng as of September 30, 2023 based on the framework established in </w:t>
      </w:r>
      <w:r>
        <w:rPr>
          <w:rFonts w:ascii="Calibri" w:cs="Calibri" w:eastAsia="Calibri" w:hAnsi="Calibri"/>
          <w:sz w:val="17"/>
          <w:szCs w:val="17"/>
          <w:i w:val="1"/>
          <w:iCs w:val="1"/>
          <w:color w:val="auto"/>
        </w:rPr>
        <w:t>Internal Control—Integrated Framework (2013)</w:t>
      </w:r>
      <w:r>
        <w:rPr>
          <w:rFonts w:ascii="Calibri" w:cs="Calibri" w:eastAsia="Calibri" w:hAnsi="Calibri"/>
          <w:sz w:val="17"/>
          <w:szCs w:val="17"/>
          <w:color w:val="auto"/>
        </w:rPr>
        <w:t xml:space="preserve"> issued by the Commitee of Sponsoring Organizatons of the Treadway Commission (COSO). Based on this assessment, Cabot’s management concluded that Cabot’s internal control over fnancial reportng was efectve as of September 30, 2023.</w:t>
      </w:r>
    </w:p>
    <w:p>
      <w:pPr>
        <w:spacing w:after="0" w:line="7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Cabot’s internal control over fnancial reportng as of September 30, 2023 has been audited by Deloite &amp; Touche LLP, an independent registered public accountng frm, as stated in their report above.</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Changes in Internal Control Over Financial Reportng</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There were no changes in the Company’s internal control over fnancial reportng that occurred during the Company’s fscal quarter ending September 30, 2023 that have materially afected, or are reasonably likely to materially afect, the Company’s internal control over fnancial reportng.</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9B. </w:t>
      </w:r>
      <w:r>
        <w:rPr>
          <w:rFonts w:ascii="Calibri" w:cs="Calibri" w:eastAsia="Calibri" w:hAnsi="Calibri"/>
          <w:sz w:val="18"/>
          <w:szCs w:val="18"/>
          <w:b w:val="1"/>
          <w:bCs w:val="1"/>
          <w:i w:val="1"/>
          <w:iCs w:val="1"/>
          <w:color w:val="auto"/>
        </w:rPr>
        <w:t>Other Informaton</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(b). During our fscal quarter ended September 30, 2023, none of our directors or ofcers (as defned in Rule 16a-1(f) under the Securites Exchange Act of 1934, as amended) entered into, modifed (as to amount, price or tming of trades) or terminated (i) contracts, instructons or writen plans for the purchase or sale of our securites that are intended to satsfy the conditons specifed in Rule 10b5-1(c) under the Exchange Act for an afrmatve defense against liability for trading in securites on the basis of material nonpublic informaton or (ii) non-Rule 10b5-1 trading arrangements (as defned in Item 408(c) of Regulaton S-K).</w:t>
      </w:r>
    </w:p>
    <w:p>
      <w:pPr>
        <w:spacing w:after="0" w:line="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9C. </w:t>
      </w:r>
      <w:r>
        <w:rPr>
          <w:rFonts w:ascii="Calibri" w:cs="Calibri" w:eastAsia="Calibri" w:hAnsi="Calibri"/>
          <w:sz w:val="18"/>
          <w:szCs w:val="18"/>
          <w:b w:val="1"/>
          <w:bCs w:val="1"/>
          <w:i w:val="1"/>
          <w:iCs w:val="1"/>
          <w:color w:val="auto"/>
        </w:rPr>
        <w:t>Disclosure Regarding Foreign Jurisdictons that Prevent Inspectons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83" w:name="page84"/>
    <w:bookmarkEnd w:id="83"/>
    <w:p>
      <w:pPr>
        <w:jc w:val="center"/>
        <w:ind w:right="-19"/>
        <w:spacing w:after="0"/>
        <w:rPr>
          <w:sz w:val="20"/>
          <w:szCs w:val="20"/>
          <w:color w:val="auto"/>
        </w:rPr>
      </w:pPr>
      <w:r>
        <w:rPr>
          <w:rFonts w:ascii="Calibri" w:cs="Calibri" w:eastAsia="Calibri" w:hAnsi="Calibri"/>
          <w:sz w:val="18"/>
          <w:szCs w:val="18"/>
          <w:b w:val="1"/>
          <w:bCs w:val="1"/>
          <w:color w:val="auto"/>
        </w:rPr>
        <w:t>PART III</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10. </w:t>
      </w:r>
      <w:r>
        <w:rPr>
          <w:rFonts w:ascii="Calibri" w:cs="Calibri" w:eastAsia="Calibri" w:hAnsi="Calibri"/>
          <w:sz w:val="18"/>
          <w:szCs w:val="18"/>
          <w:b w:val="1"/>
          <w:bCs w:val="1"/>
          <w:i w:val="1"/>
          <w:iCs w:val="1"/>
          <w:color w:val="auto"/>
        </w:rPr>
        <w:t>Directors, Executve Oficers and Corporate Governance</w:t>
      </w:r>
    </w:p>
    <w:p>
      <w:pPr>
        <w:spacing w:after="0" w:line="82"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Certain informaton regarding our executve ofcers is included at the end of Part I of this annual report under the heading “Informaton about our Executve Ofcers.”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Cabot has adopted a Code of Business Ethics that applies to all of the Company’s employees and directors, including the Chief Executve Ofcer, the Chief Financial Ofcer, the Controller and other senior fnancial ofcers. The Code of Business Ethics is posted on our website, www.cabotcorp.com (under the “About Cabot” capton under “Company”). We intend to satsfy the disclosure requirement regarding any amendment to, or waiver of, a provision of the Code of Business Ethics applicable to the Chief Executve Ofcer, the Chief Financial Ofcer, the Controller or other senior fnancial ofcers by postng such informaton on our website.</w:t>
      </w:r>
    </w:p>
    <w:p>
      <w:pPr>
        <w:spacing w:after="0" w:line="85"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other informaton required by this item will be included in our Proxy Statement for the 2024 Annual Meetng of Stockholders (“Proxy Statement”) and is herein incorporated by reference.</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11. </w:t>
      </w:r>
      <w:r>
        <w:rPr>
          <w:rFonts w:ascii="Calibri" w:cs="Calibri" w:eastAsia="Calibri" w:hAnsi="Calibri"/>
          <w:sz w:val="18"/>
          <w:szCs w:val="18"/>
          <w:b w:val="1"/>
          <w:bCs w:val="1"/>
          <w:i w:val="1"/>
          <w:iCs w:val="1"/>
          <w:color w:val="auto"/>
        </w:rPr>
        <w:t>Executve Compensaton</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informaton required by this item will be included in our Proxy Statement and is incorporated herein by reference.</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12. </w:t>
      </w:r>
      <w:r>
        <w:rPr>
          <w:rFonts w:ascii="Calibri" w:cs="Calibri" w:eastAsia="Calibri" w:hAnsi="Calibri"/>
          <w:sz w:val="18"/>
          <w:szCs w:val="18"/>
          <w:b w:val="1"/>
          <w:bCs w:val="1"/>
          <w:i w:val="1"/>
          <w:iCs w:val="1"/>
          <w:color w:val="auto"/>
        </w:rPr>
        <w:t>Security Ownership of Certain Benefcial Owners and Management and Related Stockholder Maters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informaton required by this item will be included in our Proxy Statement and is incorporated herein by reference.</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13. </w:t>
      </w:r>
      <w:r>
        <w:rPr>
          <w:rFonts w:ascii="Calibri" w:cs="Calibri" w:eastAsia="Calibri" w:hAnsi="Calibri"/>
          <w:sz w:val="18"/>
          <w:szCs w:val="18"/>
          <w:b w:val="1"/>
          <w:bCs w:val="1"/>
          <w:i w:val="1"/>
          <w:iCs w:val="1"/>
          <w:color w:val="auto"/>
        </w:rPr>
        <w:t>Certain Relatonships and Related Transactons, and Director Independence</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informaton required by this item will be included in our Proxy Statement and is incorporated herein by reference.</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14. </w:t>
      </w:r>
      <w:r>
        <w:rPr>
          <w:rFonts w:ascii="Calibri" w:cs="Calibri" w:eastAsia="Calibri" w:hAnsi="Calibri"/>
          <w:sz w:val="18"/>
          <w:szCs w:val="18"/>
          <w:b w:val="1"/>
          <w:bCs w:val="1"/>
          <w:i w:val="1"/>
          <w:iCs w:val="1"/>
          <w:color w:val="auto"/>
        </w:rPr>
        <w:t>Principal Accountng Fees and Services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informaton required by this item will be included in our Proxy Statement and is incorporated herein by reference.</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4" w:name="page85"/>
    <w:bookmarkEnd w:id="84"/>
    <w:p>
      <w:pPr>
        <w:jc w:val="center"/>
        <w:ind w:right="-39"/>
        <w:spacing w:after="0"/>
        <w:rPr>
          <w:sz w:val="20"/>
          <w:szCs w:val="20"/>
          <w:color w:val="auto"/>
        </w:rPr>
      </w:pPr>
      <w:r>
        <w:rPr>
          <w:rFonts w:ascii="Calibri" w:cs="Calibri" w:eastAsia="Calibri" w:hAnsi="Calibri"/>
          <w:sz w:val="18"/>
          <w:szCs w:val="18"/>
          <w:b w:val="1"/>
          <w:bCs w:val="1"/>
          <w:color w:val="auto"/>
        </w:rPr>
        <w:t>PART IV</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15. </w:t>
      </w:r>
      <w:r>
        <w:rPr>
          <w:rFonts w:ascii="Calibri" w:cs="Calibri" w:eastAsia="Calibri" w:hAnsi="Calibri"/>
          <w:sz w:val="18"/>
          <w:szCs w:val="18"/>
          <w:b w:val="1"/>
          <w:bCs w:val="1"/>
          <w:i w:val="1"/>
          <w:iCs w:val="1"/>
          <w:color w:val="auto"/>
        </w:rPr>
        <w:t>Exhibits, Financial Statement Schedules</w:t>
      </w:r>
    </w:p>
    <w:p>
      <w:pPr>
        <w:spacing w:after="0" w:line="77" w:lineRule="exact"/>
        <w:rPr>
          <w:sz w:val="20"/>
          <w:szCs w:val="20"/>
          <w:color w:val="auto"/>
        </w:rPr>
      </w:pPr>
    </w:p>
    <w:p>
      <w:pPr>
        <w:ind w:left="520" w:hanging="512"/>
        <w:spacing w:after="0"/>
        <w:tabs>
          <w:tab w:leader="none" w:pos="520" w:val="left"/>
        </w:tabs>
        <w:numPr>
          <w:ilvl w:val="0"/>
          <w:numId w:val="36"/>
        </w:numPr>
        <w:rPr>
          <w:rFonts w:ascii="Calibri" w:cs="Calibri" w:eastAsia="Calibri" w:hAnsi="Calibri"/>
          <w:sz w:val="18"/>
          <w:szCs w:val="18"/>
          <w:color w:val="auto"/>
        </w:rPr>
      </w:pPr>
      <w:r>
        <w:rPr>
          <w:rFonts w:ascii="Calibri" w:cs="Calibri" w:eastAsia="Calibri" w:hAnsi="Calibri"/>
          <w:sz w:val="18"/>
          <w:szCs w:val="18"/>
          <w:i w:val="1"/>
          <w:iCs w:val="1"/>
          <w:color w:val="auto"/>
        </w:rPr>
        <w:t>Financial Statements</w:t>
      </w:r>
      <w:r>
        <w:rPr>
          <w:rFonts w:ascii="Calibri" w:cs="Calibri" w:eastAsia="Calibri" w:hAnsi="Calibri"/>
          <w:sz w:val="18"/>
          <w:szCs w:val="18"/>
          <w:color w:val="auto"/>
        </w:rPr>
        <w:t>.</w:t>
      </w:r>
    </w:p>
    <w:p>
      <w:pPr>
        <w:spacing w:after="0" w:line="77" w:lineRule="exact"/>
        <w:rPr>
          <w:rFonts w:ascii="Calibri" w:cs="Calibri" w:eastAsia="Calibri" w:hAnsi="Calibri"/>
          <w:sz w:val="18"/>
          <w:szCs w:val="18"/>
          <w:color w:val="auto"/>
        </w:rPr>
      </w:pPr>
    </w:p>
    <w:p>
      <w:pPr>
        <w:ind w:left="520"/>
        <w:spacing w:after="0"/>
        <w:rPr>
          <w:rFonts w:ascii="Calibri" w:cs="Calibri" w:eastAsia="Calibri" w:hAnsi="Calibri"/>
          <w:sz w:val="18"/>
          <w:szCs w:val="18"/>
          <w:color w:val="auto"/>
        </w:rPr>
      </w:pPr>
      <w:r>
        <w:rPr>
          <w:rFonts w:ascii="Calibri" w:cs="Calibri" w:eastAsia="Calibri" w:hAnsi="Calibri"/>
          <w:sz w:val="18"/>
          <w:szCs w:val="18"/>
          <w:color w:val="auto"/>
        </w:rPr>
        <w:t>See “Index to Financial Statements” under Item 8 of this Form 10-K.</w:t>
      </w:r>
    </w:p>
    <w:p>
      <w:pPr>
        <w:spacing w:after="0" w:line="77" w:lineRule="exact"/>
        <w:rPr>
          <w:rFonts w:ascii="Calibri" w:cs="Calibri" w:eastAsia="Calibri" w:hAnsi="Calibri"/>
          <w:sz w:val="18"/>
          <w:szCs w:val="18"/>
          <w:color w:val="auto"/>
        </w:rPr>
      </w:pPr>
    </w:p>
    <w:p>
      <w:pPr>
        <w:ind w:left="520" w:hanging="512"/>
        <w:spacing w:after="0"/>
        <w:tabs>
          <w:tab w:leader="none" w:pos="520" w:val="left"/>
        </w:tabs>
        <w:numPr>
          <w:ilvl w:val="0"/>
          <w:numId w:val="36"/>
        </w:numPr>
        <w:rPr>
          <w:rFonts w:ascii="Calibri" w:cs="Calibri" w:eastAsia="Calibri" w:hAnsi="Calibri"/>
          <w:sz w:val="18"/>
          <w:szCs w:val="18"/>
          <w:color w:val="auto"/>
        </w:rPr>
      </w:pPr>
      <w:r>
        <w:rPr>
          <w:rFonts w:ascii="Calibri" w:cs="Calibri" w:eastAsia="Calibri" w:hAnsi="Calibri"/>
          <w:sz w:val="18"/>
          <w:szCs w:val="18"/>
          <w:i w:val="1"/>
          <w:iCs w:val="1"/>
          <w:color w:val="auto"/>
        </w:rPr>
        <w:t>Schedules</w:t>
      </w:r>
      <w:r>
        <w:rPr>
          <w:rFonts w:ascii="Calibri" w:cs="Calibri" w:eastAsia="Calibri" w:hAnsi="Calibri"/>
          <w:sz w:val="18"/>
          <w:szCs w:val="18"/>
          <w:color w:val="auto"/>
        </w:rPr>
        <w:t>.</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Schedules have been omited since the required informaton is not applicable or is not present in amounts sufcient to require submission of the schedule, or because the informaton required is included in the consolidated fnancial statements and notes thereto included in this Form 10-K.</w:t>
      </w:r>
    </w:p>
    <w:p>
      <w:pPr>
        <w:spacing w:after="0" w:line="78" w:lineRule="exact"/>
        <w:rPr>
          <w:sz w:val="20"/>
          <w:szCs w:val="20"/>
          <w:color w:val="auto"/>
        </w:rPr>
      </w:pPr>
    </w:p>
    <w:p>
      <w:pPr>
        <w:ind w:left="520" w:hanging="512"/>
        <w:spacing w:after="0"/>
        <w:tabs>
          <w:tab w:leader="none" w:pos="520" w:val="left"/>
        </w:tabs>
        <w:numPr>
          <w:ilvl w:val="0"/>
          <w:numId w:val="37"/>
        </w:numPr>
        <w:rPr>
          <w:rFonts w:ascii="Calibri" w:cs="Calibri" w:eastAsia="Calibri" w:hAnsi="Calibri"/>
          <w:sz w:val="18"/>
          <w:szCs w:val="18"/>
          <w:color w:val="auto"/>
        </w:rPr>
      </w:pPr>
      <w:r>
        <w:rPr>
          <w:rFonts w:ascii="Calibri" w:cs="Calibri" w:eastAsia="Calibri" w:hAnsi="Calibri"/>
          <w:sz w:val="18"/>
          <w:szCs w:val="18"/>
          <w:i w:val="1"/>
          <w:iCs w:val="1"/>
          <w:color w:val="auto"/>
        </w:rPr>
        <w:t>Exhibits</w:t>
      </w:r>
      <w:r>
        <w:rPr>
          <w:rFonts w:ascii="Calibri" w:cs="Calibri" w:eastAsia="Calibri" w:hAnsi="Calibri"/>
          <w:sz w:val="18"/>
          <w:szCs w:val="18"/>
          <w:color w:val="auto"/>
        </w:rPr>
        <w:t>. (Certain exhibits not included in copies of the Form 10-K sent to stockholders.)</w:t>
      </w:r>
    </w:p>
    <w:p>
      <w:pPr>
        <w:spacing w:after="0" w:line="82" w:lineRule="exact"/>
        <w:rPr>
          <w:sz w:val="20"/>
          <w:szCs w:val="20"/>
          <w:color w:val="auto"/>
        </w:rPr>
      </w:pPr>
    </w:p>
    <w:p>
      <w:pPr>
        <w:jc w:val="both"/>
        <w:ind w:right="40" w:firstLine="509"/>
        <w:spacing w:after="0" w:line="235" w:lineRule="auto"/>
        <w:rPr>
          <w:sz w:val="20"/>
          <w:szCs w:val="20"/>
          <w:color w:val="auto"/>
        </w:rPr>
      </w:pPr>
      <w:r>
        <w:rPr>
          <w:rFonts w:ascii="Calibri" w:cs="Calibri" w:eastAsia="Calibri" w:hAnsi="Calibri"/>
          <w:sz w:val="18"/>
          <w:szCs w:val="18"/>
          <w:color w:val="auto"/>
        </w:rPr>
        <w:t>The exhibit numbers in the Exhibit Index correspond to the numbers assigned to such exhibits in the Exhibit Table of Item 601 of Regulaton S-K. Cabot will furnish to any stockholder, upon writen request, any exhibit listed in the Exhibit Index, upon payment by such stockholder of the Company’s reasonable expenses in furnishing such exhibit.</w:t>
      </w:r>
    </w:p>
    <w:p>
      <w:pPr>
        <w:spacing w:after="0" w:line="119" w:lineRule="exact"/>
        <w:rPr>
          <w:sz w:val="20"/>
          <w:szCs w:val="20"/>
          <w:color w:val="auto"/>
        </w:rPr>
      </w:pPr>
    </w:p>
    <w:p>
      <w:pPr>
        <w:ind w:left="140"/>
        <w:spacing w:after="0"/>
        <w:rPr>
          <w:sz w:val="20"/>
          <w:szCs w:val="20"/>
          <w:color w:val="auto"/>
        </w:rPr>
      </w:pPr>
      <w:r>
        <w:rPr>
          <w:rFonts w:ascii="Calibri" w:cs="Calibri" w:eastAsia="Calibri" w:hAnsi="Calibri"/>
          <w:sz w:val="18"/>
          <w:szCs w:val="18"/>
          <w:b w:val="1"/>
          <w:bCs w:val="1"/>
          <w:color w:val="auto"/>
        </w:rPr>
        <w:t>Exhibit</w:t>
      </w:r>
    </w:p>
    <w:p>
      <w:pPr>
        <w:ind w:left="140"/>
        <w:spacing w:after="0" w:line="235" w:lineRule="auto"/>
        <w:tabs>
          <w:tab w:leader="none" w:pos="5820" w:val="left"/>
        </w:tabs>
        <w:rPr>
          <w:sz w:val="20"/>
          <w:szCs w:val="20"/>
          <w:color w:val="auto"/>
        </w:rPr>
      </w:pPr>
      <w:r>
        <w:rPr>
          <w:rFonts w:ascii="Calibri" w:cs="Calibri" w:eastAsia="Calibri" w:hAnsi="Calibri"/>
          <w:sz w:val="18"/>
          <w:szCs w:val="18"/>
          <w:b w:val="1"/>
          <w:bCs w:val="1"/>
          <w:color w:val="auto"/>
        </w:rPr>
        <w:t>Number</w:t>
      </w:r>
      <w:r>
        <w:rPr>
          <w:sz w:val="20"/>
          <w:szCs w:val="20"/>
          <w:color w:val="auto"/>
        </w:rPr>
        <w:tab/>
      </w:r>
      <w:r>
        <w:rPr>
          <w:rFonts w:ascii="Calibri" w:cs="Calibri" w:eastAsia="Calibri" w:hAnsi="Calibri"/>
          <w:sz w:val="18"/>
          <w:szCs w:val="18"/>
          <w:b w:val="1"/>
          <w:bCs w:val="1"/>
          <w:color w:val="auto"/>
        </w:rPr>
        <w:t>Descripton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left="340"/>
        <w:spacing w:after="0"/>
        <w:rPr>
          <w:sz w:val="20"/>
          <w:szCs w:val="20"/>
          <w:color w:val="auto"/>
        </w:rPr>
      </w:pPr>
      <w:r>
        <w:rPr>
          <w:rFonts w:ascii="Calibri" w:cs="Calibri" w:eastAsia="Calibri" w:hAnsi="Calibri"/>
          <w:sz w:val="18"/>
          <w:szCs w:val="18"/>
          <w:color w:val="auto"/>
        </w:rPr>
        <w:t>3(a)</w:t>
      </w:r>
    </w:p>
    <w:p>
      <w:pPr>
        <w:spacing w:after="0" w:line="200" w:lineRule="exact"/>
        <w:rPr>
          <w:sz w:val="20"/>
          <w:szCs w:val="20"/>
          <w:color w:val="auto"/>
        </w:rPr>
      </w:pPr>
    </w:p>
    <w:p>
      <w:pPr>
        <w:spacing w:after="0" w:line="390" w:lineRule="exact"/>
        <w:rPr>
          <w:sz w:val="20"/>
          <w:szCs w:val="20"/>
          <w:color w:val="auto"/>
        </w:rPr>
      </w:pPr>
    </w:p>
    <w:p>
      <w:pPr>
        <w:jc w:val="center"/>
        <w:ind w:left="340"/>
        <w:spacing w:after="0"/>
        <w:rPr>
          <w:sz w:val="20"/>
          <w:szCs w:val="20"/>
          <w:color w:val="auto"/>
        </w:rPr>
      </w:pPr>
      <w:r>
        <w:rPr>
          <w:rFonts w:ascii="Calibri" w:cs="Calibri" w:eastAsia="Calibri" w:hAnsi="Calibri"/>
          <w:sz w:val="18"/>
          <w:szCs w:val="18"/>
          <w:color w:val="auto"/>
        </w:rPr>
        <w:t>3(b)</w:t>
      </w:r>
    </w:p>
    <w:p>
      <w:pPr>
        <w:spacing w:after="0" w:line="200" w:lineRule="exact"/>
        <w:rPr>
          <w:sz w:val="20"/>
          <w:szCs w:val="20"/>
          <w:color w:val="auto"/>
        </w:rPr>
      </w:pPr>
    </w:p>
    <w:p>
      <w:pPr>
        <w:spacing w:after="0" w:line="390" w:lineRule="exact"/>
        <w:rPr>
          <w:sz w:val="20"/>
          <w:szCs w:val="20"/>
          <w:color w:val="auto"/>
        </w:rPr>
      </w:pPr>
    </w:p>
    <w:p>
      <w:pPr>
        <w:jc w:val="center"/>
        <w:ind w:left="340"/>
        <w:spacing w:after="0"/>
        <w:rPr>
          <w:sz w:val="20"/>
          <w:szCs w:val="20"/>
          <w:color w:val="auto"/>
        </w:rPr>
      </w:pPr>
      <w:r>
        <w:rPr>
          <w:rFonts w:ascii="Calibri" w:cs="Calibri" w:eastAsia="Calibri" w:hAnsi="Calibri"/>
          <w:sz w:val="18"/>
          <w:szCs w:val="18"/>
          <w:color w:val="auto"/>
        </w:rPr>
        <w:t>4(a)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4(a)(i)</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340"/>
        <w:spacing w:after="0"/>
        <w:rPr>
          <w:sz w:val="20"/>
          <w:szCs w:val="20"/>
          <w:color w:val="auto"/>
        </w:rPr>
      </w:pPr>
      <w:r>
        <w:rPr>
          <w:rFonts w:ascii="Calibri" w:cs="Calibri" w:eastAsia="Calibri" w:hAnsi="Calibri"/>
          <w:sz w:val="18"/>
          <w:szCs w:val="18"/>
          <w:color w:val="auto"/>
        </w:rPr>
        <w:t>4(a)(ii)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340"/>
        <w:spacing w:after="0"/>
        <w:rPr>
          <w:sz w:val="20"/>
          <w:szCs w:val="20"/>
          <w:color w:val="auto"/>
        </w:rPr>
      </w:pPr>
      <w:r>
        <w:rPr>
          <w:rFonts w:ascii="Calibri" w:cs="Calibri" w:eastAsia="Calibri" w:hAnsi="Calibri"/>
          <w:sz w:val="17"/>
          <w:szCs w:val="17"/>
          <w:color w:val="auto"/>
        </w:rPr>
        <w:t>4(a)(iii)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0"/>
        <w:spacing w:after="0"/>
        <w:rPr>
          <w:sz w:val="20"/>
          <w:szCs w:val="20"/>
          <w:color w:val="auto"/>
        </w:rPr>
      </w:pPr>
      <w:r>
        <w:rPr>
          <w:rFonts w:ascii="Calibri" w:cs="Calibri" w:eastAsia="Calibri" w:hAnsi="Calibri"/>
          <w:sz w:val="18"/>
          <w:szCs w:val="18"/>
          <w:color w:val="auto"/>
        </w:rPr>
        <w:t>4(a)(iv)</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0"/>
        <w:spacing w:after="0"/>
        <w:rPr>
          <w:sz w:val="20"/>
          <w:szCs w:val="20"/>
          <w:color w:val="auto"/>
        </w:rPr>
      </w:pPr>
      <w:r>
        <w:rPr>
          <w:rFonts w:ascii="Calibri" w:cs="Calibri" w:eastAsia="Calibri" w:hAnsi="Calibri"/>
          <w:sz w:val="18"/>
          <w:szCs w:val="18"/>
          <w:color w:val="auto"/>
        </w:rPr>
        <w:t>4(a)(v)</w:t>
      </w:r>
    </w:p>
    <w:p>
      <w:pPr>
        <w:spacing w:after="0" w:line="200" w:lineRule="exact"/>
        <w:rPr>
          <w:sz w:val="20"/>
          <w:szCs w:val="20"/>
          <w:color w:val="auto"/>
        </w:rPr>
      </w:pPr>
    </w:p>
    <w:p>
      <w:pPr>
        <w:spacing w:after="0" w:line="390" w:lineRule="exact"/>
        <w:rPr>
          <w:sz w:val="20"/>
          <w:szCs w:val="20"/>
          <w:color w:val="auto"/>
        </w:rPr>
      </w:pPr>
    </w:p>
    <w:p>
      <w:pPr>
        <w:ind w:left="280"/>
        <w:spacing w:after="0"/>
        <w:rPr>
          <w:sz w:val="20"/>
          <w:szCs w:val="20"/>
          <w:color w:val="auto"/>
        </w:rPr>
      </w:pPr>
      <w:r>
        <w:rPr>
          <w:rFonts w:ascii="Calibri" w:cs="Calibri" w:eastAsia="Calibri" w:hAnsi="Calibri"/>
          <w:sz w:val="18"/>
          <w:szCs w:val="18"/>
          <w:color w:val="auto"/>
        </w:rPr>
        <w:t>4(a)(vi)</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both"/>
        <w:spacing w:after="0" w:line="235" w:lineRule="auto"/>
        <w:rPr>
          <w:rFonts w:ascii="Calibri" w:cs="Calibri" w:eastAsia="Calibri" w:hAnsi="Calibri"/>
          <w:sz w:val="18"/>
          <w:szCs w:val="18"/>
          <w:color w:val="auto"/>
        </w:rPr>
      </w:pPr>
      <w:hyperlink r:id="rId581">
        <w:r>
          <w:rPr>
            <w:rFonts w:ascii="Calibri" w:cs="Calibri" w:eastAsia="Calibri" w:hAnsi="Calibri"/>
            <w:sz w:val="18"/>
            <w:szCs w:val="18"/>
            <w:color w:val="auto"/>
          </w:rPr>
          <w:t>Restated Certfcate of Incorporaton of Cabot Corporaton efectve January 9, 2009 (incorporated herein by reference to Exhibit 3.1 of</w:t>
        </w:r>
      </w:hyperlink>
      <w:r>
        <w:rPr>
          <w:rFonts w:ascii="Calibri" w:cs="Calibri" w:eastAsia="Calibri" w:hAnsi="Calibri"/>
          <w:sz w:val="18"/>
          <w:szCs w:val="18"/>
          <w:color w:val="auto"/>
        </w:rPr>
        <w:t xml:space="preserve"> </w:t>
      </w:r>
      <w:hyperlink r:id="rId581">
        <w:r>
          <w:rPr>
            <w:rFonts w:ascii="Calibri" w:cs="Calibri" w:eastAsia="Calibri" w:hAnsi="Calibri"/>
            <w:sz w:val="18"/>
            <w:szCs w:val="18"/>
            <w:color w:val="auto"/>
          </w:rPr>
          <w:t>Cabot’s Quarterly Report on Form 10-Q for the quarterly period ended December 31, 2008, fle reference 1-5667, fled with the SEC on</w:t>
        </w:r>
      </w:hyperlink>
      <w:r>
        <w:rPr>
          <w:rFonts w:ascii="Calibri" w:cs="Calibri" w:eastAsia="Calibri" w:hAnsi="Calibri"/>
          <w:sz w:val="18"/>
          <w:szCs w:val="18"/>
          <w:color w:val="auto"/>
        </w:rPr>
        <w:t xml:space="preserve"> </w:t>
      </w:r>
      <w:hyperlink r:id="rId581">
        <w:r>
          <w:rPr>
            <w:rFonts w:ascii="Calibri" w:cs="Calibri" w:eastAsia="Calibri" w:hAnsi="Calibri"/>
            <w:sz w:val="18"/>
            <w:szCs w:val="18"/>
            <w:color w:val="auto"/>
          </w:rPr>
          <w:t>February 9, 2009).</w:t>
        </w:r>
      </w:hyperlink>
    </w:p>
    <w:p>
      <w:pPr>
        <w:spacing w:after="0" w:line="20" w:lineRule="exact"/>
        <w:rPr>
          <w:rFonts w:ascii="Calibri" w:cs="Calibri" w:eastAsia="Calibri" w:hAnsi="Calibri"/>
          <w:sz w:val="18"/>
          <w:szCs w:val="18"/>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column">
              <wp:posOffset>1270</wp:posOffset>
            </wp:positionH>
            <wp:positionV relativeFrom="paragraph">
              <wp:posOffset>-292100</wp:posOffset>
            </wp:positionV>
            <wp:extent cx="637349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63734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-154940</wp:posOffset>
            </wp:positionV>
            <wp:extent cx="637032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637032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82677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253" w:lineRule="exact"/>
        <w:rPr>
          <w:rFonts w:ascii="Calibri" w:cs="Calibri" w:eastAsia="Calibri" w:hAnsi="Calibri"/>
          <w:sz w:val="18"/>
          <w:szCs w:val="18"/>
          <w:color w:val="auto"/>
        </w:rPr>
      </w:pPr>
    </w:p>
    <w:p>
      <w:pPr>
        <w:jc w:val="both"/>
        <w:spacing w:after="0" w:line="235" w:lineRule="auto"/>
        <w:rPr>
          <w:rFonts w:ascii="Calibri" w:cs="Calibri" w:eastAsia="Calibri" w:hAnsi="Calibri"/>
          <w:sz w:val="18"/>
          <w:szCs w:val="18"/>
          <w:u w:val="single" w:color="auto"/>
          <w:color w:val="0000FF"/>
        </w:rPr>
      </w:pPr>
      <w:hyperlink r:id="rId585">
        <w:r>
          <w:rPr>
            <w:rFonts w:ascii="Calibri" w:cs="Calibri" w:eastAsia="Calibri" w:hAnsi="Calibri"/>
            <w:sz w:val="18"/>
            <w:szCs w:val="18"/>
            <w:u w:val="single" w:color="auto"/>
            <w:color w:val="0000FF"/>
          </w:rPr>
          <w:t>The By-laws of Cabot Corporaton as amended May 11, 2023 (incorporated herein by reference to Exhibit 3.2 of Cabot’s Corporaton’s</w:t>
        </w:r>
      </w:hyperlink>
      <w:r>
        <w:rPr>
          <w:rFonts w:ascii="Calibri" w:cs="Calibri" w:eastAsia="Calibri" w:hAnsi="Calibri"/>
          <w:sz w:val="18"/>
          <w:szCs w:val="18"/>
          <w:u w:val="single" w:color="auto"/>
          <w:color w:val="0000FF"/>
        </w:rPr>
        <w:t xml:space="preserve"> </w:t>
      </w:r>
      <w:hyperlink r:id="rId585">
        <w:r>
          <w:rPr>
            <w:rFonts w:ascii="Calibri" w:cs="Calibri" w:eastAsia="Calibri" w:hAnsi="Calibri"/>
            <w:sz w:val="18"/>
            <w:szCs w:val="18"/>
            <w:u w:val="single" w:color="auto"/>
            <w:color w:val="0000FF"/>
          </w:rPr>
          <w:t>Quarterly Report on Form 10-Q for the quarterly period ended June 30, 2023, fle reference 1-5667, fled with the SEC on August 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637095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6">
                      <a:extLst>
                        <a:ext uri="{28A0092B-C50C-407E-A947-70E740481C1C}"/>
                      </a:extLst>
                    </a:blip>
                    <a:srcRect/>
                    <a:stretch>
                      <a:fillRect/>
                    </a:stretch>
                  </pic:blipFill>
                  <pic:spPr bwMode="auto">
                    <a:xfrm>
                      <a:off x="0" y="0"/>
                      <a:ext cx="6370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wp:posOffset>
            </wp:positionV>
            <wp:extent cx="621030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7">
                      <a:extLst>
                        <a:ext uri="{28A0092B-C50C-407E-A947-70E740481C1C}"/>
                      </a:extLst>
                    </a:blip>
                    <a:srcRect/>
                    <a:stretch>
                      <a:fillRect/>
                    </a:stretch>
                  </pic:blipFill>
                  <pic:spPr bwMode="auto">
                    <a:xfrm>
                      <a:off x="0" y="0"/>
                      <a:ext cx="6210300" cy="8255"/>
                    </a:xfrm>
                    <a:prstGeom prst="rect">
                      <a:avLst/>
                    </a:prstGeom>
                    <a:noFill/>
                  </pic:spPr>
                </pic:pic>
              </a:graphicData>
            </a:graphic>
          </wp:anchor>
        </w:drawing>
      </w:r>
    </w:p>
    <w:p>
      <w:pPr>
        <w:spacing w:after="0" w:line="252" w:lineRule="exact"/>
        <w:rPr>
          <w:sz w:val="20"/>
          <w:szCs w:val="20"/>
          <w:color w:val="auto"/>
        </w:rPr>
      </w:pPr>
    </w:p>
    <w:p>
      <w:pPr>
        <w:jc w:val="both"/>
        <w:spacing w:after="0" w:line="235" w:lineRule="auto"/>
        <w:rPr>
          <w:rFonts w:ascii="Calibri" w:cs="Calibri" w:eastAsia="Calibri" w:hAnsi="Calibri"/>
          <w:sz w:val="18"/>
          <w:szCs w:val="18"/>
          <w:color w:val="auto"/>
        </w:rPr>
      </w:pPr>
      <w:hyperlink r:id="rId588">
        <w:r>
          <w:rPr>
            <w:rFonts w:ascii="Calibri" w:cs="Calibri" w:eastAsia="Calibri" w:hAnsi="Calibri"/>
            <w:sz w:val="18"/>
            <w:szCs w:val="18"/>
            <w:color w:val="auto"/>
          </w:rPr>
          <w:t>Indenture, dated as of December 1, 1987, between Cabot Corporaton and The First Natonal Bank of Boston, Trustee (the “Indenture”)</w:t>
        </w:r>
      </w:hyperlink>
      <w:r>
        <w:rPr>
          <w:rFonts w:ascii="Calibri" w:cs="Calibri" w:eastAsia="Calibri" w:hAnsi="Calibri"/>
          <w:sz w:val="18"/>
          <w:szCs w:val="18"/>
          <w:color w:val="auto"/>
        </w:rPr>
        <w:t xml:space="preserve"> </w:t>
      </w:r>
      <w:hyperlink r:id="rId588">
        <w:r>
          <w:rPr>
            <w:rFonts w:ascii="Calibri" w:cs="Calibri" w:eastAsia="Calibri" w:hAnsi="Calibri"/>
            <w:sz w:val="18"/>
            <w:szCs w:val="18"/>
            <w:color w:val="auto"/>
          </w:rPr>
          <w:t>(incorporated herein by reference to Exhibit 4(a)(i) of Cabot’s Annual Report on Form 10-K for its fscal year ended September 30, 2017, fle</w:t>
        </w:r>
      </w:hyperlink>
      <w:r>
        <w:rPr>
          <w:rFonts w:ascii="Calibri" w:cs="Calibri" w:eastAsia="Calibri" w:hAnsi="Calibri"/>
          <w:sz w:val="18"/>
          <w:szCs w:val="18"/>
          <w:color w:val="auto"/>
        </w:rPr>
        <w:t xml:space="preserve"> </w:t>
      </w:r>
      <w:hyperlink r:id="rId588">
        <w:r>
          <w:rPr>
            <w:rFonts w:ascii="Calibri" w:cs="Calibri" w:eastAsia="Calibri" w:hAnsi="Calibri"/>
            <w:sz w:val="18"/>
            <w:szCs w:val="18"/>
            <w:color w:val="auto"/>
          </w:rPr>
          <w:t>reference 1-5667, fled with the SEC on November 22, 2017).</w:t>
        </w:r>
      </w:hyperlink>
    </w:p>
    <w:p>
      <w:pPr>
        <w:spacing w:after="0" w:line="20" w:lineRule="exact"/>
        <w:rPr>
          <w:rFonts w:ascii="Calibri" w:cs="Calibri" w:eastAsia="Calibri" w:hAnsi="Calibri"/>
          <w:sz w:val="18"/>
          <w:szCs w:val="18"/>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column">
              <wp:posOffset>1270</wp:posOffset>
            </wp:positionH>
            <wp:positionV relativeFrom="paragraph">
              <wp:posOffset>-292100</wp:posOffset>
            </wp:positionV>
            <wp:extent cx="637730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9">
                      <a:extLst>
                        <a:ext uri="{28A0092B-C50C-407E-A947-70E740481C1C}"/>
                      </a:extLst>
                    </a:blip>
                    <a:srcRect/>
                    <a:stretch>
                      <a:fillRect/>
                    </a:stretch>
                  </pic:blipFill>
                  <pic:spPr bwMode="auto">
                    <a:xfrm>
                      <a:off x="0" y="0"/>
                      <a:ext cx="63773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-154940</wp:posOffset>
            </wp:positionV>
            <wp:extent cx="637349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0">
                      <a:extLst>
                        <a:ext uri="{28A0092B-C50C-407E-A947-70E740481C1C}"/>
                      </a:extLst>
                    </a:blip>
                    <a:srcRect/>
                    <a:stretch>
                      <a:fillRect/>
                    </a:stretch>
                  </pic:blipFill>
                  <pic:spPr bwMode="auto">
                    <a:xfrm>
                      <a:off x="0" y="0"/>
                      <a:ext cx="63734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274066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1">
                      <a:extLst>
                        <a:ext uri="{28A0092B-C50C-407E-A947-70E740481C1C}"/>
                      </a:extLst>
                    </a:blip>
                    <a:srcRect/>
                    <a:stretch>
                      <a:fillRect/>
                    </a:stretch>
                  </pic:blipFill>
                  <pic:spPr bwMode="auto">
                    <a:xfrm>
                      <a:off x="0" y="0"/>
                      <a:ext cx="2740660" cy="8255"/>
                    </a:xfrm>
                    <a:prstGeom prst="rect">
                      <a:avLst/>
                    </a:prstGeom>
                    <a:noFill/>
                  </pic:spPr>
                </pic:pic>
              </a:graphicData>
            </a:graphic>
          </wp:anchor>
        </w:drawing>
      </w:r>
    </w:p>
    <w:p>
      <w:pPr>
        <w:spacing w:after="0" w:line="253" w:lineRule="exact"/>
        <w:rPr>
          <w:rFonts w:ascii="Calibri" w:cs="Calibri" w:eastAsia="Calibri" w:hAnsi="Calibri"/>
          <w:sz w:val="18"/>
          <w:szCs w:val="18"/>
          <w:color w:val="auto"/>
        </w:rPr>
      </w:pPr>
    </w:p>
    <w:p>
      <w:pPr>
        <w:jc w:val="both"/>
        <w:spacing w:after="0" w:line="235" w:lineRule="auto"/>
        <w:rPr>
          <w:rFonts w:ascii="Calibri" w:cs="Calibri" w:eastAsia="Calibri" w:hAnsi="Calibri"/>
          <w:sz w:val="18"/>
          <w:szCs w:val="18"/>
          <w:color w:val="auto"/>
        </w:rPr>
      </w:pPr>
      <w:hyperlink r:id="rId592">
        <w:r>
          <w:rPr>
            <w:rFonts w:ascii="Calibri" w:cs="Calibri" w:eastAsia="Calibri" w:hAnsi="Calibri"/>
            <w:sz w:val="18"/>
            <w:szCs w:val="18"/>
            <w:color w:val="auto"/>
          </w:rPr>
          <w:t>Second Supplemental Indenture, dated as of January 31, 1997, between Cabot Corporaton and State Street Bank and Trust Company,</w:t>
        </w:r>
      </w:hyperlink>
      <w:r>
        <w:rPr>
          <w:rFonts w:ascii="Calibri" w:cs="Calibri" w:eastAsia="Calibri" w:hAnsi="Calibri"/>
          <w:sz w:val="18"/>
          <w:szCs w:val="18"/>
          <w:color w:val="auto"/>
        </w:rPr>
        <w:t xml:space="preserve"> </w:t>
      </w:r>
      <w:hyperlink r:id="rId592">
        <w:r>
          <w:rPr>
            <w:rFonts w:ascii="Calibri" w:cs="Calibri" w:eastAsia="Calibri" w:hAnsi="Calibri"/>
            <w:sz w:val="18"/>
            <w:szCs w:val="18"/>
            <w:color w:val="auto"/>
          </w:rPr>
          <w:t>Trustee (incorporated herein by reference to Exhibit 4 of Cabot’s Quarterly Report on Form 10-Q for the quarterly period ended December</w:t>
        </w:r>
      </w:hyperlink>
      <w:r>
        <w:rPr>
          <w:rFonts w:ascii="Calibri" w:cs="Calibri" w:eastAsia="Calibri" w:hAnsi="Calibri"/>
          <w:sz w:val="18"/>
          <w:szCs w:val="18"/>
          <w:color w:val="auto"/>
        </w:rPr>
        <w:t xml:space="preserve"> </w:t>
      </w:r>
      <w:hyperlink r:id="rId592">
        <w:r>
          <w:rPr>
            <w:rFonts w:ascii="Calibri" w:cs="Calibri" w:eastAsia="Calibri" w:hAnsi="Calibri"/>
            <w:sz w:val="18"/>
            <w:szCs w:val="18"/>
            <w:color w:val="auto"/>
          </w:rPr>
          <w:t>31, 1996, fle reference 1-5667, fled with the SEC on February 14, 1997).</w:t>
        </w:r>
      </w:hyperlink>
    </w:p>
    <w:p>
      <w:pPr>
        <w:spacing w:after="0" w:line="20" w:lineRule="exact"/>
        <w:rPr>
          <w:rFonts w:ascii="Calibri" w:cs="Calibri" w:eastAsia="Calibri" w:hAnsi="Calibri"/>
          <w:sz w:val="18"/>
          <w:szCs w:val="18"/>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column">
              <wp:posOffset>1270</wp:posOffset>
            </wp:positionH>
            <wp:positionV relativeFrom="paragraph">
              <wp:posOffset>-292100</wp:posOffset>
            </wp:positionV>
            <wp:extent cx="637476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3">
                      <a:extLst>
                        <a:ext uri="{28A0092B-C50C-407E-A947-70E740481C1C}"/>
                      </a:extLst>
                    </a:blip>
                    <a:srcRect/>
                    <a:stretch>
                      <a:fillRect/>
                    </a:stretch>
                  </pic:blipFill>
                  <pic:spPr bwMode="auto">
                    <a:xfrm>
                      <a:off x="0" y="0"/>
                      <a:ext cx="637476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-154940</wp:posOffset>
            </wp:positionV>
            <wp:extent cx="637540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4">
                      <a:extLst>
                        <a:ext uri="{28A0092B-C50C-407E-A947-70E740481C1C}"/>
                      </a:extLst>
                    </a:blip>
                    <a:srcRect/>
                    <a:stretch>
                      <a:fillRect/>
                    </a:stretch>
                  </pic:blipFill>
                  <pic:spPr bwMode="auto">
                    <a:xfrm>
                      <a:off x="0" y="0"/>
                      <a:ext cx="63754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327850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5">
                      <a:extLst>
                        <a:ext uri="{28A0092B-C50C-407E-A947-70E740481C1C}"/>
                      </a:extLst>
                    </a:blip>
                    <a:srcRect/>
                    <a:stretch>
                      <a:fillRect/>
                    </a:stretch>
                  </pic:blipFill>
                  <pic:spPr bwMode="auto">
                    <a:xfrm>
                      <a:off x="0" y="0"/>
                      <a:ext cx="3278505" cy="8890"/>
                    </a:xfrm>
                    <a:prstGeom prst="rect">
                      <a:avLst/>
                    </a:prstGeom>
                    <a:noFill/>
                  </pic:spPr>
                </pic:pic>
              </a:graphicData>
            </a:graphic>
          </wp:anchor>
        </w:drawing>
      </w:r>
    </w:p>
    <w:p>
      <w:pPr>
        <w:spacing w:after="0" w:line="253" w:lineRule="exact"/>
        <w:rPr>
          <w:rFonts w:ascii="Calibri" w:cs="Calibri" w:eastAsia="Calibri" w:hAnsi="Calibri"/>
          <w:sz w:val="18"/>
          <w:szCs w:val="18"/>
          <w:color w:val="auto"/>
        </w:rPr>
      </w:pPr>
    </w:p>
    <w:p>
      <w:pPr>
        <w:jc w:val="both"/>
        <w:spacing w:after="0" w:line="235" w:lineRule="auto"/>
        <w:rPr>
          <w:rFonts w:ascii="Calibri" w:cs="Calibri" w:eastAsia="Calibri" w:hAnsi="Calibri"/>
          <w:sz w:val="18"/>
          <w:szCs w:val="18"/>
          <w:color w:val="auto"/>
        </w:rPr>
      </w:pPr>
      <w:hyperlink r:id="rId596">
        <w:r>
          <w:rPr>
            <w:rFonts w:ascii="Calibri" w:cs="Calibri" w:eastAsia="Calibri" w:hAnsi="Calibri"/>
            <w:sz w:val="18"/>
            <w:szCs w:val="18"/>
            <w:color w:val="auto"/>
          </w:rPr>
          <w:t>Indenture, dated as of September 15, 2016, between Cabot Corporaton and U.S. Bank Natonal Associaton, as Trustee (incorporated herein</w:t>
        </w:r>
      </w:hyperlink>
      <w:r>
        <w:rPr>
          <w:rFonts w:ascii="Calibri" w:cs="Calibri" w:eastAsia="Calibri" w:hAnsi="Calibri"/>
          <w:sz w:val="18"/>
          <w:szCs w:val="18"/>
          <w:color w:val="auto"/>
        </w:rPr>
        <w:t xml:space="preserve"> </w:t>
      </w:r>
      <w:hyperlink r:id="rId596">
        <w:r>
          <w:rPr>
            <w:rFonts w:ascii="Calibri" w:cs="Calibri" w:eastAsia="Calibri" w:hAnsi="Calibri"/>
            <w:sz w:val="18"/>
            <w:szCs w:val="18"/>
            <w:color w:val="auto"/>
          </w:rPr>
          <w:t>by reference to Exhibit 4.1 of Cabot Corporaton’s Current Report on Form 8-K dated September 15, 2016, fle reference 1-5667, fled with</w:t>
        </w:r>
      </w:hyperlink>
      <w:r>
        <w:rPr>
          <w:rFonts w:ascii="Calibri" w:cs="Calibri" w:eastAsia="Calibri" w:hAnsi="Calibri"/>
          <w:sz w:val="18"/>
          <w:szCs w:val="18"/>
          <w:color w:val="auto"/>
        </w:rPr>
        <w:t xml:space="preserve"> </w:t>
      </w:r>
      <w:hyperlink r:id="rId596">
        <w:r>
          <w:rPr>
            <w:rFonts w:ascii="Calibri" w:cs="Calibri" w:eastAsia="Calibri" w:hAnsi="Calibri"/>
            <w:sz w:val="18"/>
            <w:szCs w:val="18"/>
            <w:color w:val="auto"/>
          </w:rPr>
          <w:t>the SEC on September 15, 2016).</w:t>
        </w:r>
      </w:hyperlink>
    </w:p>
    <w:p>
      <w:pPr>
        <w:spacing w:after="0" w:line="20" w:lineRule="exact"/>
        <w:rPr>
          <w:rFonts w:ascii="Calibri" w:cs="Calibri" w:eastAsia="Calibri" w:hAnsi="Calibri"/>
          <w:sz w:val="18"/>
          <w:szCs w:val="18"/>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column">
              <wp:posOffset>1270</wp:posOffset>
            </wp:positionH>
            <wp:positionV relativeFrom="paragraph">
              <wp:posOffset>-292100</wp:posOffset>
            </wp:positionV>
            <wp:extent cx="63760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7">
                      <a:extLst>
                        <a:ext uri="{28A0092B-C50C-407E-A947-70E740481C1C}"/>
                      </a:extLst>
                    </a:blip>
                    <a:srcRect/>
                    <a:stretch>
                      <a:fillRect/>
                    </a:stretch>
                  </pic:blipFill>
                  <pic:spPr bwMode="auto">
                    <a:xfrm>
                      <a:off x="0" y="0"/>
                      <a:ext cx="637603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-154940</wp:posOffset>
            </wp:positionV>
            <wp:extent cx="637667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8">
                      <a:extLst>
                        <a:ext uri="{28A0092B-C50C-407E-A947-70E740481C1C}"/>
                      </a:extLst>
                    </a:blip>
                    <a:srcRect/>
                    <a:stretch>
                      <a:fillRect/>
                    </a:stretch>
                  </pic:blipFill>
                  <pic:spPr bwMode="auto">
                    <a:xfrm>
                      <a:off x="0" y="0"/>
                      <a:ext cx="637667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148526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9">
                      <a:extLst>
                        <a:ext uri="{28A0092B-C50C-407E-A947-70E740481C1C}"/>
                      </a:extLst>
                    </a:blip>
                    <a:srcRect/>
                    <a:stretch>
                      <a:fillRect/>
                    </a:stretch>
                  </pic:blipFill>
                  <pic:spPr bwMode="auto">
                    <a:xfrm>
                      <a:off x="0" y="0"/>
                      <a:ext cx="1485265" cy="8890"/>
                    </a:xfrm>
                    <a:prstGeom prst="rect">
                      <a:avLst/>
                    </a:prstGeom>
                    <a:noFill/>
                  </pic:spPr>
                </pic:pic>
              </a:graphicData>
            </a:graphic>
          </wp:anchor>
        </w:drawing>
      </w:r>
    </w:p>
    <w:p>
      <w:pPr>
        <w:spacing w:after="0" w:line="253" w:lineRule="exact"/>
        <w:rPr>
          <w:rFonts w:ascii="Calibri" w:cs="Calibri" w:eastAsia="Calibri" w:hAnsi="Calibri"/>
          <w:sz w:val="18"/>
          <w:szCs w:val="18"/>
          <w:color w:val="auto"/>
        </w:rPr>
      </w:pPr>
    </w:p>
    <w:p>
      <w:pPr>
        <w:jc w:val="both"/>
        <w:spacing w:after="0" w:line="235" w:lineRule="auto"/>
        <w:rPr>
          <w:rFonts w:ascii="Calibri" w:cs="Calibri" w:eastAsia="Calibri" w:hAnsi="Calibri"/>
          <w:sz w:val="18"/>
          <w:szCs w:val="18"/>
          <w:color w:val="auto"/>
        </w:rPr>
      </w:pPr>
      <w:hyperlink r:id="rId600">
        <w:r>
          <w:rPr>
            <w:rFonts w:ascii="Calibri" w:cs="Calibri" w:eastAsia="Calibri" w:hAnsi="Calibri"/>
            <w:sz w:val="18"/>
            <w:szCs w:val="18"/>
            <w:color w:val="auto"/>
          </w:rPr>
          <w:t>First Supplemental Indenture, dated as of September 15, 2016, between Cabot Corporaton and U.S. Bank Natonal Associaton, as Trustee,</w:t>
        </w:r>
      </w:hyperlink>
      <w:r>
        <w:rPr>
          <w:rFonts w:ascii="Calibri" w:cs="Calibri" w:eastAsia="Calibri" w:hAnsi="Calibri"/>
          <w:sz w:val="18"/>
          <w:szCs w:val="18"/>
          <w:color w:val="auto"/>
        </w:rPr>
        <w:t xml:space="preserve"> </w:t>
      </w:r>
      <w:hyperlink r:id="rId600">
        <w:r>
          <w:rPr>
            <w:rFonts w:ascii="Calibri" w:cs="Calibri" w:eastAsia="Calibri" w:hAnsi="Calibri"/>
            <w:sz w:val="18"/>
            <w:szCs w:val="18"/>
            <w:color w:val="auto"/>
          </w:rPr>
          <w:t>including the form of Global Note atached as Annex A thereto, supplementng the Indenture dated as of September 15, 2016 (incorporated</w:t>
        </w:r>
      </w:hyperlink>
      <w:r>
        <w:rPr>
          <w:rFonts w:ascii="Calibri" w:cs="Calibri" w:eastAsia="Calibri" w:hAnsi="Calibri"/>
          <w:sz w:val="18"/>
          <w:szCs w:val="18"/>
          <w:color w:val="auto"/>
        </w:rPr>
        <w:t xml:space="preserve"> </w:t>
      </w:r>
      <w:hyperlink r:id="rId600">
        <w:r>
          <w:rPr>
            <w:rFonts w:ascii="Calibri" w:cs="Calibri" w:eastAsia="Calibri" w:hAnsi="Calibri"/>
            <w:sz w:val="18"/>
            <w:szCs w:val="18"/>
            <w:color w:val="auto"/>
          </w:rPr>
          <w:t>herein by reference to Exhibit 4.2 of Cabot Corporaton’s Current Report on Form 8-K dated September 15, 2016, fle reference 1-5667, fled</w:t>
        </w:r>
      </w:hyperlink>
      <w:r>
        <w:rPr>
          <w:rFonts w:ascii="Calibri" w:cs="Calibri" w:eastAsia="Calibri" w:hAnsi="Calibri"/>
          <w:sz w:val="18"/>
          <w:szCs w:val="18"/>
          <w:color w:val="auto"/>
        </w:rPr>
        <w:t xml:space="preserve"> </w:t>
      </w:r>
      <w:hyperlink r:id="rId600">
        <w:r>
          <w:rPr>
            <w:rFonts w:ascii="Calibri" w:cs="Calibri" w:eastAsia="Calibri" w:hAnsi="Calibri"/>
            <w:sz w:val="18"/>
            <w:szCs w:val="18"/>
            <w:color w:val="auto"/>
          </w:rPr>
          <w:t>with the SEC on September 15, 2016).</w:t>
        </w:r>
      </w:hyperlink>
    </w:p>
    <w:p>
      <w:pPr>
        <w:spacing w:after="0" w:line="20" w:lineRule="exact"/>
        <w:rPr>
          <w:rFonts w:ascii="Calibri" w:cs="Calibri" w:eastAsia="Calibri" w:hAnsi="Calibri"/>
          <w:sz w:val="18"/>
          <w:szCs w:val="18"/>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column">
              <wp:posOffset>1270</wp:posOffset>
            </wp:positionH>
            <wp:positionV relativeFrom="paragraph">
              <wp:posOffset>-428625</wp:posOffset>
            </wp:positionV>
            <wp:extent cx="637286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1">
                      <a:extLst>
                        <a:ext uri="{28A0092B-C50C-407E-A947-70E740481C1C}"/>
                      </a:extLst>
                    </a:blip>
                    <a:srcRect/>
                    <a:stretch>
                      <a:fillRect/>
                    </a:stretch>
                  </pic:blipFill>
                  <pic:spPr bwMode="auto">
                    <a:xfrm>
                      <a:off x="0" y="0"/>
                      <a:ext cx="63728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-291465</wp:posOffset>
            </wp:positionV>
            <wp:extent cx="637032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2">
                      <a:extLst>
                        <a:ext uri="{28A0092B-C50C-407E-A947-70E740481C1C}"/>
                      </a:extLst>
                    </a:blip>
                    <a:srcRect/>
                    <a:stretch>
                      <a:fillRect/>
                    </a:stretch>
                  </pic:blipFill>
                  <pic:spPr bwMode="auto">
                    <a:xfrm>
                      <a:off x="0" y="0"/>
                      <a:ext cx="637032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-154305</wp:posOffset>
            </wp:positionV>
            <wp:extent cx="637222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3">
                      <a:extLst>
                        <a:ext uri="{28A0092B-C50C-407E-A947-70E740481C1C}"/>
                      </a:extLst>
                    </a:blip>
                    <a:srcRect/>
                    <a:stretch>
                      <a:fillRect/>
                    </a:stretch>
                  </pic:blipFill>
                  <pic:spPr bwMode="auto">
                    <a:xfrm>
                      <a:off x="0" y="0"/>
                      <a:ext cx="637222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-17145</wp:posOffset>
            </wp:positionV>
            <wp:extent cx="171132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4">
                      <a:extLst>
                        <a:ext uri="{28A0092B-C50C-407E-A947-70E740481C1C}"/>
                      </a:extLst>
                    </a:blip>
                    <a:srcRect/>
                    <a:stretch>
                      <a:fillRect/>
                    </a:stretch>
                  </pic:blipFill>
                  <pic:spPr bwMode="auto">
                    <a:xfrm>
                      <a:off x="0" y="0"/>
                      <a:ext cx="1711325" cy="8255"/>
                    </a:xfrm>
                    <a:prstGeom prst="rect">
                      <a:avLst/>
                    </a:prstGeom>
                    <a:noFill/>
                  </pic:spPr>
                </pic:pic>
              </a:graphicData>
            </a:graphic>
          </wp:anchor>
        </w:drawing>
      </w:r>
    </w:p>
    <w:p>
      <w:pPr>
        <w:spacing w:after="0" w:line="253" w:lineRule="exact"/>
        <w:rPr>
          <w:rFonts w:ascii="Calibri" w:cs="Calibri" w:eastAsia="Calibri" w:hAnsi="Calibri"/>
          <w:sz w:val="18"/>
          <w:szCs w:val="18"/>
          <w:color w:val="auto"/>
        </w:rPr>
      </w:pPr>
    </w:p>
    <w:p>
      <w:pPr>
        <w:jc w:val="both"/>
        <w:spacing w:after="0" w:line="254" w:lineRule="auto"/>
        <w:rPr>
          <w:rFonts w:ascii="Calibri" w:cs="Calibri" w:eastAsia="Calibri" w:hAnsi="Calibri"/>
          <w:sz w:val="17"/>
          <w:szCs w:val="17"/>
          <w:color w:val="auto"/>
        </w:rPr>
      </w:pPr>
      <w:hyperlink r:id="rId605">
        <w:r>
          <w:rPr>
            <w:rFonts w:ascii="Calibri" w:cs="Calibri" w:eastAsia="Calibri" w:hAnsi="Calibri"/>
            <w:sz w:val="17"/>
            <w:szCs w:val="17"/>
            <w:color w:val="auto"/>
          </w:rPr>
          <w:t>Second Supplemental Indenture, dated June 20, 2019, between Cabot Corporaton and U.S. Bank Natonal Associaton, including the form of</w:t>
        </w:r>
      </w:hyperlink>
      <w:r>
        <w:rPr>
          <w:rFonts w:ascii="Calibri" w:cs="Calibri" w:eastAsia="Calibri" w:hAnsi="Calibri"/>
          <w:sz w:val="17"/>
          <w:szCs w:val="17"/>
          <w:color w:val="auto"/>
        </w:rPr>
        <w:t xml:space="preserve"> </w:t>
      </w:r>
      <w:hyperlink r:id="rId605">
        <w:r>
          <w:rPr>
            <w:rFonts w:ascii="Calibri" w:cs="Calibri" w:eastAsia="Calibri" w:hAnsi="Calibri"/>
            <w:sz w:val="17"/>
            <w:szCs w:val="17"/>
            <w:color w:val="auto"/>
          </w:rPr>
          <w:t>Global Note atached as Annex A thereto supplementng the Indenture dates as of September 15, 2016 (incorporated by reference to Exhibit</w:t>
        </w:r>
      </w:hyperlink>
      <w:r>
        <w:rPr>
          <w:rFonts w:ascii="Calibri" w:cs="Calibri" w:eastAsia="Calibri" w:hAnsi="Calibri"/>
          <w:sz w:val="17"/>
          <w:szCs w:val="17"/>
          <w:color w:val="auto"/>
        </w:rPr>
        <w:t xml:space="preserve"> </w:t>
      </w:r>
      <w:hyperlink r:id="rId605">
        <w:r>
          <w:rPr>
            <w:rFonts w:ascii="Calibri" w:cs="Calibri" w:eastAsia="Calibri" w:hAnsi="Calibri"/>
            <w:sz w:val="17"/>
            <w:szCs w:val="17"/>
            <w:color w:val="auto"/>
          </w:rPr>
          <w:t>4.1 of Cabot Corporaton’s Current Report on Form 8-K dated June 20, 2019, fle reference 1-5667, fled with the SEC on June 20, 2019).</w:t>
        </w:r>
      </w:hyperlink>
    </w:p>
    <w:p>
      <w:pPr>
        <w:spacing w:after="0" w:line="20" w:lineRule="exact"/>
        <w:rPr>
          <w:rFonts w:ascii="Calibri" w:cs="Calibri" w:eastAsia="Calibri" w:hAnsi="Calibri"/>
          <w:sz w:val="17"/>
          <w:szCs w:val="17"/>
          <w:color w:val="auto"/>
        </w:rPr>
      </w:pPr>
      <w:r>
        <w:rPr>
          <w:rFonts w:ascii="Calibri" w:cs="Calibri" w:eastAsia="Calibri" w:hAnsi="Calibri"/>
          <w:sz w:val="17"/>
          <w:szCs w:val="17"/>
          <w:color w:val="auto"/>
        </w:rPr>
        <w:drawing>
          <wp:anchor simplePos="0" relativeHeight="251657728" behindDoc="1" locked="0" layoutInCell="0" allowOverlap="1">
            <wp:simplePos x="0" y="0"/>
            <wp:positionH relativeFrom="column">
              <wp:posOffset>1270</wp:posOffset>
            </wp:positionH>
            <wp:positionV relativeFrom="paragraph">
              <wp:posOffset>-300355</wp:posOffset>
            </wp:positionV>
            <wp:extent cx="637413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6">
                      <a:extLst>
                        <a:ext uri="{28A0092B-C50C-407E-A947-70E740481C1C}"/>
                      </a:extLst>
                    </a:blip>
                    <a:srcRect/>
                    <a:stretch>
                      <a:fillRect/>
                    </a:stretch>
                  </pic:blipFill>
                  <pic:spPr bwMode="auto">
                    <a:xfrm>
                      <a:off x="0" y="0"/>
                      <a:ext cx="637413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-163195</wp:posOffset>
            </wp:positionV>
            <wp:extent cx="63754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7">
                      <a:extLst>
                        <a:ext uri="{28A0092B-C50C-407E-A947-70E740481C1C}"/>
                      </a:extLst>
                    </a:blip>
                    <a:srcRect/>
                    <a:stretch>
                      <a:fillRect/>
                    </a:stretch>
                  </pic:blipFill>
                  <pic:spPr bwMode="auto">
                    <a:xfrm>
                      <a:off x="0" y="0"/>
                      <a:ext cx="637540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-26035</wp:posOffset>
            </wp:positionV>
            <wp:extent cx="606234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8">
                      <a:extLst>
                        <a:ext uri="{28A0092B-C50C-407E-A947-70E740481C1C}"/>
                      </a:extLst>
                    </a:blip>
                    <a:srcRect/>
                    <a:stretch>
                      <a:fillRect/>
                    </a:stretch>
                  </pic:blipFill>
                  <pic:spPr bwMode="auto">
                    <a:xfrm>
                      <a:off x="0" y="0"/>
                      <a:ext cx="6062345" cy="8255"/>
                    </a:xfrm>
                    <a:prstGeom prst="rect">
                      <a:avLst/>
                    </a:prstGeom>
                    <a:noFill/>
                  </pic:spPr>
                </pic:pic>
              </a:graphicData>
            </a:graphic>
          </wp:anchor>
        </w:drawing>
      </w:r>
    </w:p>
    <w:p>
      <w:pPr>
        <w:spacing w:after="0" w:line="239" w:lineRule="exact"/>
        <w:rPr>
          <w:rFonts w:ascii="Calibri" w:cs="Calibri" w:eastAsia="Calibri" w:hAnsi="Calibri"/>
          <w:sz w:val="17"/>
          <w:szCs w:val="17"/>
          <w:color w:val="auto"/>
        </w:rPr>
      </w:pPr>
    </w:p>
    <w:p>
      <w:pPr>
        <w:jc w:val="both"/>
        <w:spacing w:after="0" w:line="235" w:lineRule="auto"/>
        <w:rPr>
          <w:rFonts w:ascii="Calibri" w:cs="Calibri" w:eastAsia="Calibri" w:hAnsi="Calibri"/>
          <w:sz w:val="18"/>
          <w:szCs w:val="18"/>
          <w:color w:val="auto"/>
        </w:rPr>
      </w:pPr>
      <w:hyperlink r:id="rId609">
        <w:r>
          <w:rPr>
            <w:rFonts w:ascii="Calibri" w:cs="Calibri" w:eastAsia="Calibri" w:hAnsi="Calibri"/>
            <w:sz w:val="18"/>
            <w:szCs w:val="18"/>
            <w:color w:val="auto"/>
          </w:rPr>
          <w:t>Indenture, dated June 22, 2022, between Cabot Corporaton and U.S. Bank Trust Company, Natonal Associaton (incorporated herein by</w:t>
        </w:r>
      </w:hyperlink>
      <w:r>
        <w:rPr>
          <w:rFonts w:ascii="Calibri" w:cs="Calibri" w:eastAsia="Calibri" w:hAnsi="Calibri"/>
          <w:sz w:val="18"/>
          <w:szCs w:val="18"/>
          <w:color w:val="auto"/>
        </w:rPr>
        <w:t xml:space="preserve"> </w:t>
      </w:r>
      <w:hyperlink r:id="rId609">
        <w:r>
          <w:rPr>
            <w:rFonts w:ascii="Calibri" w:cs="Calibri" w:eastAsia="Calibri" w:hAnsi="Calibri"/>
            <w:sz w:val="18"/>
            <w:szCs w:val="18"/>
            <w:color w:val="auto"/>
          </w:rPr>
          <w:t>reference to Exhibit 4.1 of Cabot Corporaton’s Current Report on Form 8-K dated June 22, 2022, fle reference 1-5667, fled with SEC on June</w:t>
        </w:r>
      </w:hyperlink>
      <w:r>
        <w:rPr>
          <w:rFonts w:ascii="Calibri" w:cs="Calibri" w:eastAsia="Calibri" w:hAnsi="Calibri"/>
          <w:sz w:val="18"/>
          <w:szCs w:val="18"/>
          <w:color w:val="auto"/>
        </w:rPr>
        <w:t xml:space="preserve"> </w:t>
      </w:r>
      <w:hyperlink r:id="rId609">
        <w:r>
          <w:rPr>
            <w:rFonts w:ascii="Calibri" w:cs="Calibri" w:eastAsia="Calibri" w:hAnsi="Calibri"/>
            <w:sz w:val="18"/>
            <w:szCs w:val="18"/>
            <w:color w:val="auto"/>
          </w:rPr>
          <w:t>22, 2022).</w:t>
        </w:r>
      </w:hyperlink>
    </w:p>
    <w:p>
      <w:pPr>
        <w:spacing w:after="0" w:line="20" w:lineRule="exact"/>
        <w:rPr>
          <w:rFonts w:ascii="Calibri" w:cs="Calibri" w:eastAsia="Calibri" w:hAnsi="Calibri"/>
          <w:sz w:val="18"/>
          <w:szCs w:val="18"/>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column">
              <wp:posOffset>1270</wp:posOffset>
            </wp:positionH>
            <wp:positionV relativeFrom="paragraph">
              <wp:posOffset>-292100</wp:posOffset>
            </wp:positionV>
            <wp:extent cx="63709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0">
                      <a:extLst>
                        <a:ext uri="{28A0092B-C50C-407E-A947-70E740481C1C}"/>
                      </a:extLst>
                    </a:blip>
                    <a:srcRect/>
                    <a:stretch>
                      <a:fillRect/>
                    </a:stretch>
                  </pic:blipFill>
                  <pic:spPr bwMode="auto">
                    <a:xfrm>
                      <a:off x="0" y="0"/>
                      <a:ext cx="6370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-154940</wp:posOffset>
            </wp:positionV>
            <wp:extent cx="637222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1">
                      <a:extLst>
                        <a:ext uri="{28A0092B-C50C-407E-A947-70E740481C1C}"/>
                      </a:extLst>
                    </a:blip>
                    <a:srcRect/>
                    <a:stretch>
                      <a:fillRect/>
                    </a:stretch>
                  </pic:blipFill>
                  <pic:spPr bwMode="auto">
                    <a:xfrm>
                      <a:off x="0" y="0"/>
                      <a:ext cx="637222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45402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2">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53" w:lineRule="exact"/>
        <w:rPr>
          <w:rFonts w:ascii="Calibri" w:cs="Calibri" w:eastAsia="Calibri" w:hAnsi="Calibri"/>
          <w:sz w:val="18"/>
          <w:szCs w:val="18"/>
          <w:color w:val="auto"/>
        </w:rPr>
      </w:pPr>
    </w:p>
    <w:p>
      <w:pPr>
        <w:jc w:val="both"/>
        <w:spacing w:after="0" w:line="235" w:lineRule="auto"/>
        <w:rPr>
          <w:rFonts w:ascii="Calibri" w:cs="Calibri" w:eastAsia="Calibri" w:hAnsi="Calibri"/>
          <w:sz w:val="18"/>
          <w:szCs w:val="18"/>
          <w:color w:val="auto"/>
        </w:rPr>
      </w:pPr>
      <w:hyperlink r:id="rId613">
        <w:r>
          <w:rPr>
            <w:rFonts w:ascii="Calibri" w:cs="Calibri" w:eastAsia="Calibri" w:hAnsi="Calibri"/>
            <w:sz w:val="18"/>
            <w:szCs w:val="18"/>
            <w:color w:val="auto"/>
          </w:rPr>
          <w:t>First Supplemental Indenture, dated June 22, 2022, between Cabot Corporaton and U.S. Bank Trust Company, Natonal Associaton. including</w:t>
        </w:r>
      </w:hyperlink>
      <w:r>
        <w:rPr>
          <w:rFonts w:ascii="Calibri" w:cs="Calibri" w:eastAsia="Calibri" w:hAnsi="Calibri"/>
          <w:sz w:val="18"/>
          <w:szCs w:val="18"/>
          <w:color w:val="auto"/>
        </w:rPr>
        <w:t xml:space="preserve"> </w:t>
      </w:r>
      <w:hyperlink r:id="rId613">
        <w:r>
          <w:rPr>
            <w:rFonts w:ascii="Calibri" w:cs="Calibri" w:eastAsia="Calibri" w:hAnsi="Calibri"/>
            <w:sz w:val="18"/>
            <w:szCs w:val="18"/>
            <w:color w:val="auto"/>
          </w:rPr>
          <w:t>the form of Global Note atached as Annex A thereto, supplementng the Indenture dated as 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637032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4">
                      <a:extLst>
                        <a:ext uri="{28A0092B-C50C-407E-A947-70E740481C1C}"/>
                      </a:extLst>
                    </a:blip>
                    <a:srcRect/>
                    <a:stretch>
                      <a:fillRect/>
                    </a:stretch>
                  </pic:blipFill>
                  <pic:spPr bwMode="auto">
                    <a:xfrm>
                      <a:off x="0" y="0"/>
                      <a:ext cx="637032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wp:posOffset>
            </wp:positionV>
            <wp:extent cx="430784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5">
                      <a:extLst>
                        <a:ext uri="{28A0092B-C50C-407E-A947-70E740481C1C}"/>
                      </a:extLst>
                    </a:blip>
                    <a:srcRect/>
                    <a:stretch>
                      <a:fillRect/>
                    </a:stretch>
                  </pic:blipFill>
                  <pic:spPr bwMode="auto">
                    <a:xfrm>
                      <a:off x="0" y="0"/>
                      <a:ext cx="43078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 w:space="340"/>
            <w:col w:w="10040"/>
          </w:cols>
          <w:pgMar w:left="320" w:top="328" w:right="359" w:bottom="1440" w:gutter="0" w:footer="0" w:header="0"/>
          <w:type w:val="continuous"/>
        </w:sectPr>
      </w:pPr>
    </w:p>
    <w:p>
      <w:pPr>
        <w:spacing w:after="0" w:line="31" w:lineRule="exact"/>
        <w:rPr>
          <w:sz w:val="20"/>
          <w:szCs w:val="20"/>
          <w:color w:val="auto"/>
        </w:rPr>
      </w:pPr>
    </w:p>
    <w:p>
      <w:pPr>
        <w:jc w:val="center"/>
        <w:ind w:right="-39"/>
        <w:spacing w:after="0"/>
        <w:rPr>
          <w:sz w:val="20"/>
          <w:szCs w:val="20"/>
          <w:color w:val="auto"/>
        </w:rPr>
      </w:pPr>
      <w:r>
        <w:rPr>
          <w:rFonts w:ascii="Calibri" w:cs="Calibri" w:eastAsia="Calibri" w:hAnsi="Calibri"/>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8"/>
          <w:szCs w:val="18"/>
          <w:b w:val="1"/>
          <w:bCs w:val="1"/>
          <w:color w:val="auto"/>
        </w:rPr>
        <w:t>Exhibit</w:t>
      </w:r>
    </w:p>
    <w:p>
      <w:pPr>
        <w:spacing w:after="0" w:line="235" w:lineRule="auto"/>
        <w:tabs>
          <w:tab w:leader="none" w:pos="5680" w:val="left"/>
        </w:tabs>
        <w:rPr>
          <w:sz w:val="20"/>
          <w:szCs w:val="20"/>
          <w:color w:val="auto"/>
        </w:rPr>
      </w:pPr>
      <w:r>
        <w:rPr>
          <w:rFonts w:ascii="Calibri" w:cs="Calibri" w:eastAsia="Calibri" w:hAnsi="Calibri"/>
          <w:sz w:val="18"/>
          <w:szCs w:val="18"/>
          <w:b w:val="1"/>
          <w:bCs w:val="1"/>
          <w:color w:val="auto"/>
        </w:rPr>
        <w:t>Number</w:t>
      </w:r>
      <w:r>
        <w:rPr>
          <w:sz w:val="20"/>
          <w:szCs w:val="20"/>
          <w:color w:val="auto"/>
        </w:rPr>
        <w:tab/>
      </w:r>
      <w:r>
        <w:rPr>
          <w:rFonts w:ascii="Calibri" w:cs="Calibri" w:eastAsia="Calibri" w:hAnsi="Calibri"/>
          <w:sz w:val="18"/>
          <w:szCs w:val="18"/>
          <w:b w:val="1"/>
          <w:bCs w:val="1"/>
          <w:color w:val="auto"/>
        </w:rPr>
        <w:t>Descripton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24130</wp:posOffset>
            </wp:positionV>
            <wp:extent cx="713232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ind w:left="1040"/>
        <w:spacing w:after="0" w:line="235" w:lineRule="auto"/>
        <w:rPr>
          <w:rFonts w:ascii="Calibri" w:cs="Calibri" w:eastAsia="Calibri" w:hAnsi="Calibri"/>
          <w:sz w:val="18"/>
          <w:szCs w:val="18"/>
          <w:color w:val="auto"/>
        </w:rPr>
      </w:pPr>
      <w:hyperlink r:id="rId613">
        <w:r>
          <w:rPr>
            <w:rFonts w:ascii="Calibri" w:cs="Calibri" w:eastAsia="Calibri" w:hAnsi="Calibri"/>
            <w:sz w:val="18"/>
            <w:szCs w:val="18"/>
            <w:color w:val="auto"/>
          </w:rPr>
          <w:t>June 22, 2022 (incorporated herein by reference to Exhibit 4.2 of Cabot Corporaton’s Current Report on Form 8-K dated June 22, 2022, fle</w:t>
        </w:r>
      </w:hyperlink>
      <w:r>
        <w:rPr>
          <w:rFonts w:ascii="Calibri" w:cs="Calibri" w:eastAsia="Calibri" w:hAnsi="Calibri"/>
          <w:sz w:val="18"/>
          <w:szCs w:val="18"/>
          <w:color w:val="auto"/>
        </w:rPr>
        <w:t xml:space="preserve"> </w:t>
      </w:r>
      <w:hyperlink r:id="rId613">
        <w:r>
          <w:rPr>
            <w:rFonts w:ascii="Calibri" w:cs="Calibri" w:eastAsia="Calibri" w:hAnsi="Calibri"/>
            <w:sz w:val="18"/>
            <w:szCs w:val="18"/>
            <w:color w:val="auto"/>
          </w:rPr>
          <w:t>reference 1-5667, fled with SEC on June 22,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-155575</wp:posOffset>
            </wp:positionV>
            <wp:extent cx="637603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8">
                      <a:extLst>
                        <a:ext uri="{28A0092B-C50C-407E-A947-70E740481C1C}"/>
                      </a:extLst>
                    </a:blip>
                    <a:srcRect/>
                    <a:stretch>
                      <a:fillRect/>
                    </a:stretch>
                  </pic:blipFill>
                  <pic:spPr bwMode="auto">
                    <a:xfrm>
                      <a:off x="0" y="0"/>
                      <a:ext cx="6376035"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-18415</wp:posOffset>
            </wp:positionV>
            <wp:extent cx="232092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9">
                      <a:extLst>
                        <a:ext uri="{28A0092B-C50C-407E-A947-70E740481C1C}"/>
                      </a:extLst>
                    </a:blip>
                    <a:srcRect/>
                    <a:stretch>
                      <a:fillRect/>
                    </a:stretch>
                  </pic:blipFill>
                  <pic:spPr bwMode="auto">
                    <a:xfrm>
                      <a:off x="0" y="0"/>
                      <a:ext cx="2320925" cy="8255"/>
                    </a:xfrm>
                    <a:prstGeom prst="rect">
                      <a:avLst/>
                    </a:prstGeom>
                    <a:noFill/>
                  </pic:spPr>
                </pic:pic>
              </a:graphicData>
            </a:graphic>
          </wp:anchor>
        </w:drawing>
      </w:r>
    </w:p>
    <w:p>
      <w:pPr>
        <w:sectPr>
          <w:pgSz w:w="11900" w:h="16838" w:orient="portrait"/>
          <w:cols w:equalWidth="0" w:num="1">
            <w:col w:w="11080"/>
          </w:cols>
          <w:pgMar w:left="460" w:top="342" w:right="359" w:bottom="1440" w:gutter="0" w:footer="0" w:header="0"/>
        </w:sectPr>
      </w:pPr>
    </w:p>
    <w:p>
      <w:pPr>
        <w:spacing w:after="0" w:line="375" w:lineRule="exact"/>
        <w:rPr>
          <w:sz w:val="20"/>
          <w:szCs w:val="20"/>
          <w:color w:val="auto"/>
        </w:rPr>
      </w:pPr>
    </w:p>
    <w:p>
      <w:pPr>
        <w:ind w:left="240"/>
        <w:spacing w:after="0"/>
        <w:rPr>
          <w:sz w:val="20"/>
          <w:szCs w:val="20"/>
          <w:color w:val="auto"/>
        </w:rPr>
      </w:pPr>
      <w:r>
        <w:rPr>
          <w:rFonts w:ascii="Calibri" w:cs="Calibri" w:eastAsia="Calibri" w:hAnsi="Calibri"/>
          <w:sz w:val="18"/>
          <w:szCs w:val="18"/>
          <w:color w:val="auto"/>
        </w:rPr>
        <w:t>4(b)</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Calibri" w:cs="Calibri" w:eastAsia="Calibri" w:hAnsi="Calibri"/>
          <w:sz w:val="18"/>
          <w:szCs w:val="18"/>
          <w:color w:val="auto"/>
        </w:rPr>
        <w:t>10(a)(i)</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10(a)(ii)</w:t>
      </w:r>
    </w:p>
    <w:p>
      <w:pPr>
        <w:spacing w:after="0" w:line="200" w:lineRule="exact"/>
        <w:rPr>
          <w:sz w:val="20"/>
          <w:szCs w:val="20"/>
          <w:color w:val="auto"/>
        </w:rPr>
      </w:pPr>
    </w:p>
    <w:p>
      <w:pPr>
        <w:spacing w:after="0" w:line="395"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10(a)(iii)†</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80"/>
        <w:spacing w:after="0"/>
        <w:rPr>
          <w:sz w:val="20"/>
          <w:szCs w:val="20"/>
          <w:color w:val="auto"/>
        </w:rPr>
      </w:pPr>
      <w:r>
        <w:rPr>
          <w:rFonts w:ascii="Calibri" w:cs="Calibri" w:eastAsia="Calibri" w:hAnsi="Calibri"/>
          <w:sz w:val="18"/>
          <w:szCs w:val="18"/>
          <w:color w:val="auto"/>
        </w:rPr>
        <w:t>10(b)</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10(c)*</w:t>
      </w:r>
    </w:p>
    <w:p>
      <w:pPr>
        <w:spacing w:after="0" w:line="200" w:lineRule="exact"/>
        <w:rPr>
          <w:sz w:val="20"/>
          <w:szCs w:val="20"/>
          <w:color w:val="auto"/>
        </w:rPr>
      </w:pPr>
    </w:p>
    <w:p>
      <w:pPr>
        <w:spacing w:after="0" w:line="390" w:lineRule="exact"/>
        <w:rPr>
          <w:sz w:val="20"/>
          <w:szCs w:val="20"/>
          <w:color w:val="auto"/>
        </w:rPr>
      </w:pPr>
    </w:p>
    <w:p>
      <w:pPr>
        <w:ind w:left="100"/>
        <w:spacing w:after="0"/>
        <w:rPr>
          <w:sz w:val="20"/>
          <w:szCs w:val="20"/>
          <w:color w:val="auto"/>
        </w:rPr>
      </w:pPr>
      <w:r>
        <w:rPr>
          <w:rFonts w:ascii="Calibri" w:cs="Calibri" w:eastAsia="Calibri" w:hAnsi="Calibri"/>
          <w:sz w:val="18"/>
          <w:szCs w:val="18"/>
          <w:color w:val="auto"/>
        </w:rPr>
        <w:t>10(c)(i)*</w:t>
      </w: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Calibri" w:cs="Calibri" w:eastAsia="Calibri" w:hAnsi="Calibri"/>
          <w:sz w:val="18"/>
          <w:szCs w:val="18"/>
          <w:color w:val="auto"/>
        </w:rPr>
        <w:t>10(c)(ii)*</w:t>
      </w:r>
    </w:p>
    <w:p>
      <w:pPr>
        <w:spacing w:after="0" w:line="200" w:lineRule="exact"/>
        <w:rPr>
          <w:sz w:val="20"/>
          <w:szCs w:val="20"/>
          <w:color w:val="auto"/>
        </w:rPr>
      </w:pPr>
    </w:p>
    <w:p>
      <w:pPr>
        <w:spacing w:after="0" w:line="287"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10(c)(iii)*</w:t>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Calibri" w:cs="Calibri" w:eastAsia="Calibri" w:hAnsi="Calibri"/>
          <w:sz w:val="17"/>
          <w:szCs w:val="17"/>
          <w:color w:val="auto"/>
        </w:rPr>
        <w:t>10(c)(vi)*</w:t>
      </w:r>
    </w:p>
    <w:p>
      <w:pPr>
        <w:spacing w:after="0" w:line="200" w:lineRule="exact"/>
        <w:rPr>
          <w:sz w:val="20"/>
          <w:szCs w:val="20"/>
          <w:color w:val="auto"/>
        </w:rPr>
      </w:pPr>
    </w:p>
    <w:p>
      <w:pPr>
        <w:spacing w:after="0" w:line="398" w:lineRule="exact"/>
        <w:rPr>
          <w:sz w:val="20"/>
          <w:szCs w:val="20"/>
          <w:color w:val="auto"/>
        </w:rPr>
      </w:pPr>
    </w:p>
    <w:p>
      <w:pPr>
        <w:ind w:left="180"/>
        <w:spacing w:after="0"/>
        <w:rPr>
          <w:sz w:val="20"/>
          <w:szCs w:val="20"/>
          <w:color w:val="auto"/>
        </w:rPr>
      </w:pPr>
      <w:r>
        <w:rPr>
          <w:rFonts w:ascii="Calibri" w:cs="Calibri" w:eastAsia="Calibri" w:hAnsi="Calibri"/>
          <w:sz w:val="18"/>
          <w:szCs w:val="18"/>
          <w:color w:val="auto"/>
        </w:rPr>
        <w:t>10(d)*</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jc w:val="both"/>
        <w:spacing w:after="0" w:line="235" w:lineRule="auto"/>
        <w:rPr>
          <w:rFonts w:ascii="Calibri" w:cs="Calibri" w:eastAsia="Calibri" w:hAnsi="Calibri"/>
          <w:sz w:val="18"/>
          <w:szCs w:val="18"/>
          <w:color w:val="auto"/>
        </w:rPr>
      </w:pPr>
      <w:hyperlink r:id="rId620">
        <w:r>
          <w:rPr>
            <w:rFonts w:ascii="Calibri" w:cs="Calibri" w:eastAsia="Calibri" w:hAnsi="Calibri"/>
            <w:sz w:val="18"/>
            <w:szCs w:val="18"/>
            <w:color w:val="auto"/>
          </w:rPr>
          <w:t>Descripton of Cabot Securites (incorporated by reference to Exhibit 4(b) of Cabot Corporaton’s Annual Report on Form 10-K for its fscal</w:t>
        </w:r>
      </w:hyperlink>
      <w:r>
        <w:rPr>
          <w:rFonts w:ascii="Calibri" w:cs="Calibri" w:eastAsia="Calibri" w:hAnsi="Calibri"/>
          <w:sz w:val="18"/>
          <w:szCs w:val="18"/>
          <w:color w:val="auto"/>
        </w:rPr>
        <w:t xml:space="preserve"> </w:t>
      </w:r>
      <w:hyperlink r:id="rId620">
        <w:r>
          <w:rPr>
            <w:rFonts w:ascii="Calibri" w:cs="Calibri" w:eastAsia="Calibri" w:hAnsi="Calibri"/>
            <w:sz w:val="18"/>
            <w:szCs w:val="18"/>
            <w:color w:val="auto"/>
          </w:rPr>
          <w:t>year ended September 30, 2019, fle reference 1-5667, fled with the SEC on November 22,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637603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1">
                      <a:extLst>
                        <a:ext uri="{28A0092B-C50C-407E-A947-70E740481C1C}"/>
                      </a:extLst>
                    </a:blip>
                    <a:srcRect/>
                    <a:stretch>
                      <a:fillRect/>
                    </a:stretch>
                  </pic:blipFill>
                  <pic:spPr bwMode="auto">
                    <a:xfrm>
                      <a:off x="0" y="0"/>
                      <a:ext cx="637603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wp:posOffset>
            </wp:positionV>
            <wp:extent cx="440817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2">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252" w:lineRule="exact"/>
        <w:rPr>
          <w:sz w:val="20"/>
          <w:szCs w:val="20"/>
          <w:color w:val="auto"/>
        </w:rPr>
      </w:pPr>
    </w:p>
    <w:p>
      <w:pPr>
        <w:jc w:val="both"/>
        <w:spacing w:after="0" w:line="235" w:lineRule="auto"/>
        <w:rPr>
          <w:rFonts w:ascii="Calibri" w:cs="Calibri" w:eastAsia="Calibri" w:hAnsi="Calibri"/>
          <w:sz w:val="18"/>
          <w:szCs w:val="18"/>
          <w:u w:val="single" w:color="auto"/>
          <w:color w:val="0000FF"/>
        </w:rPr>
      </w:pPr>
      <w:hyperlink r:id="rId623">
        <w:r>
          <w:rPr>
            <w:rFonts w:ascii="Calibri" w:cs="Calibri" w:eastAsia="Calibri" w:hAnsi="Calibri"/>
            <w:sz w:val="18"/>
            <w:szCs w:val="18"/>
            <w:u w:val="single" w:color="auto"/>
            <w:color w:val="0000FF"/>
          </w:rPr>
          <w:t>Credit Agreement, dated August 6, 2021, among Cabot Corporaton, JPMorgan Chase Bank, N.A., J.P. Morgan Securites LLC, Citbank, N.A.,</w:t>
        </w:r>
      </w:hyperlink>
      <w:r>
        <w:rPr>
          <w:rFonts w:ascii="Calibri" w:cs="Calibri" w:eastAsia="Calibri" w:hAnsi="Calibri"/>
          <w:sz w:val="18"/>
          <w:szCs w:val="18"/>
          <w:u w:val="single" w:color="auto"/>
          <w:color w:val="0000FF"/>
        </w:rPr>
        <w:t xml:space="preserve"> </w:t>
      </w:r>
      <w:hyperlink r:id="rId623">
        <w:r>
          <w:rPr>
            <w:rFonts w:ascii="Calibri" w:cs="Calibri" w:eastAsia="Calibri" w:hAnsi="Calibri"/>
            <w:sz w:val="18"/>
            <w:szCs w:val="18"/>
            <w:u w:val="single" w:color="auto"/>
            <w:color w:val="0000FF"/>
          </w:rPr>
          <w:t>Bank of America, N.A., Mizuho Bank, Ltd., TD Bank, N.A., and Wells Fargo Bank, Natonal Associaton, and the other lenders party thereto</w:t>
        </w:r>
      </w:hyperlink>
      <w:r>
        <w:rPr>
          <w:rFonts w:ascii="Calibri" w:cs="Calibri" w:eastAsia="Calibri" w:hAnsi="Calibri"/>
          <w:sz w:val="18"/>
          <w:szCs w:val="18"/>
          <w:u w:val="single" w:color="auto"/>
          <w:color w:val="0000FF"/>
        </w:rPr>
        <w:t xml:space="preserve"> </w:t>
      </w:r>
      <w:hyperlink r:id="rId623">
        <w:r>
          <w:rPr>
            <w:rFonts w:ascii="Calibri" w:cs="Calibri" w:eastAsia="Calibri" w:hAnsi="Calibri"/>
            <w:sz w:val="18"/>
            <w:szCs w:val="18"/>
            <w:u w:val="single" w:color="auto"/>
            <w:color w:val="0000FF"/>
          </w:rPr>
          <w:t>(incorporated herein by reference to Exhibit 10.1 of Cabot’s Quarterly Report on Form 10-Q for the quarterly period ended June 30, 2021,</w:t>
        </w:r>
      </w:hyperlink>
      <w:r>
        <w:rPr>
          <w:rFonts w:ascii="Calibri" w:cs="Calibri" w:eastAsia="Calibri" w:hAnsi="Calibri"/>
          <w:sz w:val="18"/>
          <w:szCs w:val="18"/>
          <w:u w:val="single" w:color="auto"/>
          <w:color w:val="0000FF"/>
        </w:rPr>
        <w:t xml:space="preserve"> </w:t>
      </w:r>
      <w:hyperlink r:id="rId623">
        <w:r>
          <w:rPr>
            <w:rFonts w:ascii="Calibri" w:cs="Calibri" w:eastAsia="Calibri" w:hAnsi="Calibri"/>
            <w:sz w:val="18"/>
            <w:szCs w:val="18"/>
            <w:u w:val="single" w:color="auto"/>
            <w:color w:val="0000FF"/>
          </w:rPr>
          <w:t>fle reference 1-5667, fled with the SEC on August 9, 2021).</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-428625</wp:posOffset>
            </wp:positionV>
            <wp:extent cx="63715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4">
                      <a:extLst>
                        <a:ext uri="{28A0092B-C50C-407E-A947-70E740481C1C}"/>
                      </a:extLst>
                    </a:blip>
                    <a:srcRect/>
                    <a:stretch>
                      <a:fillRect/>
                    </a:stretch>
                  </pic:blipFill>
                  <pic:spPr bwMode="auto">
                    <a:xfrm>
                      <a:off x="0" y="0"/>
                      <a:ext cx="637159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-291465</wp:posOffset>
            </wp:positionV>
            <wp:extent cx="637032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5">
                      <a:extLst>
                        <a:ext uri="{28A0092B-C50C-407E-A947-70E740481C1C}"/>
                      </a:extLst>
                    </a:blip>
                    <a:srcRect/>
                    <a:stretch>
                      <a:fillRect/>
                    </a:stretch>
                  </pic:blipFill>
                  <pic:spPr bwMode="auto">
                    <a:xfrm>
                      <a:off x="0" y="0"/>
                      <a:ext cx="637032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-154305</wp:posOffset>
            </wp:positionV>
            <wp:extent cx="637540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6">
                      <a:extLst>
                        <a:ext uri="{28A0092B-C50C-407E-A947-70E740481C1C}"/>
                      </a:extLst>
                    </a:blip>
                    <a:srcRect/>
                    <a:stretch>
                      <a:fillRect/>
                    </a:stretch>
                  </pic:blipFill>
                  <pic:spPr bwMode="auto">
                    <a:xfrm>
                      <a:off x="0" y="0"/>
                      <a:ext cx="63754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-17145</wp:posOffset>
            </wp:positionV>
            <wp:extent cx="268668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7">
                      <a:extLst>
                        <a:ext uri="{28A0092B-C50C-407E-A947-70E740481C1C}"/>
                      </a:extLst>
                    </a:blip>
                    <a:srcRect/>
                    <a:stretch>
                      <a:fillRect/>
                    </a:stretch>
                  </pic:blipFill>
                  <pic:spPr bwMode="auto">
                    <a:xfrm>
                      <a:off x="0" y="0"/>
                      <a:ext cx="2686685" cy="8255"/>
                    </a:xfrm>
                    <a:prstGeom prst="rect">
                      <a:avLst/>
                    </a:prstGeom>
                    <a:noFill/>
                  </pic:spPr>
                </pic:pic>
              </a:graphicData>
            </a:graphic>
          </wp:anchor>
        </w:drawing>
      </w:r>
    </w:p>
    <w:p>
      <w:pPr>
        <w:spacing w:after="0" w:line="253" w:lineRule="exact"/>
        <w:rPr>
          <w:rFonts w:ascii="Calibri" w:cs="Calibri" w:eastAsia="Calibri" w:hAnsi="Calibri"/>
          <w:sz w:val="18"/>
          <w:szCs w:val="18"/>
          <w:u w:val="single" w:color="auto"/>
          <w:color w:val="0000FF"/>
        </w:rPr>
      </w:pPr>
    </w:p>
    <w:p>
      <w:pPr>
        <w:jc w:val="both"/>
        <w:spacing w:after="0" w:line="254" w:lineRule="auto"/>
        <w:rPr>
          <w:rFonts w:ascii="Calibri" w:cs="Calibri" w:eastAsia="Calibri" w:hAnsi="Calibri"/>
          <w:sz w:val="17"/>
          <w:szCs w:val="17"/>
          <w:u w:val="single" w:color="auto"/>
          <w:color w:val="0000FF"/>
        </w:rPr>
      </w:pPr>
      <w:hyperlink r:id="rId628">
        <w:r>
          <w:rPr>
            <w:rFonts w:ascii="Calibri" w:cs="Calibri" w:eastAsia="Calibri" w:hAnsi="Calibri"/>
            <w:sz w:val="17"/>
            <w:szCs w:val="17"/>
            <w:u w:val="single" w:color="auto"/>
            <w:color w:val="0000FF"/>
          </w:rPr>
          <w:t>Amendment No. 1, dated as of April 21, 2023, to Credit Agreement dated as of August 6, 2021, by and among Cabot Corporaton, the</w:t>
        </w:r>
      </w:hyperlink>
      <w:r>
        <w:rPr>
          <w:rFonts w:ascii="Calibri" w:cs="Calibri" w:eastAsia="Calibri" w:hAnsi="Calibri"/>
          <w:sz w:val="17"/>
          <w:szCs w:val="17"/>
          <w:u w:val="single" w:color="auto"/>
          <w:color w:val="0000FF"/>
        </w:rPr>
        <w:t xml:space="preserve"> </w:t>
      </w:r>
      <w:hyperlink r:id="rId628">
        <w:r>
          <w:rPr>
            <w:rFonts w:ascii="Calibri" w:cs="Calibri" w:eastAsia="Calibri" w:hAnsi="Calibri"/>
            <w:sz w:val="17"/>
            <w:szCs w:val="17"/>
            <w:u w:val="single" w:color="auto"/>
            <w:color w:val="0000FF"/>
          </w:rPr>
          <w:t>designated borrowers, the lenders party thereto, and the Administratve Agent (incorporated herein by reference to Exhibit 10.1 of Cabot’s</w:t>
        </w:r>
      </w:hyperlink>
      <w:r>
        <w:rPr>
          <w:rFonts w:ascii="Calibri" w:cs="Calibri" w:eastAsia="Calibri" w:hAnsi="Calibri"/>
          <w:sz w:val="17"/>
          <w:szCs w:val="17"/>
          <w:u w:val="single" w:color="auto"/>
          <w:color w:val="0000FF"/>
        </w:rPr>
        <w:t xml:space="preserve"> </w:t>
      </w:r>
      <w:hyperlink r:id="rId628">
        <w:r>
          <w:rPr>
            <w:rFonts w:ascii="Calibri" w:cs="Calibri" w:eastAsia="Calibri" w:hAnsi="Calibri"/>
            <w:sz w:val="17"/>
            <w:szCs w:val="17"/>
            <w:u w:val="single" w:color="auto"/>
            <w:color w:val="0000FF"/>
          </w:rPr>
          <w:t>Quarterly Report on Form 10-Q for the quarterly period ended June 30, 2023, fle reference 1-5667, fled with the SEC on August 8, 2023).</w:t>
        </w:r>
      </w:hyperlink>
    </w:p>
    <w:p>
      <w:pPr>
        <w:spacing w:after="0" w:line="20" w:lineRule="exact"/>
        <w:rPr>
          <w:rFonts w:ascii="Calibri" w:cs="Calibri" w:eastAsia="Calibri" w:hAnsi="Calibri"/>
          <w:sz w:val="17"/>
          <w:szCs w:val="17"/>
          <w:u w:val="single" w:color="auto"/>
          <w:color w:val="0000FF"/>
        </w:rPr>
      </w:pPr>
      <w:r>
        <w:rPr>
          <w:rFonts w:ascii="Calibri" w:cs="Calibri" w:eastAsia="Calibri" w:hAnsi="Calibri"/>
          <w:sz w:val="17"/>
          <w:szCs w:val="17"/>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-300355</wp:posOffset>
            </wp:positionV>
            <wp:extent cx="637032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9">
                      <a:extLst>
                        <a:ext uri="{28A0092B-C50C-407E-A947-70E740481C1C}"/>
                      </a:extLst>
                    </a:blip>
                    <a:srcRect/>
                    <a:stretch>
                      <a:fillRect/>
                    </a:stretch>
                  </pic:blipFill>
                  <pic:spPr bwMode="auto">
                    <a:xfrm>
                      <a:off x="0" y="0"/>
                      <a:ext cx="637032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-163195</wp:posOffset>
            </wp:positionV>
            <wp:extent cx="637603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0">
                      <a:extLst>
                        <a:ext uri="{28A0092B-C50C-407E-A947-70E740481C1C}"/>
                      </a:extLst>
                    </a:blip>
                    <a:srcRect/>
                    <a:stretch>
                      <a:fillRect/>
                    </a:stretch>
                  </pic:blipFill>
                  <pic:spPr bwMode="auto">
                    <a:xfrm>
                      <a:off x="0" y="0"/>
                      <a:ext cx="637603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-26035</wp:posOffset>
            </wp:positionV>
            <wp:extent cx="623570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1">
                      <a:extLst>
                        <a:ext uri="{28A0092B-C50C-407E-A947-70E740481C1C}"/>
                      </a:extLst>
                    </a:blip>
                    <a:srcRect/>
                    <a:stretch>
                      <a:fillRect/>
                    </a:stretch>
                  </pic:blipFill>
                  <pic:spPr bwMode="auto">
                    <a:xfrm>
                      <a:off x="0" y="0"/>
                      <a:ext cx="6235700" cy="8255"/>
                    </a:xfrm>
                    <a:prstGeom prst="rect">
                      <a:avLst/>
                    </a:prstGeom>
                    <a:noFill/>
                  </pic:spPr>
                </pic:pic>
              </a:graphicData>
            </a:graphic>
          </wp:anchor>
        </w:drawing>
      </w:r>
    </w:p>
    <w:p>
      <w:pPr>
        <w:spacing w:after="0" w:line="239" w:lineRule="exact"/>
        <w:rPr>
          <w:rFonts w:ascii="Calibri" w:cs="Calibri" w:eastAsia="Calibri" w:hAnsi="Calibri"/>
          <w:sz w:val="17"/>
          <w:szCs w:val="17"/>
          <w:u w:val="single" w:color="auto"/>
          <w:color w:val="0000FF"/>
        </w:rPr>
      </w:pPr>
    </w:p>
    <w:p>
      <w:pPr>
        <w:jc w:val="both"/>
        <w:spacing w:after="0" w:line="254" w:lineRule="auto"/>
        <w:rPr>
          <w:rFonts w:ascii="Calibri" w:cs="Calibri" w:eastAsia="Calibri" w:hAnsi="Calibri"/>
          <w:sz w:val="17"/>
          <w:szCs w:val="17"/>
          <w:u w:val="single" w:color="auto"/>
          <w:color w:val="0000FF"/>
        </w:rPr>
      </w:pPr>
      <w:hyperlink r:id="rId632">
        <w:r>
          <w:rPr>
            <w:rFonts w:ascii="Calibri" w:cs="Calibri" w:eastAsia="Calibri" w:hAnsi="Calibri"/>
            <w:sz w:val="17"/>
            <w:szCs w:val="17"/>
            <w:u w:val="single" w:color="auto"/>
            <w:color w:val="0000FF"/>
          </w:rPr>
          <w:t>Amendment No. 2, dated as of July 27, 2023, to Credit Agreement dated as of August 6, 2021, by and among Cabot Corporaton, the</w:t>
        </w:r>
      </w:hyperlink>
      <w:r>
        <w:rPr>
          <w:rFonts w:ascii="Calibri" w:cs="Calibri" w:eastAsia="Calibri" w:hAnsi="Calibri"/>
          <w:sz w:val="17"/>
          <w:szCs w:val="17"/>
          <w:u w:val="single" w:color="auto"/>
          <w:color w:val="0000FF"/>
        </w:rPr>
        <w:t xml:space="preserve"> </w:t>
      </w:r>
      <w:hyperlink r:id="rId632">
        <w:r>
          <w:rPr>
            <w:rFonts w:ascii="Calibri" w:cs="Calibri" w:eastAsia="Calibri" w:hAnsi="Calibri"/>
            <w:sz w:val="17"/>
            <w:szCs w:val="17"/>
            <w:u w:val="single" w:color="auto"/>
            <w:color w:val="0000FF"/>
          </w:rPr>
          <w:t>designated borrowers, the lenders party thereto, and the Administratve Agent (incorporated herein by reference to Exhibit 10.2 of Cabot’s</w:t>
        </w:r>
      </w:hyperlink>
      <w:r>
        <w:rPr>
          <w:rFonts w:ascii="Calibri" w:cs="Calibri" w:eastAsia="Calibri" w:hAnsi="Calibri"/>
          <w:sz w:val="17"/>
          <w:szCs w:val="17"/>
          <w:u w:val="single" w:color="auto"/>
          <w:color w:val="0000FF"/>
        </w:rPr>
        <w:t xml:space="preserve"> </w:t>
      </w:r>
      <w:hyperlink r:id="rId632">
        <w:r>
          <w:rPr>
            <w:rFonts w:ascii="Calibri" w:cs="Calibri" w:eastAsia="Calibri" w:hAnsi="Calibri"/>
            <w:sz w:val="17"/>
            <w:szCs w:val="17"/>
            <w:u w:val="single" w:color="auto"/>
            <w:color w:val="0000FF"/>
          </w:rPr>
          <w:t>Quarterly Report on Form 10-Q for the quarterly period ended June 30, 2023, fle reference 1-5667, fled with the SEC on August 8, 2023).</w:t>
        </w:r>
      </w:hyperlink>
    </w:p>
    <w:p>
      <w:pPr>
        <w:spacing w:after="0" w:line="20" w:lineRule="exact"/>
        <w:rPr>
          <w:rFonts w:ascii="Calibri" w:cs="Calibri" w:eastAsia="Calibri" w:hAnsi="Calibri"/>
          <w:sz w:val="17"/>
          <w:szCs w:val="17"/>
          <w:u w:val="single" w:color="auto"/>
          <w:color w:val="0000FF"/>
        </w:rPr>
      </w:pPr>
      <w:r>
        <w:rPr>
          <w:rFonts w:ascii="Calibri" w:cs="Calibri" w:eastAsia="Calibri" w:hAnsi="Calibri"/>
          <w:sz w:val="17"/>
          <w:szCs w:val="17"/>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-300355</wp:posOffset>
            </wp:positionV>
            <wp:extent cx="637032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3">
                      <a:extLst>
                        <a:ext uri="{28A0092B-C50C-407E-A947-70E740481C1C}"/>
                      </a:extLst>
                    </a:blip>
                    <a:srcRect/>
                    <a:stretch>
                      <a:fillRect/>
                    </a:stretch>
                  </pic:blipFill>
                  <pic:spPr bwMode="auto">
                    <a:xfrm>
                      <a:off x="0" y="0"/>
                      <a:ext cx="637032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-163195</wp:posOffset>
            </wp:positionV>
            <wp:extent cx="637603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4">
                      <a:extLst>
                        <a:ext uri="{28A0092B-C50C-407E-A947-70E740481C1C}"/>
                      </a:extLst>
                    </a:blip>
                    <a:srcRect/>
                    <a:stretch>
                      <a:fillRect/>
                    </a:stretch>
                  </pic:blipFill>
                  <pic:spPr bwMode="auto">
                    <a:xfrm>
                      <a:off x="0" y="0"/>
                      <a:ext cx="637603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-26035</wp:posOffset>
            </wp:positionV>
            <wp:extent cx="626110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5">
                      <a:extLst>
                        <a:ext uri="{28A0092B-C50C-407E-A947-70E740481C1C}"/>
                      </a:extLst>
                    </a:blip>
                    <a:srcRect/>
                    <a:stretch>
                      <a:fillRect/>
                    </a:stretch>
                  </pic:blipFill>
                  <pic:spPr bwMode="auto">
                    <a:xfrm>
                      <a:off x="0" y="0"/>
                      <a:ext cx="6261100" cy="8255"/>
                    </a:xfrm>
                    <a:prstGeom prst="rect">
                      <a:avLst/>
                    </a:prstGeom>
                    <a:noFill/>
                  </pic:spPr>
                </pic:pic>
              </a:graphicData>
            </a:graphic>
          </wp:anchor>
        </w:drawing>
      </w:r>
    </w:p>
    <w:p>
      <w:pPr>
        <w:spacing w:after="0" w:line="239" w:lineRule="exact"/>
        <w:rPr>
          <w:rFonts w:ascii="Calibri" w:cs="Calibri" w:eastAsia="Calibri" w:hAnsi="Calibri"/>
          <w:sz w:val="17"/>
          <w:szCs w:val="17"/>
          <w:u w:val="single" w:color="auto"/>
          <w:color w:val="0000FF"/>
        </w:rPr>
      </w:pPr>
    </w:p>
    <w:p>
      <w:pPr>
        <w:jc w:val="both"/>
        <w:spacing w:after="0" w:line="235" w:lineRule="auto"/>
        <w:rPr>
          <w:sz w:val="20"/>
          <w:szCs w:val="20"/>
          <w:color w:val="auto"/>
        </w:rPr>
      </w:pPr>
      <w:r>
        <w:rPr>
          <w:rFonts w:ascii="Calibri" w:cs="Calibri" w:eastAsia="Calibri" w:hAnsi="Calibri"/>
          <w:sz w:val="18"/>
          <w:szCs w:val="18"/>
          <w:u w:val="single" w:color="auto"/>
          <w:color w:val="0000FF"/>
        </w:rPr>
        <w:t>Amendment No. 3, dated as of October 4, 2023, to Credit Agreement dated as of August 6, 2021, by and among Cabot Corporaton, the designated borrowers, the lenders party thereto, and the Administratve Agent.</w:t>
      </w:r>
    </w:p>
    <w:p>
      <w:pPr>
        <w:spacing w:after="0" w:line="20" w:lineRule="exact"/>
        <w:rPr>
          <w:rFonts w:ascii="Calibri" w:cs="Calibri" w:eastAsia="Calibri" w:hAnsi="Calibri"/>
          <w:sz w:val="17"/>
          <w:szCs w:val="17"/>
          <w:u w:val="single" w:color="auto"/>
          <w:color w:val="0000FF"/>
        </w:rPr>
      </w:pPr>
      <w:r>
        <w:rPr>
          <w:rFonts w:ascii="Calibri" w:cs="Calibri" w:eastAsia="Calibri" w:hAnsi="Calibri"/>
          <w:sz w:val="17"/>
          <w:szCs w:val="17"/>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63754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6">
                      <a:extLst>
                        <a:ext uri="{28A0092B-C50C-407E-A947-70E740481C1C}"/>
                      </a:extLst>
                    </a:blip>
                    <a:srcRect/>
                    <a:stretch>
                      <a:fillRect/>
                    </a:stretch>
                  </pic:blipFill>
                  <pic:spPr bwMode="auto">
                    <a:xfrm>
                      <a:off x="0" y="0"/>
                      <a:ext cx="637540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wp:posOffset>
            </wp:positionV>
            <wp:extent cx="357822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7">
                      <a:extLst>
                        <a:ext uri="{28A0092B-C50C-407E-A947-70E740481C1C}"/>
                      </a:extLst>
                    </a:blip>
                    <a:srcRect/>
                    <a:stretch>
                      <a:fillRect/>
                    </a:stretch>
                  </pic:blipFill>
                  <pic:spPr bwMode="auto">
                    <a:xfrm>
                      <a:off x="0" y="0"/>
                      <a:ext cx="3578225" cy="8255"/>
                    </a:xfrm>
                    <a:prstGeom prst="rect">
                      <a:avLst/>
                    </a:prstGeom>
                    <a:noFill/>
                  </pic:spPr>
                </pic:pic>
              </a:graphicData>
            </a:graphic>
          </wp:anchor>
        </w:drawing>
      </w:r>
    </w:p>
    <w:p>
      <w:pPr>
        <w:spacing w:after="0" w:line="252" w:lineRule="exact"/>
        <w:rPr>
          <w:rFonts w:ascii="Calibri" w:cs="Calibri" w:eastAsia="Calibri" w:hAnsi="Calibri"/>
          <w:sz w:val="17"/>
          <w:szCs w:val="17"/>
          <w:u w:val="single" w:color="auto"/>
          <w:color w:val="0000FF"/>
        </w:rPr>
      </w:pPr>
    </w:p>
    <w:p>
      <w:pPr>
        <w:jc w:val="both"/>
        <w:spacing w:after="0" w:line="235" w:lineRule="auto"/>
        <w:rPr>
          <w:rFonts w:ascii="Calibri" w:cs="Calibri" w:eastAsia="Calibri" w:hAnsi="Calibri"/>
          <w:sz w:val="18"/>
          <w:szCs w:val="18"/>
          <w:u w:val="single" w:color="auto"/>
          <w:color w:val="0000FF"/>
        </w:rPr>
      </w:pPr>
      <w:hyperlink r:id="rId638">
        <w:r>
          <w:rPr>
            <w:rFonts w:ascii="Calibri" w:cs="Calibri" w:eastAsia="Calibri" w:hAnsi="Calibri"/>
            <w:sz w:val="18"/>
            <w:szCs w:val="18"/>
            <w:u w:val="single" w:color="auto"/>
            <w:color w:val="0000FF"/>
          </w:rPr>
          <w:t>Credit Agreement, dated as of May 18, 2023, among certain subsidiaries of Cabot Corporaton, guaranteed by Cabot Corporaton, PNC Bank,</w:t>
        </w:r>
      </w:hyperlink>
      <w:r>
        <w:rPr>
          <w:rFonts w:ascii="Calibri" w:cs="Calibri" w:eastAsia="Calibri" w:hAnsi="Calibri"/>
          <w:sz w:val="18"/>
          <w:szCs w:val="18"/>
          <w:u w:val="single" w:color="auto"/>
          <w:color w:val="0000FF"/>
        </w:rPr>
        <w:t xml:space="preserve"> </w:t>
      </w:r>
      <w:hyperlink r:id="rId638">
        <w:r>
          <w:rPr>
            <w:rFonts w:ascii="Calibri" w:cs="Calibri" w:eastAsia="Calibri" w:hAnsi="Calibri"/>
            <w:sz w:val="18"/>
            <w:szCs w:val="18"/>
            <w:u w:val="single" w:color="auto"/>
            <w:color w:val="0000FF"/>
          </w:rPr>
          <w:t>Natonal Associaton, ING Bank. N.V., Dublin branch, U.S. Bank Natonal Associaton, and Mizuho Bank, Ltd. (incorporated herein by reference</w:t>
        </w:r>
      </w:hyperlink>
      <w:r>
        <w:rPr>
          <w:rFonts w:ascii="Calibri" w:cs="Calibri" w:eastAsia="Calibri" w:hAnsi="Calibri"/>
          <w:sz w:val="18"/>
          <w:szCs w:val="18"/>
          <w:u w:val="single" w:color="auto"/>
          <w:color w:val="0000FF"/>
        </w:rPr>
        <w:t xml:space="preserve"> </w:t>
      </w:r>
      <w:hyperlink r:id="rId638">
        <w:r>
          <w:rPr>
            <w:rFonts w:ascii="Calibri" w:cs="Calibri" w:eastAsia="Calibri" w:hAnsi="Calibri"/>
            <w:sz w:val="18"/>
            <w:szCs w:val="18"/>
            <w:u w:val="single" w:color="auto"/>
            <w:color w:val="0000FF"/>
          </w:rPr>
          <w:t>to Exhibit 10.3 of Cabot’s Quarterly Report on Form 10-Q for the quarterly period ended June 30, 2023, fle reference 1-5667, fled with the</w:t>
        </w:r>
      </w:hyperlink>
      <w:r>
        <w:rPr>
          <w:rFonts w:ascii="Calibri" w:cs="Calibri" w:eastAsia="Calibri" w:hAnsi="Calibri"/>
          <w:sz w:val="18"/>
          <w:szCs w:val="18"/>
          <w:u w:val="single" w:color="auto"/>
          <w:color w:val="0000FF"/>
        </w:rPr>
        <w:t xml:space="preserve"> </w:t>
      </w:r>
      <w:hyperlink r:id="rId638">
        <w:r>
          <w:rPr>
            <w:rFonts w:ascii="Calibri" w:cs="Calibri" w:eastAsia="Calibri" w:hAnsi="Calibri"/>
            <w:sz w:val="18"/>
            <w:szCs w:val="18"/>
            <w:u w:val="single" w:color="auto"/>
            <w:color w:val="0000FF"/>
          </w:rPr>
          <w:t>SEC on August 8, 2023).</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-428625</wp:posOffset>
            </wp:positionV>
            <wp:extent cx="636968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9">
                      <a:extLst>
                        <a:ext uri="{28A0092B-C50C-407E-A947-70E740481C1C}"/>
                      </a:extLst>
                    </a:blip>
                    <a:srcRect/>
                    <a:stretch>
                      <a:fillRect/>
                    </a:stretch>
                  </pic:blipFill>
                  <pic:spPr bwMode="auto">
                    <a:xfrm>
                      <a:off x="0" y="0"/>
                      <a:ext cx="636968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-291465</wp:posOffset>
            </wp:positionV>
            <wp:extent cx="637413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0">
                      <a:extLst>
                        <a:ext uri="{28A0092B-C50C-407E-A947-70E740481C1C}"/>
                      </a:extLst>
                    </a:blip>
                    <a:srcRect/>
                    <a:stretch>
                      <a:fillRect/>
                    </a:stretch>
                  </pic:blipFill>
                  <pic:spPr bwMode="auto">
                    <a:xfrm>
                      <a:off x="0" y="0"/>
                      <a:ext cx="637413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-154305</wp:posOffset>
            </wp:positionV>
            <wp:extent cx="63754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1">
                      <a:extLst>
                        <a:ext uri="{28A0092B-C50C-407E-A947-70E740481C1C}"/>
                      </a:extLst>
                    </a:blip>
                    <a:srcRect/>
                    <a:stretch>
                      <a:fillRect/>
                    </a:stretch>
                  </pic:blipFill>
                  <pic:spPr bwMode="auto">
                    <a:xfrm>
                      <a:off x="0" y="0"/>
                      <a:ext cx="637540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-17145</wp:posOffset>
            </wp:positionV>
            <wp:extent cx="111760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2">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spacing w:after="0" w:line="361" w:lineRule="exact"/>
        <w:rPr>
          <w:rFonts w:ascii="Calibri" w:cs="Calibri" w:eastAsia="Calibri" w:hAnsi="Calibri"/>
          <w:sz w:val="18"/>
          <w:szCs w:val="18"/>
          <w:u w:val="single" w:color="auto"/>
          <w:color w:val="0000FF"/>
        </w:rPr>
      </w:pPr>
    </w:p>
    <w:p>
      <w:pPr>
        <w:spacing w:after="0"/>
        <w:rPr>
          <w:rFonts w:ascii="Calibri" w:cs="Calibri" w:eastAsia="Calibri" w:hAnsi="Calibri"/>
          <w:sz w:val="17"/>
          <w:szCs w:val="17"/>
          <w:color w:val="auto"/>
        </w:rPr>
      </w:pPr>
      <w:hyperlink r:id="rId643">
        <w:r>
          <w:rPr>
            <w:rFonts w:ascii="Calibri" w:cs="Calibri" w:eastAsia="Calibri" w:hAnsi="Calibri"/>
            <w:sz w:val="17"/>
            <w:szCs w:val="17"/>
            <w:color w:val="auto"/>
          </w:rPr>
          <w:t>2009 Long-Term Incentve Plan (incorporated herein by reference to Appendix B of Cabot’s Proxy Statement on Schedule 14A relatng to the</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-13970</wp:posOffset>
            </wp:positionV>
            <wp:extent cx="63709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4">
                      <a:extLst>
                        <a:ext uri="{28A0092B-C50C-407E-A947-70E740481C1C}"/>
                      </a:extLst>
                    </a:blip>
                    <a:srcRect/>
                    <a:stretch>
                      <a:fillRect/>
                    </a:stretch>
                  </pic:blipFill>
                  <pic:spPr bwMode="auto">
                    <a:xfrm>
                      <a:off x="0" y="0"/>
                      <a:ext cx="6370955" cy="8255"/>
                    </a:xfrm>
                    <a:prstGeom prst="rect">
                      <a:avLst/>
                    </a:prstGeom>
                    <a:noFill/>
                  </pic:spPr>
                </pic:pic>
              </a:graphicData>
            </a:graphic>
          </wp:anchor>
        </w:drawing>
      </w:r>
    </w:p>
    <w:p>
      <w:pPr>
        <w:spacing w:after="0"/>
        <w:rPr>
          <w:rFonts w:ascii="Calibri" w:cs="Calibri" w:eastAsia="Calibri" w:hAnsi="Calibri"/>
          <w:sz w:val="18"/>
          <w:szCs w:val="18"/>
          <w:color w:val="auto"/>
        </w:rPr>
      </w:pPr>
      <w:hyperlink r:id="rId643">
        <w:r>
          <w:rPr>
            <w:rFonts w:ascii="Calibri" w:cs="Calibri" w:eastAsia="Calibri" w:hAnsi="Calibri"/>
            <w:sz w:val="18"/>
            <w:szCs w:val="18"/>
            <w:color w:val="auto"/>
          </w:rPr>
          <w:t>2012 Annual Meetng of Stockholders, fle reference 1-5667, fled with the SEC on January 30, 2012).</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-19050</wp:posOffset>
            </wp:positionV>
            <wp:extent cx="450215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5">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346" w:lineRule="exact"/>
        <w:rPr>
          <w:rFonts w:ascii="Calibri" w:cs="Calibri" w:eastAsia="Calibri" w:hAnsi="Calibri"/>
          <w:sz w:val="18"/>
          <w:szCs w:val="18"/>
          <w:u w:val="single" w:color="auto"/>
          <w:color w:val="0000FF"/>
        </w:rPr>
      </w:pPr>
    </w:p>
    <w:p>
      <w:pPr>
        <w:jc w:val="both"/>
        <w:spacing w:after="0" w:line="235" w:lineRule="auto"/>
        <w:rPr>
          <w:rFonts w:ascii="Calibri" w:cs="Calibri" w:eastAsia="Calibri" w:hAnsi="Calibri"/>
          <w:sz w:val="18"/>
          <w:szCs w:val="18"/>
          <w:color w:val="auto"/>
        </w:rPr>
      </w:pPr>
      <w:hyperlink r:id="rId646">
        <w:r>
          <w:rPr>
            <w:rFonts w:ascii="Calibri" w:cs="Calibri" w:eastAsia="Calibri" w:hAnsi="Calibri"/>
            <w:sz w:val="18"/>
            <w:szCs w:val="18"/>
            <w:color w:val="auto"/>
          </w:rPr>
          <w:t>2017 Long-Term Incentve Plan (incorporated herein by reference to Exhibit 10.1 of Cabot’s Quarterly Report on Form 10-Q for the quarterly</w:t>
        </w:r>
      </w:hyperlink>
      <w:r>
        <w:rPr>
          <w:rFonts w:ascii="Calibri" w:cs="Calibri" w:eastAsia="Calibri" w:hAnsi="Calibri"/>
          <w:sz w:val="18"/>
          <w:szCs w:val="18"/>
          <w:color w:val="auto"/>
        </w:rPr>
        <w:t xml:space="preserve"> </w:t>
      </w:r>
      <w:hyperlink r:id="rId646">
        <w:r>
          <w:rPr>
            <w:rFonts w:ascii="Calibri" w:cs="Calibri" w:eastAsia="Calibri" w:hAnsi="Calibri"/>
            <w:sz w:val="18"/>
            <w:szCs w:val="18"/>
            <w:color w:val="auto"/>
          </w:rPr>
          <w:t>period ended March 31, 2017, fle reference 1-5667, fled with the SEC on May 8,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637603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7">
                      <a:extLst>
                        <a:ext uri="{28A0092B-C50C-407E-A947-70E740481C1C}"/>
                      </a:extLst>
                    </a:blip>
                    <a:srcRect/>
                    <a:stretch>
                      <a:fillRect/>
                    </a:stretch>
                  </pic:blipFill>
                  <pic:spPr bwMode="auto">
                    <a:xfrm>
                      <a:off x="0" y="0"/>
                      <a:ext cx="637603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wp:posOffset>
            </wp:positionV>
            <wp:extent cx="396367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8">
                      <a:extLst>
                        <a:ext uri="{28A0092B-C50C-407E-A947-70E740481C1C}"/>
                      </a:extLst>
                    </a:blip>
                    <a:srcRect/>
                    <a:stretch>
                      <a:fillRect/>
                    </a:stretch>
                  </pic:blipFill>
                  <pic:spPr bwMode="auto">
                    <a:xfrm>
                      <a:off x="0" y="0"/>
                      <a:ext cx="3963670" cy="8255"/>
                    </a:xfrm>
                    <a:prstGeom prst="rect">
                      <a:avLst/>
                    </a:prstGeom>
                    <a:noFill/>
                  </pic:spPr>
                </pic:pic>
              </a:graphicData>
            </a:graphic>
          </wp:anchor>
        </w:drawing>
      </w:r>
    </w:p>
    <w:p>
      <w:pPr>
        <w:spacing w:after="0" w:line="252" w:lineRule="exact"/>
        <w:rPr>
          <w:sz w:val="20"/>
          <w:szCs w:val="20"/>
          <w:color w:val="auto"/>
        </w:rPr>
      </w:pPr>
    </w:p>
    <w:p>
      <w:pPr>
        <w:jc w:val="both"/>
        <w:spacing w:after="0" w:line="235" w:lineRule="auto"/>
        <w:rPr>
          <w:rFonts w:ascii="Calibri" w:cs="Calibri" w:eastAsia="Calibri" w:hAnsi="Calibri"/>
          <w:sz w:val="18"/>
          <w:szCs w:val="18"/>
          <w:color w:val="auto"/>
        </w:rPr>
      </w:pPr>
      <w:hyperlink r:id="rId649">
        <w:r>
          <w:rPr>
            <w:rFonts w:ascii="Calibri" w:cs="Calibri" w:eastAsia="Calibri" w:hAnsi="Calibri"/>
            <w:sz w:val="18"/>
            <w:szCs w:val="18"/>
            <w:color w:val="auto"/>
          </w:rPr>
          <w:t>Amended and Restated 2017 Long-Term Incentve Plan (incorporated herein by reference to Exhibit 10.1 of Cabot’s Quarterly Report on Form</w:t>
        </w:r>
      </w:hyperlink>
      <w:r>
        <w:rPr>
          <w:rFonts w:ascii="Calibri" w:cs="Calibri" w:eastAsia="Calibri" w:hAnsi="Calibri"/>
          <w:sz w:val="18"/>
          <w:szCs w:val="18"/>
          <w:color w:val="auto"/>
        </w:rPr>
        <w:t xml:space="preserve"> </w:t>
      </w:r>
      <w:hyperlink r:id="rId649">
        <w:r>
          <w:rPr>
            <w:rFonts w:ascii="Calibri" w:cs="Calibri" w:eastAsia="Calibri" w:hAnsi="Calibri"/>
            <w:sz w:val="18"/>
            <w:szCs w:val="18"/>
            <w:color w:val="auto"/>
          </w:rPr>
          <w:t>10-Q for the quarterly period ended March 31, 2021, fle reference 1-5667, fled with the SEC on May 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637730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0">
                      <a:extLst>
                        <a:ext uri="{28A0092B-C50C-407E-A947-70E740481C1C}"/>
                      </a:extLst>
                    </a:blip>
                    <a:srcRect/>
                    <a:stretch>
                      <a:fillRect/>
                    </a:stretch>
                  </pic:blipFill>
                  <pic:spPr bwMode="auto">
                    <a:xfrm>
                      <a:off x="0" y="0"/>
                      <a:ext cx="637730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wp:posOffset>
            </wp:positionV>
            <wp:extent cx="49834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1">
                      <a:extLst>
                        <a:ext uri="{28A0092B-C50C-407E-A947-70E740481C1C}"/>
                      </a:extLst>
                    </a:blip>
                    <a:srcRect/>
                    <a:stretch>
                      <a:fillRect/>
                    </a:stretch>
                  </pic:blipFill>
                  <pic:spPr bwMode="auto">
                    <a:xfrm>
                      <a:off x="0" y="0"/>
                      <a:ext cx="4983480" cy="8255"/>
                    </a:xfrm>
                    <a:prstGeom prst="rect">
                      <a:avLst/>
                    </a:prstGeom>
                    <a:noFill/>
                  </pic:spPr>
                </pic:pic>
              </a:graphicData>
            </a:graphic>
          </wp:anchor>
        </w:drawing>
      </w:r>
    </w:p>
    <w:p>
      <w:pPr>
        <w:spacing w:after="0" w:line="252" w:lineRule="exact"/>
        <w:rPr>
          <w:sz w:val="20"/>
          <w:szCs w:val="20"/>
          <w:color w:val="auto"/>
        </w:rPr>
      </w:pPr>
    </w:p>
    <w:p>
      <w:pPr>
        <w:jc w:val="both"/>
        <w:spacing w:after="0" w:line="235" w:lineRule="auto"/>
        <w:rPr>
          <w:rFonts w:ascii="Calibri" w:cs="Calibri" w:eastAsia="Calibri" w:hAnsi="Calibri"/>
          <w:sz w:val="18"/>
          <w:szCs w:val="18"/>
          <w:color w:val="auto"/>
        </w:rPr>
      </w:pPr>
      <w:hyperlink r:id="rId652">
        <w:r>
          <w:rPr>
            <w:rFonts w:ascii="Calibri" w:cs="Calibri" w:eastAsia="Calibri" w:hAnsi="Calibri"/>
            <w:sz w:val="18"/>
            <w:szCs w:val="18"/>
            <w:color w:val="auto"/>
          </w:rPr>
          <w:t>2015 Directors’ Stock Compensaton Plan (incorporated herein by reference to Appendix B of Cabot’s Proxy Statement on Schedule 14A</w:t>
        </w:r>
      </w:hyperlink>
      <w:r>
        <w:rPr>
          <w:rFonts w:ascii="Calibri" w:cs="Calibri" w:eastAsia="Calibri" w:hAnsi="Calibri"/>
          <w:sz w:val="18"/>
          <w:szCs w:val="18"/>
          <w:color w:val="auto"/>
        </w:rPr>
        <w:t xml:space="preserve"> </w:t>
      </w:r>
      <w:hyperlink r:id="rId652">
        <w:r>
          <w:rPr>
            <w:rFonts w:ascii="Calibri" w:cs="Calibri" w:eastAsia="Calibri" w:hAnsi="Calibri"/>
            <w:sz w:val="18"/>
            <w:szCs w:val="18"/>
            <w:color w:val="auto"/>
          </w:rPr>
          <w:t>relatng to the 2015 Annual Meetng of Stockholders, fle reference 1-5667, fled with the SEC on January 28,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637222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3">
                      <a:extLst>
                        <a:ext uri="{28A0092B-C50C-407E-A947-70E740481C1C}"/>
                      </a:extLst>
                    </a:blip>
                    <a:srcRect/>
                    <a:stretch>
                      <a:fillRect/>
                    </a:stretch>
                  </pic:blipFill>
                  <pic:spPr bwMode="auto">
                    <a:xfrm>
                      <a:off x="0" y="0"/>
                      <a:ext cx="637222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wp:posOffset>
            </wp:positionV>
            <wp:extent cx="519557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4">
                      <a:extLst>
                        <a:ext uri="{28A0092B-C50C-407E-A947-70E740481C1C}"/>
                      </a:extLst>
                    </a:blip>
                    <a:srcRect/>
                    <a:stretch>
                      <a:fillRect/>
                    </a:stretch>
                  </pic:blipFill>
                  <pic:spPr bwMode="auto">
                    <a:xfrm>
                      <a:off x="0" y="0"/>
                      <a:ext cx="5195570" cy="8890"/>
                    </a:xfrm>
                    <a:prstGeom prst="rect">
                      <a:avLst/>
                    </a:prstGeom>
                    <a:noFill/>
                  </pic:spPr>
                </pic:pic>
              </a:graphicData>
            </a:graphic>
          </wp:anchor>
        </w:drawing>
      </w:r>
    </w:p>
    <w:p>
      <w:pPr>
        <w:spacing w:after="0" w:line="252" w:lineRule="exact"/>
        <w:rPr>
          <w:sz w:val="20"/>
          <w:szCs w:val="20"/>
          <w:color w:val="auto"/>
        </w:rPr>
      </w:pPr>
    </w:p>
    <w:p>
      <w:pPr>
        <w:jc w:val="both"/>
        <w:spacing w:after="0" w:line="235" w:lineRule="auto"/>
        <w:rPr>
          <w:rFonts w:ascii="Calibri" w:cs="Calibri" w:eastAsia="Calibri" w:hAnsi="Calibri"/>
          <w:sz w:val="18"/>
          <w:szCs w:val="18"/>
          <w:color w:val="auto"/>
        </w:rPr>
      </w:pPr>
      <w:hyperlink r:id="rId655">
        <w:r>
          <w:rPr>
            <w:rFonts w:ascii="Calibri" w:cs="Calibri" w:eastAsia="Calibri" w:hAnsi="Calibri"/>
            <w:sz w:val="18"/>
            <w:szCs w:val="18"/>
            <w:color w:val="auto"/>
          </w:rPr>
          <w:t>Cabot Corporaton 2018 Short-Term Incentve Compensaton Plan (incorporated herein by reference to Exhibit 10.1 of Cabot’s Quarterly</w:t>
        </w:r>
      </w:hyperlink>
      <w:r>
        <w:rPr>
          <w:rFonts w:ascii="Calibri" w:cs="Calibri" w:eastAsia="Calibri" w:hAnsi="Calibri"/>
          <w:sz w:val="18"/>
          <w:szCs w:val="18"/>
          <w:color w:val="auto"/>
        </w:rPr>
        <w:t xml:space="preserve"> </w:t>
      </w:r>
      <w:hyperlink r:id="rId655">
        <w:r>
          <w:rPr>
            <w:rFonts w:ascii="Calibri" w:cs="Calibri" w:eastAsia="Calibri" w:hAnsi="Calibri"/>
            <w:sz w:val="18"/>
            <w:szCs w:val="18"/>
            <w:color w:val="auto"/>
          </w:rPr>
          <w:t>Report on Form 10-Q for the quarterly period ended December 31, 2018, fle reference 1-5667, fled with the SEC on February 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637413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6">
                      <a:extLst>
                        <a:ext uri="{28A0092B-C50C-407E-A947-70E740481C1C}"/>
                      </a:extLst>
                    </a:blip>
                    <a:srcRect/>
                    <a:stretch>
                      <a:fillRect/>
                    </a:stretch>
                  </pic:blipFill>
                  <pic:spPr bwMode="auto">
                    <a:xfrm>
                      <a:off x="0" y="0"/>
                      <a:ext cx="637413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wp:posOffset>
            </wp:positionV>
            <wp:extent cx="610362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7">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252" w:lineRule="exact"/>
        <w:rPr>
          <w:sz w:val="20"/>
          <w:szCs w:val="20"/>
          <w:color w:val="auto"/>
        </w:rPr>
      </w:pPr>
    </w:p>
    <w:p>
      <w:pPr>
        <w:jc w:val="both"/>
        <w:spacing w:after="0" w:line="235" w:lineRule="auto"/>
        <w:rPr>
          <w:rFonts w:ascii="Calibri" w:cs="Calibri" w:eastAsia="Calibri" w:hAnsi="Calibri"/>
          <w:sz w:val="18"/>
          <w:szCs w:val="18"/>
          <w:color w:val="auto"/>
        </w:rPr>
      </w:pPr>
      <w:hyperlink r:id="rId658">
        <w:r>
          <w:rPr>
            <w:rFonts w:ascii="Calibri" w:cs="Calibri" w:eastAsia="Calibri" w:hAnsi="Calibri"/>
            <w:sz w:val="18"/>
            <w:szCs w:val="18"/>
            <w:color w:val="auto"/>
          </w:rPr>
          <w:t>Cabot Corporaton Amended and Restated Senior Management Severance Protecton Plan, dated March 9, 2012 (incorporated herein by</w:t>
        </w:r>
      </w:hyperlink>
      <w:r>
        <w:rPr>
          <w:rFonts w:ascii="Calibri" w:cs="Calibri" w:eastAsia="Calibri" w:hAnsi="Calibri"/>
          <w:sz w:val="18"/>
          <w:szCs w:val="18"/>
          <w:color w:val="auto"/>
        </w:rPr>
        <w:t xml:space="preserve"> </w:t>
      </w:r>
      <w:hyperlink r:id="rId658">
        <w:r>
          <w:rPr>
            <w:rFonts w:ascii="Calibri" w:cs="Calibri" w:eastAsia="Calibri" w:hAnsi="Calibri"/>
            <w:sz w:val="18"/>
            <w:szCs w:val="18"/>
            <w:color w:val="auto"/>
          </w:rPr>
          <w:t>reference to Exhibit 10.5 of Cabot’s Quarterly Report on Form 10-Q for the quarterly period ended March 31, 2012, fle reference 1-5667,</w:t>
        </w:r>
      </w:hyperlink>
      <w:r>
        <w:rPr>
          <w:rFonts w:ascii="Calibri" w:cs="Calibri" w:eastAsia="Calibri" w:hAnsi="Calibri"/>
          <w:sz w:val="18"/>
          <w:szCs w:val="18"/>
          <w:color w:val="auto"/>
        </w:rPr>
        <w:t xml:space="preserve"> </w:t>
      </w:r>
      <w:hyperlink r:id="rId658">
        <w:r>
          <w:rPr>
            <w:rFonts w:ascii="Calibri" w:cs="Calibri" w:eastAsia="Calibri" w:hAnsi="Calibri"/>
            <w:sz w:val="18"/>
            <w:szCs w:val="18"/>
            <w:color w:val="auto"/>
          </w:rPr>
          <w:t>fled with the SEC on May 7, 2012).</w:t>
        </w:r>
      </w:hyperlink>
    </w:p>
    <w:p>
      <w:pPr>
        <w:spacing w:after="0" w:line="20" w:lineRule="exact"/>
        <w:rPr>
          <w:rFonts w:ascii="Calibri" w:cs="Calibri" w:eastAsia="Calibri" w:hAnsi="Calibri"/>
          <w:sz w:val="18"/>
          <w:szCs w:val="18"/>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column">
              <wp:posOffset>1270</wp:posOffset>
            </wp:positionH>
            <wp:positionV relativeFrom="paragraph">
              <wp:posOffset>-292100</wp:posOffset>
            </wp:positionV>
            <wp:extent cx="637222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9">
                      <a:extLst>
                        <a:ext uri="{28A0092B-C50C-407E-A947-70E740481C1C}"/>
                      </a:extLst>
                    </a:blip>
                    <a:srcRect/>
                    <a:stretch>
                      <a:fillRect/>
                    </a:stretch>
                  </pic:blipFill>
                  <pic:spPr bwMode="auto">
                    <a:xfrm>
                      <a:off x="0" y="0"/>
                      <a:ext cx="637222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-154940</wp:posOffset>
            </wp:positionV>
            <wp:extent cx="637603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0">
                      <a:extLst>
                        <a:ext uri="{28A0092B-C50C-407E-A947-70E740481C1C}"/>
                      </a:extLst>
                    </a:blip>
                    <a:srcRect/>
                    <a:stretch>
                      <a:fillRect/>
                    </a:stretch>
                  </pic:blipFill>
                  <pic:spPr bwMode="auto">
                    <a:xfrm>
                      <a:off x="0" y="0"/>
                      <a:ext cx="637603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157734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rFonts w:ascii="Calibri" w:cs="Calibri" w:eastAsia="Calibri" w:hAnsi="Calibri"/>
          <w:sz w:val="18"/>
          <w:szCs w:val="18"/>
          <w:color w:val="auto"/>
        </w:rPr>
      </w:pPr>
    </w:p>
    <w:p>
      <w:pPr>
        <w:spacing w:after="0" w:line="250" w:lineRule="exact"/>
        <w:rPr>
          <w:rFonts w:ascii="Calibri" w:cs="Calibri" w:eastAsia="Calibri" w:hAnsi="Calibri"/>
          <w:sz w:val="18"/>
          <w:szCs w:val="18"/>
          <w:color w:val="auto"/>
        </w:rPr>
      </w:pPr>
    </w:p>
    <w:p>
      <w:pPr>
        <w:ind w:left="4360"/>
        <w:spacing w:after="0"/>
        <w:rPr>
          <w:sz w:val="20"/>
          <w:szCs w:val="20"/>
          <w:color w:val="auto"/>
        </w:rPr>
      </w:pPr>
      <w:r>
        <w:rPr>
          <w:rFonts w:ascii="Calibri" w:cs="Calibri" w:eastAsia="Calibri" w:hAnsi="Calibri"/>
          <w:sz w:val="18"/>
          <w:szCs w:val="18"/>
          <w:color w:val="auto"/>
        </w:rPr>
        <w:t>86</w:t>
      </w:r>
    </w:p>
    <w:p>
      <w:pPr>
        <w:spacing w:after="0" w:line="20" w:lineRule="exact"/>
        <w:rPr>
          <w:rFonts w:ascii="Calibri" w:cs="Calibri" w:eastAsia="Calibri" w:hAnsi="Calibri"/>
          <w:sz w:val="18"/>
          <w:szCs w:val="18"/>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column">
              <wp:posOffset>-756285</wp:posOffset>
            </wp:positionH>
            <wp:positionV relativeFrom="paragraph">
              <wp:posOffset>70485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780" w:space="260"/>
            <w:col w:w="10040"/>
          </w:cols>
          <w:pgMar w:left="460" w:top="342" w:right="359"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8"/>
          <w:szCs w:val="18"/>
          <w:b w:val="1"/>
          <w:bCs w:val="1"/>
          <w:color w:val="auto"/>
        </w:rPr>
        <w:t>Exhibit</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27940</wp:posOffset>
            </wp:positionV>
            <wp:extent cx="65976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3">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Descripton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23495</wp:posOffset>
            </wp:positionV>
            <wp:extent cx="639508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4">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720"/>
            <w:col w:w="5380"/>
          </w:cols>
          <w:pgMar w:left="460" w:top="342" w:right="359" w:bottom="1440" w:gutter="0" w:footer="0" w:header="0"/>
        </w:sectPr>
      </w:pPr>
    </w:p>
    <w:p>
      <w:pPr>
        <w:spacing w:after="0" w:line="80" w:lineRule="exact"/>
        <w:rPr>
          <w:sz w:val="20"/>
          <w:szCs w:val="20"/>
          <w:color w:val="auto"/>
        </w:rPr>
      </w:pPr>
    </w:p>
    <w:p>
      <w:pPr>
        <w:ind w:left="1040"/>
        <w:spacing w:after="0"/>
        <w:rPr>
          <w:rFonts w:ascii="Calibri" w:cs="Calibri" w:eastAsia="Calibri" w:hAnsi="Calibri"/>
          <w:sz w:val="18"/>
          <w:szCs w:val="18"/>
          <w:color w:val="auto"/>
        </w:rPr>
      </w:pPr>
      <w:hyperlink r:id="rId665">
        <w:r>
          <w:rPr>
            <w:rFonts w:ascii="Calibri" w:cs="Calibri" w:eastAsia="Calibri" w:hAnsi="Calibri"/>
            <w:sz w:val="18"/>
            <w:szCs w:val="18"/>
            <w:color w:val="auto"/>
          </w:rPr>
          <w:t>Form of Performance-Based Restricted Stock Unit Award Certfcate under the Cabot Corporaton 2017 Long-Term Incentve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-19050</wp:posOffset>
            </wp:positionV>
            <wp:extent cx="63709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6">
                      <a:extLst>
                        <a:ext uri="{28A0092B-C50C-407E-A947-70E740481C1C}"/>
                      </a:extLst>
                    </a:blip>
                    <a:srcRect/>
                    <a:stretch>
                      <a:fillRect/>
                    </a:stretch>
                  </pic:blipFill>
                  <pic:spPr bwMode="auto">
                    <a:xfrm>
                      <a:off x="0" y="0"/>
                      <a:ext cx="6370955" cy="8255"/>
                    </a:xfrm>
                    <a:prstGeom prst="rect">
                      <a:avLst/>
                    </a:prstGeom>
                    <a:noFill/>
                  </pic:spPr>
                </pic:pic>
              </a:graphicData>
            </a:graphic>
          </wp:anchor>
        </w:drawing>
      </w:r>
    </w:p>
    <w:p>
      <w:pPr>
        <w:ind w:left="1040" w:hanging="879"/>
        <w:spacing w:after="0" w:line="235" w:lineRule="auto"/>
        <w:tabs>
          <w:tab w:leader="none" w:pos="1020" w:val="left"/>
        </w:tabs>
        <w:rPr>
          <w:rFonts w:ascii="Calibri" w:cs="Calibri" w:eastAsia="Calibri" w:hAnsi="Calibri"/>
          <w:sz w:val="18"/>
          <w:szCs w:val="18"/>
          <w:color w:val="auto"/>
        </w:rPr>
      </w:pPr>
      <w:r>
        <w:rPr>
          <w:rFonts w:ascii="Calibri" w:cs="Calibri" w:eastAsia="Calibri" w:hAnsi="Calibri"/>
          <w:sz w:val="18"/>
          <w:szCs w:val="18"/>
          <w:color w:val="auto"/>
        </w:rPr>
        <w:t>10(e)*</w:t>
      </w:r>
      <w:r>
        <w:rPr>
          <w:sz w:val="20"/>
          <w:szCs w:val="20"/>
          <w:color w:val="auto"/>
        </w:rPr>
        <w:tab/>
      </w:r>
      <w:hyperlink r:id="rId665">
        <w:r>
          <w:rPr>
            <w:rFonts w:ascii="Calibri" w:cs="Calibri" w:eastAsia="Calibri" w:hAnsi="Calibri"/>
            <w:sz w:val="18"/>
            <w:szCs w:val="18"/>
            <w:color w:val="auto"/>
          </w:rPr>
          <w:t>(incorporated herein by reference to Exhibit 10(e) of Cabot’s Annual Report on Form 10-K for its fscal year ended September 30, 2018, fle</w:t>
        </w:r>
      </w:hyperlink>
      <w:r>
        <w:rPr>
          <w:rFonts w:ascii="Calibri" w:cs="Calibri" w:eastAsia="Calibri" w:hAnsi="Calibri"/>
          <w:sz w:val="18"/>
          <w:szCs w:val="18"/>
          <w:color w:val="auto"/>
        </w:rPr>
        <w:t xml:space="preserve"> </w:t>
      </w:r>
      <w:hyperlink r:id="rId665">
        <w:r>
          <w:rPr>
            <w:rFonts w:ascii="Calibri" w:cs="Calibri" w:eastAsia="Calibri" w:hAnsi="Calibri"/>
            <w:sz w:val="18"/>
            <w:szCs w:val="18"/>
            <w:color w:val="auto"/>
          </w:rPr>
          <w:t>reference 1-5667, fled with the SEC on November 21,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-155575</wp:posOffset>
            </wp:positionV>
            <wp:extent cx="637349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7">
                      <a:extLst>
                        <a:ext uri="{28A0092B-C50C-407E-A947-70E740481C1C}"/>
                      </a:extLst>
                    </a:blip>
                    <a:srcRect/>
                    <a:stretch>
                      <a:fillRect/>
                    </a:stretch>
                  </pic:blipFill>
                  <pic:spPr bwMode="auto">
                    <a:xfrm>
                      <a:off x="0" y="0"/>
                      <a:ext cx="6373495"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-18415</wp:posOffset>
            </wp:positionV>
            <wp:extent cx="274066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8">
                      <a:extLst>
                        <a:ext uri="{28A0092B-C50C-407E-A947-70E740481C1C}"/>
                      </a:extLst>
                    </a:blip>
                    <a:srcRect/>
                    <a:stretch>
                      <a:fillRect/>
                    </a:stretch>
                  </pic:blipFill>
                  <pic:spPr bwMode="auto">
                    <a:xfrm>
                      <a:off x="0" y="0"/>
                      <a:ext cx="2740660" cy="8890"/>
                    </a:xfrm>
                    <a:prstGeom prst="rect">
                      <a:avLst/>
                    </a:prstGeom>
                    <a:noFill/>
                  </pic:spPr>
                </pic:pic>
              </a:graphicData>
            </a:graphic>
          </wp:anchor>
        </w:drawing>
      </w:r>
    </w:p>
    <w:p>
      <w:pPr>
        <w:spacing w:after="0" w:line="247" w:lineRule="exact"/>
        <w:rPr>
          <w:sz w:val="20"/>
          <w:szCs w:val="20"/>
          <w:color w:val="auto"/>
        </w:rPr>
      </w:pPr>
    </w:p>
    <w:p>
      <w:pPr>
        <w:ind w:left="1040"/>
        <w:spacing w:after="0"/>
        <w:rPr>
          <w:rFonts w:ascii="Calibri" w:cs="Calibri" w:eastAsia="Calibri" w:hAnsi="Calibri"/>
          <w:sz w:val="18"/>
          <w:szCs w:val="18"/>
          <w:color w:val="auto"/>
        </w:rPr>
      </w:pPr>
      <w:hyperlink r:id="rId669">
        <w:r>
          <w:rPr>
            <w:rFonts w:ascii="Calibri" w:cs="Calibri" w:eastAsia="Calibri" w:hAnsi="Calibri"/>
            <w:sz w:val="18"/>
            <w:szCs w:val="18"/>
            <w:color w:val="auto"/>
          </w:rPr>
          <w:t>Form of Time-Based Restricted Stock Unit Award Certfcate under the Cabot Corporaton 2017 Long-Term Incentve Plan (incorporated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-18415</wp:posOffset>
            </wp:positionV>
            <wp:extent cx="637349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0">
                      <a:extLst>
                        <a:ext uri="{28A0092B-C50C-407E-A947-70E740481C1C}"/>
                      </a:extLst>
                    </a:blip>
                    <a:srcRect/>
                    <a:stretch>
                      <a:fillRect/>
                    </a:stretch>
                  </pic:blipFill>
                  <pic:spPr bwMode="auto">
                    <a:xfrm>
                      <a:off x="0" y="0"/>
                      <a:ext cx="6373495" cy="8255"/>
                    </a:xfrm>
                    <a:prstGeom prst="rect">
                      <a:avLst/>
                    </a:prstGeom>
                    <a:noFill/>
                  </pic:spPr>
                </pic:pic>
              </a:graphicData>
            </a:graphic>
          </wp:anchor>
        </w:drawing>
      </w:r>
    </w:p>
    <w:p>
      <w:pPr>
        <w:ind w:left="1040" w:hanging="799"/>
        <w:spacing w:after="0" w:line="235" w:lineRule="auto"/>
        <w:tabs>
          <w:tab w:leader="none" w:pos="1020" w:val="left"/>
        </w:tabs>
        <w:rPr>
          <w:rFonts w:ascii="Calibri" w:cs="Calibri" w:eastAsia="Calibri" w:hAnsi="Calibri"/>
          <w:sz w:val="18"/>
          <w:szCs w:val="18"/>
          <w:color w:val="auto"/>
        </w:rPr>
      </w:pPr>
      <w:r>
        <w:rPr>
          <w:rFonts w:ascii="Calibri" w:cs="Calibri" w:eastAsia="Calibri" w:hAnsi="Calibri"/>
          <w:sz w:val="18"/>
          <w:szCs w:val="18"/>
          <w:color w:val="auto"/>
        </w:rPr>
        <w:t>10(f)*</w:t>
      </w:r>
      <w:r>
        <w:rPr>
          <w:sz w:val="20"/>
          <w:szCs w:val="20"/>
          <w:color w:val="auto"/>
        </w:rPr>
        <w:tab/>
      </w:r>
      <w:hyperlink r:id="rId669">
        <w:r>
          <w:rPr>
            <w:rFonts w:ascii="Calibri" w:cs="Calibri" w:eastAsia="Calibri" w:hAnsi="Calibri"/>
            <w:sz w:val="18"/>
            <w:szCs w:val="18"/>
            <w:color w:val="auto"/>
          </w:rPr>
          <w:t>herein by reference to Exhibit 10(f) of Cabot’s Annual Report on Form 10-K for its fscal year ended September 30, 2018, fle reference 1-</w:t>
        </w:r>
      </w:hyperlink>
      <w:hyperlink r:id="rId669">
        <w:r>
          <w:rPr>
            <w:rFonts w:ascii="Calibri" w:cs="Calibri" w:eastAsia="Calibri" w:hAnsi="Calibri"/>
            <w:sz w:val="18"/>
            <w:szCs w:val="18"/>
            <w:color w:val="auto"/>
          </w:rPr>
          <w:t>5667, fled with the SEC on November 21,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-155575</wp:posOffset>
            </wp:positionV>
            <wp:extent cx="636968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1">
                      <a:extLst>
                        <a:ext uri="{28A0092B-C50C-407E-A947-70E740481C1C}"/>
                      </a:extLst>
                    </a:blip>
                    <a:srcRect/>
                    <a:stretch>
                      <a:fillRect/>
                    </a:stretch>
                  </pic:blipFill>
                  <pic:spPr bwMode="auto">
                    <a:xfrm>
                      <a:off x="0" y="0"/>
                      <a:ext cx="6369685"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-18415</wp:posOffset>
            </wp:positionV>
            <wp:extent cx="21926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2">
                      <a:extLst>
                        <a:ext uri="{28A0092B-C50C-407E-A947-70E740481C1C}"/>
                      </a:extLst>
                    </a:blip>
                    <a:srcRect/>
                    <a:stretch>
                      <a:fillRect/>
                    </a:stretch>
                  </pic:blipFill>
                  <pic:spPr bwMode="auto">
                    <a:xfrm>
                      <a:off x="0" y="0"/>
                      <a:ext cx="2192655" cy="8255"/>
                    </a:xfrm>
                    <a:prstGeom prst="rect">
                      <a:avLst/>
                    </a:prstGeom>
                    <a:noFill/>
                  </pic:spPr>
                </pic:pic>
              </a:graphicData>
            </a:graphic>
          </wp:anchor>
        </w:drawing>
      </w:r>
    </w:p>
    <w:p>
      <w:pPr>
        <w:spacing w:after="0" w:line="247" w:lineRule="exact"/>
        <w:rPr>
          <w:sz w:val="20"/>
          <w:szCs w:val="20"/>
          <w:color w:val="auto"/>
        </w:rPr>
      </w:pPr>
    </w:p>
    <w:p>
      <w:pPr>
        <w:ind w:left="1040"/>
        <w:spacing w:after="0"/>
        <w:rPr>
          <w:rFonts w:ascii="Calibri" w:cs="Calibri" w:eastAsia="Calibri" w:hAnsi="Calibri"/>
          <w:sz w:val="18"/>
          <w:szCs w:val="18"/>
          <w:color w:val="auto"/>
        </w:rPr>
      </w:pPr>
      <w:hyperlink r:id="rId673">
        <w:r>
          <w:rPr>
            <w:rFonts w:ascii="Calibri" w:cs="Calibri" w:eastAsia="Calibri" w:hAnsi="Calibri"/>
            <w:sz w:val="18"/>
            <w:szCs w:val="18"/>
            <w:color w:val="auto"/>
          </w:rPr>
          <w:t>Form of Stock Opton Award Certfcate under the Cabot Corporaton 2017 Long-Term Incentve Plan (incorporated herein by reference 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-19050</wp:posOffset>
            </wp:positionV>
            <wp:extent cx="637222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4">
                      <a:extLst>
                        <a:ext uri="{28A0092B-C50C-407E-A947-70E740481C1C}"/>
                      </a:extLst>
                    </a:blip>
                    <a:srcRect/>
                    <a:stretch>
                      <a:fillRect/>
                    </a:stretch>
                  </pic:blipFill>
                  <pic:spPr bwMode="auto">
                    <a:xfrm>
                      <a:off x="0" y="0"/>
                      <a:ext cx="6372225" cy="8255"/>
                    </a:xfrm>
                    <a:prstGeom prst="rect">
                      <a:avLst/>
                    </a:prstGeom>
                    <a:noFill/>
                  </pic:spPr>
                </pic:pic>
              </a:graphicData>
            </a:graphic>
          </wp:anchor>
        </w:drawing>
      </w:r>
    </w:p>
    <w:p>
      <w:pPr>
        <w:ind w:left="1040" w:hanging="879"/>
        <w:spacing w:after="0" w:line="235" w:lineRule="auto"/>
        <w:tabs>
          <w:tab w:leader="none" w:pos="1020" w:val="left"/>
        </w:tabs>
        <w:rPr>
          <w:rFonts w:ascii="Calibri" w:cs="Calibri" w:eastAsia="Calibri" w:hAnsi="Calibri"/>
          <w:sz w:val="18"/>
          <w:szCs w:val="18"/>
          <w:color w:val="auto"/>
        </w:rPr>
      </w:pPr>
      <w:r>
        <w:rPr>
          <w:rFonts w:ascii="Calibri" w:cs="Calibri" w:eastAsia="Calibri" w:hAnsi="Calibri"/>
          <w:sz w:val="18"/>
          <w:szCs w:val="18"/>
          <w:color w:val="auto"/>
        </w:rPr>
        <w:t>10(g)*</w:t>
      </w:r>
      <w:r>
        <w:rPr>
          <w:sz w:val="20"/>
          <w:szCs w:val="20"/>
          <w:color w:val="auto"/>
        </w:rPr>
        <w:tab/>
      </w:r>
      <w:hyperlink r:id="rId673">
        <w:r>
          <w:rPr>
            <w:rFonts w:ascii="Calibri" w:cs="Calibri" w:eastAsia="Calibri" w:hAnsi="Calibri"/>
            <w:sz w:val="18"/>
            <w:szCs w:val="18"/>
            <w:color w:val="auto"/>
          </w:rPr>
          <w:t>Exhibit 10(g) of Cabot’s Annual Report on Form 10-K for its fscal year ended September 30, 2018, fle reference 1-5667, fled with the SEC on</w:t>
        </w:r>
      </w:hyperlink>
      <w:r>
        <w:rPr>
          <w:rFonts w:ascii="Calibri" w:cs="Calibri" w:eastAsia="Calibri" w:hAnsi="Calibri"/>
          <w:sz w:val="18"/>
          <w:szCs w:val="18"/>
          <w:color w:val="auto"/>
        </w:rPr>
        <w:t xml:space="preserve"> </w:t>
      </w:r>
      <w:hyperlink r:id="rId673">
        <w:r>
          <w:rPr>
            <w:rFonts w:ascii="Calibri" w:cs="Calibri" w:eastAsia="Calibri" w:hAnsi="Calibri"/>
            <w:sz w:val="18"/>
            <w:szCs w:val="18"/>
            <w:color w:val="auto"/>
          </w:rPr>
          <w:t>November 21,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-155575</wp:posOffset>
            </wp:positionV>
            <wp:extent cx="637413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5">
                      <a:extLst>
                        <a:ext uri="{28A0092B-C50C-407E-A947-70E740481C1C}"/>
                      </a:extLst>
                    </a:blip>
                    <a:srcRect/>
                    <a:stretch>
                      <a:fillRect/>
                    </a:stretch>
                  </pic:blipFill>
                  <pic:spPr bwMode="auto">
                    <a:xfrm>
                      <a:off x="0" y="0"/>
                      <a:ext cx="6374130"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-18415</wp:posOffset>
            </wp:positionV>
            <wp:extent cx="95567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6">
                      <a:extLst>
                        <a:ext uri="{28A0092B-C50C-407E-A947-70E740481C1C}"/>
                      </a:extLst>
                    </a:blip>
                    <a:srcRect/>
                    <a:stretch>
                      <a:fillRect/>
                    </a:stretch>
                  </pic:blipFill>
                  <pic:spPr bwMode="auto">
                    <a:xfrm>
                      <a:off x="0" y="0"/>
                      <a:ext cx="955675" cy="8890"/>
                    </a:xfrm>
                    <a:prstGeom prst="rect">
                      <a:avLst/>
                    </a:prstGeom>
                    <a:noFill/>
                  </pic:spPr>
                </pic:pic>
              </a:graphicData>
            </a:graphic>
          </wp:anchor>
        </w:drawing>
      </w:r>
    </w:p>
    <w:p>
      <w:pPr>
        <w:spacing w:after="0" w:line="188" w:lineRule="exact"/>
        <w:rPr>
          <w:sz w:val="20"/>
          <w:szCs w:val="20"/>
          <w:color w:val="auto"/>
        </w:rPr>
      </w:pPr>
    </w:p>
    <w:p>
      <w:pPr>
        <w:ind w:left="1040"/>
        <w:spacing w:after="0"/>
        <w:rPr>
          <w:sz w:val="20"/>
          <w:szCs w:val="20"/>
          <w:color w:val="auto"/>
        </w:rPr>
      </w:pPr>
      <w:r>
        <w:rPr>
          <w:rFonts w:ascii="Calibri" w:cs="Calibri" w:eastAsia="Calibri" w:hAnsi="Calibri"/>
          <w:sz w:val="17"/>
          <w:szCs w:val="17"/>
          <w:u w:val="single" w:color="auto"/>
          <w:color w:val="0000FF"/>
        </w:rPr>
        <w:t>Form of Amendment of outstanding Time-Based Restricted Stock Units, Performance-Based Restricted Stock Units and Stock Optons issued</w:t>
      </w:r>
    </w:p>
    <w:p>
      <w:pPr>
        <w:ind w:left="120"/>
        <w:spacing w:after="0" w:line="193" w:lineRule="auto"/>
        <w:rPr>
          <w:sz w:val="20"/>
          <w:szCs w:val="20"/>
          <w:color w:val="auto"/>
        </w:rPr>
      </w:pPr>
      <w:r>
        <w:rPr>
          <w:rFonts w:ascii="Calibri" w:cs="Calibri" w:eastAsia="Calibri" w:hAnsi="Calibri"/>
          <w:sz w:val="11"/>
          <w:szCs w:val="11"/>
          <w:color w:val="auto"/>
        </w:rPr>
        <w:t>10(h)*†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-42545</wp:posOffset>
            </wp:positionV>
            <wp:extent cx="63709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7">
                      <a:extLst>
                        <a:ext uri="{28A0092B-C50C-407E-A947-70E740481C1C}"/>
                      </a:extLst>
                    </a:blip>
                    <a:srcRect/>
                    <a:stretch>
                      <a:fillRect/>
                    </a:stretch>
                  </pic:blipFill>
                  <pic:spPr bwMode="auto">
                    <a:xfrm>
                      <a:off x="0" y="0"/>
                      <a:ext cx="6370955" cy="8255"/>
                    </a:xfrm>
                    <a:prstGeom prst="rect">
                      <a:avLst/>
                    </a:prstGeom>
                    <a:noFill/>
                  </pic:spPr>
                </pic:pic>
              </a:graphicData>
            </a:graphic>
          </wp:anchor>
        </w:drawing>
      </w:r>
    </w:p>
    <w:p>
      <w:pPr>
        <w:ind w:left="1040"/>
        <w:spacing w:after="0" w:line="195" w:lineRule="auto"/>
        <w:rPr>
          <w:sz w:val="20"/>
          <w:szCs w:val="20"/>
          <w:color w:val="auto"/>
        </w:rPr>
      </w:pPr>
      <w:r>
        <w:rPr>
          <w:rFonts w:ascii="Calibri" w:cs="Calibri" w:eastAsia="Calibri" w:hAnsi="Calibri"/>
          <w:sz w:val="18"/>
          <w:szCs w:val="18"/>
          <w:u w:val="single" w:color="auto"/>
          <w:color w:val="0000FF"/>
        </w:rPr>
        <w:t>under the Cabot Corporaton Amended and Restated 2017 Long-Term Incentve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-18415</wp:posOffset>
            </wp:positionV>
            <wp:extent cx="382905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8">
                      <a:extLst>
                        <a:ext uri="{28A0092B-C50C-407E-A947-70E740481C1C}"/>
                      </a:extLst>
                    </a:blip>
                    <a:srcRect/>
                    <a:stretch>
                      <a:fillRect/>
                    </a:stretch>
                  </pic:blipFill>
                  <pic:spPr bwMode="auto">
                    <a:xfrm>
                      <a:off x="0" y="0"/>
                      <a:ext cx="3829050" cy="8255"/>
                    </a:xfrm>
                    <a:prstGeom prst="rect">
                      <a:avLst/>
                    </a:prstGeom>
                    <a:noFill/>
                  </pic:spPr>
                </pic:pic>
              </a:graphicData>
            </a:graphic>
          </wp:anchor>
        </w:drawing>
      </w:r>
    </w:p>
    <w:p>
      <w:pPr>
        <w:spacing w:after="0" w:line="188" w:lineRule="exact"/>
        <w:rPr>
          <w:sz w:val="20"/>
          <w:szCs w:val="20"/>
          <w:color w:val="auto"/>
        </w:rPr>
      </w:pPr>
    </w:p>
    <w:p>
      <w:pPr>
        <w:ind w:left="1040"/>
        <w:spacing w:after="0"/>
        <w:rPr>
          <w:sz w:val="20"/>
          <w:szCs w:val="20"/>
          <w:color w:val="auto"/>
        </w:rPr>
      </w:pPr>
      <w:r>
        <w:rPr>
          <w:rFonts w:ascii="Calibri" w:cs="Calibri" w:eastAsia="Calibri" w:hAnsi="Calibri"/>
          <w:sz w:val="17"/>
          <w:szCs w:val="17"/>
          <w:u w:val="single" w:color="auto"/>
          <w:color w:val="0000FF"/>
        </w:rPr>
        <w:t>Form of Time-Based Restricted Stock Unit Award Certfcate under the Cabot Corporaton Amended and Restated 2017 Long-Term Incentve</w:t>
      </w:r>
    </w:p>
    <w:p>
      <w:pPr>
        <w:ind w:left="140"/>
        <w:spacing w:after="0" w:line="193" w:lineRule="auto"/>
        <w:rPr>
          <w:sz w:val="20"/>
          <w:szCs w:val="20"/>
          <w:color w:val="auto"/>
        </w:rPr>
      </w:pPr>
      <w:r>
        <w:rPr>
          <w:rFonts w:ascii="Calibri" w:cs="Calibri" w:eastAsia="Calibri" w:hAnsi="Calibri"/>
          <w:sz w:val="11"/>
          <w:szCs w:val="11"/>
          <w:color w:val="auto"/>
        </w:rPr>
        <w:t>10(i)*†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-42545</wp:posOffset>
            </wp:positionV>
            <wp:extent cx="637603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9">
                      <a:extLst>
                        <a:ext uri="{28A0092B-C50C-407E-A947-70E740481C1C}"/>
                      </a:extLst>
                    </a:blip>
                    <a:srcRect/>
                    <a:stretch>
                      <a:fillRect/>
                    </a:stretch>
                  </pic:blipFill>
                  <pic:spPr bwMode="auto">
                    <a:xfrm>
                      <a:off x="0" y="0"/>
                      <a:ext cx="6376035" cy="8255"/>
                    </a:xfrm>
                    <a:prstGeom prst="rect">
                      <a:avLst/>
                    </a:prstGeom>
                    <a:noFill/>
                  </pic:spPr>
                </pic:pic>
              </a:graphicData>
            </a:graphic>
          </wp:anchor>
        </w:drawing>
      </w:r>
    </w:p>
    <w:p>
      <w:pPr>
        <w:ind w:left="1040"/>
        <w:spacing w:after="0" w:line="195" w:lineRule="auto"/>
        <w:rPr>
          <w:sz w:val="20"/>
          <w:szCs w:val="20"/>
          <w:color w:val="auto"/>
        </w:rPr>
      </w:pPr>
      <w:r>
        <w:rPr>
          <w:rFonts w:ascii="Calibri" w:cs="Calibri" w:eastAsia="Calibri" w:hAnsi="Calibri"/>
          <w:sz w:val="18"/>
          <w:szCs w:val="18"/>
          <w:u w:val="single" w:color="auto"/>
          <w:color w:val="0000FF"/>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-18415</wp:posOffset>
            </wp:positionV>
            <wp:extent cx="22288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0">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76" w:lineRule="exact"/>
        <w:rPr>
          <w:sz w:val="20"/>
          <w:szCs w:val="20"/>
          <w:color w:val="auto"/>
        </w:rPr>
      </w:pPr>
    </w:p>
    <w:p>
      <w:pPr>
        <w:ind w:left="1040"/>
        <w:spacing w:after="0"/>
        <w:rPr>
          <w:sz w:val="20"/>
          <w:szCs w:val="20"/>
          <w:color w:val="auto"/>
        </w:rPr>
      </w:pPr>
      <w:r>
        <w:rPr>
          <w:rFonts w:ascii="Calibri" w:cs="Calibri" w:eastAsia="Calibri" w:hAnsi="Calibri"/>
          <w:sz w:val="18"/>
          <w:szCs w:val="18"/>
          <w:u w:val="single" w:color="auto"/>
          <w:color w:val="0000FF"/>
        </w:rPr>
        <w:t>Form of Performance-Based Restricted Stock Unit Award Certfcate under the Cabot Corporaton Amended and Restated 2017 Long-Term</w:t>
      </w:r>
    </w:p>
    <w:p>
      <w:pPr>
        <w:ind w:left="140"/>
        <w:spacing w:after="0" w:line="193" w:lineRule="auto"/>
        <w:rPr>
          <w:sz w:val="20"/>
          <w:szCs w:val="20"/>
          <w:color w:val="auto"/>
        </w:rPr>
      </w:pPr>
      <w:r>
        <w:rPr>
          <w:rFonts w:ascii="Calibri" w:cs="Calibri" w:eastAsia="Calibri" w:hAnsi="Calibri"/>
          <w:sz w:val="11"/>
          <w:szCs w:val="11"/>
          <w:color w:val="auto"/>
        </w:rPr>
        <w:t>10(j)*†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-42545</wp:posOffset>
            </wp:positionV>
            <wp:extent cx="637286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1">
                      <a:extLst>
                        <a:ext uri="{28A0092B-C50C-407E-A947-70E740481C1C}"/>
                      </a:extLst>
                    </a:blip>
                    <a:srcRect/>
                    <a:stretch>
                      <a:fillRect/>
                    </a:stretch>
                  </pic:blipFill>
                  <pic:spPr bwMode="auto">
                    <a:xfrm>
                      <a:off x="0" y="0"/>
                      <a:ext cx="6372860" cy="8255"/>
                    </a:xfrm>
                    <a:prstGeom prst="rect">
                      <a:avLst/>
                    </a:prstGeom>
                    <a:noFill/>
                  </pic:spPr>
                </pic:pic>
              </a:graphicData>
            </a:graphic>
          </wp:anchor>
        </w:drawing>
      </w:r>
    </w:p>
    <w:p>
      <w:pPr>
        <w:ind w:left="1040"/>
        <w:spacing w:after="0" w:line="195" w:lineRule="auto"/>
        <w:rPr>
          <w:sz w:val="20"/>
          <w:szCs w:val="20"/>
          <w:color w:val="auto"/>
        </w:rPr>
      </w:pPr>
      <w:r>
        <w:rPr>
          <w:rFonts w:ascii="Calibri" w:cs="Calibri" w:eastAsia="Calibri" w:hAnsi="Calibri"/>
          <w:sz w:val="18"/>
          <w:szCs w:val="18"/>
          <w:u w:val="single" w:color="auto"/>
          <w:color w:val="0000FF"/>
        </w:rPr>
        <w:t>Incentve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-18415</wp:posOffset>
            </wp:positionV>
            <wp:extent cx="66167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2">
                      <a:extLst>
                        <a:ext uri="{28A0092B-C50C-407E-A947-70E740481C1C}"/>
                      </a:extLst>
                    </a:blip>
                    <a:srcRect/>
                    <a:stretch>
                      <a:fillRect/>
                    </a:stretch>
                  </pic:blipFill>
                  <pic:spPr bwMode="auto">
                    <a:xfrm>
                      <a:off x="0" y="0"/>
                      <a:ext cx="661670" cy="8890"/>
                    </a:xfrm>
                    <a:prstGeom prst="rect">
                      <a:avLst/>
                    </a:prstGeom>
                    <a:noFill/>
                  </pic:spPr>
                </pic:pic>
              </a:graphicData>
            </a:graphic>
          </wp:anchor>
        </w:drawing>
      </w:r>
    </w:p>
    <w:p>
      <w:pPr>
        <w:spacing w:after="0" w:line="247" w:lineRule="exact"/>
        <w:rPr>
          <w:sz w:val="20"/>
          <w:szCs w:val="20"/>
          <w:color w:val="auto"/>
        </w:rPr>
      </w:pPr>
    </w:p>
    <w:p>
      <w:pPr>
        <w:ind w:left="180"/>
        <w:spacing w:after="0"/>
        <w:tabs>
          <w:tab w:leader="none" w:pos="1020" w:val="left"/>
        </w:tabs>
        <w:rPr>
          <w:sz w:val="20"/>
          <w:szCs w:val="20"/>
          <w:color w:val="auto"/>
        </w:rPr>
      </w:pPr>
      <w:r>
        <w:rPr>
          <w:rFonts w:ascii="Calibri" w:cs="Calibri" w:eastAsia="Calibri" w:hAnsi="Calibri"/>
          <w:sz w:val="18"/>
          <w:szCs w:val="18"/>
          <w:color w:val="auto"/>
        </w:rPr>
        <w:t>10(k)*†</w:t>
      </w:r>
      <w:r>
        <w:rPr>
          <w:sz w:val="20"/>
          <w:szCs w:val="20"/>
          <w:color w:val="auto"/>
        </w:rPr>
        <w:tab/>
      </w:r>
      <w:r>
        <w:rPr>
          <w:rFonts w:ascii="Calibri" w:cs="Calibri" w:eastAsia="Calibri" w:hAnsi="Calibri"/>
          <w:sz w:val="18"/>
          <w:szCs w:val="18"/>
          <w:u w:val="single" w:color="auto"/>
          <w:color w:val="0000FF"/>
        </w:rPr>
        <w:t>Form of Stock Opton Award Certfcate under the Cabot Corporaton Amended and Restated 2017 Long-Term Incentve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-18415</wp:posOffset>
            </wp:positionV>
            <wp:extent cx="56216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3">
                      <a:extLst>
                        <a:ext uri="{28A0092B-C50C-407E-A947-70E740481C1C}"/>
                      </a:extLst>
                    </a:blip>
                    <a:srcRect/>
                    <a:stretch>
                      <a:fillRect/>
                    </a:stretch>
                  </pic:blipFill>
                  <pic:spPr bwMode="auto">
                    <a:xfrm>
                      <a:off x="0" y="0"/>
                      <a:ext cx="5621655" cy="8255"/>
                    </a:xfrm>
                    <a:prstGeom prst="rect">
                      <a:avLst/>
                    </a:prstGeom>
                    <a:noFill/>
                  </pic:spPr>
                </pic:pic>
              </a:graphicData>
            </a:graphic>
          </wp:anchor>
        </w:drawing>
      </w:r>
    </w:p>
    <w:p>
      <w:pPr>
        <w:spacing w:after="0" w:line="251" w:lineRule="exact"/>
        <w:rPr>
          <w:sz w:val="20"/>
          <w:szCs w:val="20"/>
          <w:color w:val="auto"/>
        </w:rPr>
      </w:pPr>
    </w:p>
    <w:p>
      <w:pPr>
        <w:ind w:left="1040"/>
        <w:spacing w:after="0"/>
        <w:rPr>
          <w:rFonts w:ascii="Calibri" w:cs="Calibri" w:eastAsia="Calibri" w:hAnsi="Calibri"/>
          <w:sz w:val="17"/>
          <w:szCs w:val="17"/>
          <w:color w:val="auto"/>
        </w:rPr>
      </w:pPr>
      <w:hyperlink r:id="rId684">
        <w:r>
          <w:rPr>
            <w:rFonts w:ascii="Calibri" w:cs="Calibri" w:eastAsia="Calibri" w:hAnsi="Calibri"/>
            <w:sz w:val="17"/>
            <w:szCs w:val="17"/>
            <w:color w:val="auto"/>
          </w:rPr>
          <w:t>Cabot Corporaton Deferred Compensaton and Supplemental Retrement Plan, amended and restated January 1, 2014 (incorporated 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-13970</wp:posOffset>
            </wp:positionV>
            <wp:extent cx="636968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5">
                      <a:extLst>
                        <a:ext uri="{28A0092B-C50C-407E-A947-70E740481C1C}"/>
                      </a:extLst>
                    </a:blip>
                    <a:srcRect/>
                    <a:stretch>
                      <a:fillRect/>
                    </a:stretch>
                  </pic:blipFill>
                  <pic:spPr bwMode="auto">
                    <a:xfrm>
                      <a:off x="0" y="0"/>
                      <a:ext cx="6369685" cy="8255"/>
                    </a:xfrm>
                    <a:prstGeom prst="rect">
                      <a:avLst/>
                    </a:prstGeom>
                    <a:noFill/>
                  </pic:spPr>
                </pic:pic>
              </a:graphicData>
            </a:graphic>
          </wp:anchor>
        </w:drawing>
      </w:r>
    </w:p>
    <w:p>
      <w:pPr>
        <w:ind w:left="1040" w:hanging="799"/>
        <w:spacing w:after="0" w:line="235" w:lineRule="auto"/>
        <w:tabs>
          <w:tab w:leader="none" w:pos="1020" w:val="left"/>
        </w:tabs>
        <w:rPr>
          <w:rFonts w:ascii="Calibri" w:cs="Calibri" w:eastAsia="Calibri" w:hAnsi="Calibri"/>
          <w:sz w:val="18"/>
          <w:szCs w:val="18"/>
          <w:color w:val="auto"/>
        </w:rPr>
      </w:pPr>
      <w:r>
        <w:rPr>
          <w:rFonts w:ascii="Calibri" w:cs="Calibri" w:eastAsia="Calibri" w:hAnsi="Calibri"/>
          <w:sz w:val="18"/>
          <w:szCs w:val="18"/>
          <w:color w:val="auto"/>
        </w:rPr>
        <w:t>10(l)*</w:t>
      </w:r>
      <w:r>
        <w:rPr>
          <w:sz w:val="20"/>
          <w:szCs w:val="20"/>
          <w:color w:val="auto"/>
        </w:rPr>
        <w:tab/>
      </w:r>
      <w:hyperlink r:id="rId684">
        <w:r>
          <w:rPr>
            <w:rFonts w:ascii="Calibri" w:cs="Calibri" w:eastAsia="Calibri" w:hAnsi="Calibri"/>
            <w:sz w:val="18"/>
            <w:szCs w:val="18"/>
            <w:color w:val="auto"/>
          </w:rPr>
          <w:t>by reference to Exhibit 10.1 of Cabot’s Quarterly Report on Form 10-Q for the quarterly period ended December 31, 2013, fle reference 1-</w:t>
        </w:r>
      </w:hyperlink>
      <w:hyperlink r:id="rId684">
        <w:r>
          <w:rPr>
            <w:rFonts w:ascii="Calibri" w:cs="Calibri" w:eastAsia="Calibri" w:hAnsi="Calibri"/>
            <w:sz w:val="18"/>
            <w:szCs w:val="18"/>
            <w:color w:val="auto"/>
          </w:rPr>
          <w:t>5667, fled with the SEC on February 6,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-155575</wp:posOffset>
            </wp:positionV>
            <wp:extent cx="637286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6">
                      <a:extLst>
                        <a:ext uri="{28A0092B-C50C-407E-A947-70E740481C1C}"/>
                      </a:extLst>
                    </a:blip>
                    <a:srcRect/>
                    <a:stretch>
                      <a:fillRect/>
                    </a:stretch>
                  </pic:blipFill>
                  <pic:spPr bwMode="auto">
                    <a:xfrm>
                      <a:off x="0" y="0"/>
                      <a:ext cx="6372860"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-18415</wp:posOffset>
            </wp:positionV>
            <wp:extent cx="206375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7">
                      <a:extLst>
                        <a:ext uri="{28A0092B-C50C-407E-A947-70E740481C1C}"/>
                      </a:extLst>
                    </a:blip>
                    <a:srcRect/>
                    <a:stretch>
                      <a:fillRect/>
                    </a:stretch>
                  </pic:blipFill>
                  <pic:spPr bwMode="auto">
                    <a:xfrm>
                      <a:off x="0" y="0"/>
                      <a:ext cx="2063750" cy="8890"/>
                    </a:xfrm>
                    <a:prstGeom prst="rect">
                      <a:avLst/>
                    </a:prstGeom>
                    <a:noFill/>
                  </pic:spPr>
                </pic:pic>
              </a:graphicData>
            </a:graphic>
          </wp:anchor>
        </w:drawing>
      </w:r>
    </w:p>
    <w:p>
      <w:pPr>
        <w:spacing w:after="0" w:line="252" w:lineRule="exact"/>
        <w:rPr>
          <w:sz w:val="20"/>
          <w:szCs w:val="20"/>
          <w:color w:val="auto"/>
        </w:rPr>
      </w:pPr>
    </w:p>
    <w:p>
      <w:pPr>
        <w:ind w:left="180" w:firstLine="853"/>
        <w:spacing w:after="0" w:line="235" w:lineRule="auto"/>
        <w:rPr>
          <w:rFonts w:ascii="Calibri" w:cs="Calibri" w:eastAsia="Calibri" w:hAnsi="Calibri"/>
          <w:sz w:val="18"/>
          <w:szCs w:val="18"/>
          <w:color w:val="auto"/>
        </w:rPr>
      </w:pPr>
      <w:hyperlink r:id="rId688">
        <w:r>
          <w:rPr>
            <w:rFonts w:ascii="Calibri" w:cs="Calibri" w:eastAsia="Calibri" w:hAnsi="Calibri"/>
            <w:sz w:val="18"/>
            <w:szCs w:val="18"/>
            <w:color w:val="auto"/>
          </w:rPr>
          <w:t>Cabot Corporaton Non-Employee Directors’ Deferral Plan, amended and restated January 1, 2014 (incorporated herein by reference to</w:t>
        </w:r>
      </w:hyperlink>
      <w:r>
        <w:rPr>
          <w:rFonts w:ascii="Calibri" w:cs="Calibri" w:eastAsia="Calibri" w:hAnsi="Calibri"/>
          <w:sz w:val="18"/>
          <w:szCs w:val="18"/>
          <w:color w:val="auto"/>
        </w:rPr>
        <w:t xml:space="preserve"> 10(m)* </w:t>
      </w:r>
      <w:hyperlink r:id="rId688">
        <w:r>
          <w:rPr>
            <w:rFonts w:ascii="Calibri" w:cs="Calibri" w:eastAsia="Calibri" w:hAnsi="Calibri"/>
            <w:sz w:val="18"/>
            <w:szCs w:val="18"/>
            <w:color w:val="auto"/>
          </w:rPr>
          <w:t>Exhibit 10.2 of Cabot’s Quarterly Report on Form 10-Q for the quarterly period ended December 31, 2013, fle reference 1-5667, fled 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-155575</wp:posOffset>
            </wp:positionV>
            <wp:extent cx="637476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9">
                      <a:extLst>
                        <a:ext uri="{28A0092B-C50C-407E-A947-70E740481C1C}"/>
                      </a:extLst>
                    </a:blip>
                    <a:srcRect/>
                    <a:stretch>
                      <a:fillRect/>
                    </a:stretch>
                  </pic:blipFill>
                  <pic:spPr bwMode="auto">
                    <a:xfrm>
                      <a:off x="0" y="0"/>
                      <a:ext cx="6374765"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-18415</wp:posOffset>
            </wp:positionV>
            <wp:extent cx="637413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0">
                      <a:extLst>
                        <a:ext uri="{28A0092B-C50C-407E-A947-70E740481C1C}"/>
                      </a:extLst>
                    </a:blip>
                    <a:srcRect/>
                    <a:stretch>
                      <a:fillRect/>
                    </a:stretch>
                  </pic:blipFill>
                  <pic:spPr bwMode="auto">
                    <a:xfrm>
                      <a:off x="0" y="0"/>
                      <a:ext cx="6374130" cy="8255"/>
                    </a:xfrm>
                    <a:prstGeom prst="rect">
                      <a:avLst/>
                    </a:prstGeom>
                    <a:noFill/>
                  </pic:spPr>
                </pic:pic>
              </a:graphicData>
            </a:graphic>
          </wp:anchor>
        </w:drawing>
      </w:r>
    </w:p>
    <w:p>
      <w:pPr>
        <w:ind w:left="1040"/>
        <w:spacing w:after="0" w:line="236" w:lineRule="auto"/>
        <w:rPr>
          <w:rFonts w:ascii="Calibri" w:cs="Calibri" w:eastAsia="Calibri" w:hAnsi="Calibri"/>
          <w:sz w:val="18"/>
          <w:szCs w:val="18"/>
          <w:color w:val="auto"/>
        </w:rPr>
      </w:pPr>
      <w:hyperlink r:id="rId688">
        <w:r>
          <w:rPr>
            <w:rFonts w:ascii="Calibri" w:cs="Calibri" w:eastAsia="Calibri" w:hAnsi="Calibri"/>
            <w:sz w:val="18"/>
            <w:szCs w:val="18"/>
            <w:color w:val="auto"/>
          </w:rPr>
          <w:t>the SEC on February 6,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-18415</wp:posOffset>
            </wp:positionV>
            <wp:extent cx="133477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1">
                      <a:extLst>
                        <a:ext uri="{28A0092B-C50C-407E-A947-70E740481C1C}"/>
                      </a:extLst>
                    </a:blip>
                    <a:srcRect/>
                    <a:stretch>
                      <a:fillRect/>
                    </a:stretch>
                  </pic:blipFill>
                  <pic:spPr bwMode="auto">
                    <a:xfrm>
                      <a:off x="0" y="0"/>
                      <a:ext cx="1334770" cy="8890"/>
                    </a:xfrm>
                    <a:prstGeom prst="rect">
                      <a:avLst/>
                    </a:prstGeom>
                    <a:noFill/>
                  </pic:spPr>
                </pic:pic>
              </a:graphicData>
            </a:graphic>
          </wp:anchor>
        </w:drawing>
      </w:r>
    </w:p>
    <w:p>
      <w:pPr>
        <w:spacing w:after="0" w:line="247" w:lineRule="exact"/>
        <w:rPr>
          <w:sz w:val="20"/>
          <w:szCs w:val="20"/>
          <w:color w:val="auto"/>
        </w:rPr>
      </w:pPr>
    </w:p>
    <w:p>
      <w:pPr>
        <w:ind w:left="1040"/>
        <w:spacing w:after="0"/>
        <w:rPr>
          <w:rFonts w:ascii="Calibri" w:cs="Calibri" w:eastAsia="Calibri" w:hAnsi="Calibri"/>
          <w:sz w:val="18"/>
          <w:szCs w:val="18"/>
          <w:color w:val="auto"/>
        </w:rPr>
      </w:pPr>
      <w:hyperlink r:id="rId692">
        <w:r>
          <w:rPr>
            <w:rFonts w:ascii="Calibri" w:cs="Calibri" w:eastAsia="Calibri" w:hAnsi="Calibri"/>
            <w:sz w:val="18"/>
            <w:szCs w:val="18"/>
            <w:color w:val="auto"/>
          </w:rPr>
          <w:t>Ofer Leter dated February 12, 2021, between Cabot Corporaton and Jef Zhu, as amended by leter agreement dated February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-18415</wp:posOffset>
            </wp:positionV>
            <wp:extent cx="637794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3">
                      <a:extLst>
                        <a:ext uri="{28A0092B-C50C-407E-A947-70E740481C1C}"/>
                      </a:extLst>
                    </a:blip>
                    <a:srcRect/>
                    <a:stretch>
                      <a:fillRect/>
                    </a:stretch>
                  </pic:blipFill>
                  <pic:spPr bwMode="auto">
                    <a:xfrm>
                      <a:off x="0" y="0"/>
                      <a:ext cx="6377940" cy="8255"/>
                    </a:xfrm>
                    <a:prstGeom prst="rect">
                      <a:avLst/>
                    </a:prstGeom>
                    <a:noFill/>
                  </pic:spPr>
                </pic:pic>
              </a:graphicData>
            </a:graphic>
          </wp:anchor>
        </w:drawing>
      </w:r>
    </w:p>
    <w:p>
      <w:pPr>
        <w:ind w:left="1040" w:hanging="819"/>
        <w:spacing w:after="0" w:line="235" w:lineRule="auto"/>
        <w:tabs>
          <w:tab w:leader="none" w:pos="1020" w:val="left"/>
        </w:tabs>
        <w:rPr>
          <w:rFonts w:ascii="Calibri" w:cs="Calibri" w:eastAsia="Calibri" w:hAnsi="Calibri"/>
          <w:sz w:val="18"/>
          <w:szCs w:val="18"/>
          <w:color w:val="auto"/>
        </w:rPr>
      </w:pPr>
      <w:r>
        <w:rPr>
          <w:rFonts w:ascii="Calibri" w:cs="Calibri" w:eastAsia="Calibri" w:hAnsi="Calibri"/>
          <w:sz w:val="18"/>
          <w:szCs w:val="18"/>
          <w:color w:val="auto"/>
        </w:rPr>
        <w:t>10(n)*</w:t>
      </w:r>
      <w:r>
        <w:rPr>
          <w:sz w:val="20"/>
          <w:szCs w:val="20"/>
          <w:color w:val="auto"/>
        </w:rPr>
        <w:tab/>
      </w:r>
      <w:hyperlink r:id="rId692">
        <w:r>
          <w:rPr>
            <w:rFonts w:ascii="Calibri" w:cs="Calibri" w:eastAsia="Calibri" w:hAnsi="Calibri"/>
            <w:sz w:val="18"/>
            <w:szCs w:val="18"/>
            <w:color w:val="auto"/>
          </w:rPr>
          <w:t>(incorporated by reference to Exhibit 10.1 of Cabot’s Quarterly Report on Form 10-Q for the quarterly period ended December 31, 2020, fle</w:t>
        </w:r>
      </w:hyperlink>
      <w:r>
        <w:rPr>
          <w:rFonts w:ascii="Calibri" w:cs="Calibri" w:eastAsia="Calibri" w:hAnsi="Calibri"/>
          <w:sz w:val="18"/>
          <w:szCs w:val="18"/>
          <w:color w:val="auto"/>
        </w:rPr>
        <w:t xml:space="preserve"> </w:t>
      </w:r>
      <w:hyperlink r:id="rId692">
        <w:r>
          <w:rPr>
            <w:rFonts w:ascii="Calibri" w:cs="Calibri" w:eastAsia="Calibri" w:hAnsi="Calibri"/>
            <w:sz w:val="18"/>
            <w:szCs w:val="18"/>
            <w:color w:val="auto"/>
          </w:rPr>
          <w:t>reference 1-5667, fled with the SEC on February 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-155575</wp:posOffset>
            </wp:positionV>
            <wp:extent cx="637349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4">
                      <a:extLst>
                        <a:ext uri="{28A0092B-C50C-407E-A947-70E740481C1C}"/>
                      </a:extLst>
                    </a:blip>
                    <a:srcRect/>
                    <a:stretch>
                      <a:fillRect/>
                    </a:stretch>
                  </pic:blipFill>
                  <pic:spPr bwMode="auto">
                    <a:xfrm>
                      <a:off x="0" y="0"/>
                      <a:ext cx="6373495"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-18415</wp:posOffset>
            </wp:positionV>
            <wp:extent cx="261175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5">
                      <a:extLst>
                        <a:ext uri="{28A0092B-C50C-407E-A947-70E740481C1C}"/>
                      </a:extLst>
                    </a:blip>
                    <a:srcRect/>
                    <a:stretch>
                      <a:fillRect/>
                    </a:stretch>
                  </pic:blipFill>
                  <pic:spPr bwMode="auto">
                    <a:xfrm>
                      <a:off x="0" y="0"/>
                      <a:ext cx="2611755" cy="8890"/>
                    </a:xfrm>
                    <a:prstGeom prst="rect">
                      <a:avLst/>
                    </a:prstGeom>
                    <a:noFill/>
                  </pic:spPr>
                </pic:pic>
              </a:graphicData>
            </a:graphic>
          </wp:anchor>
        </w:drawing>
      </w:r>
    </w:p>
    <w:p>
      <w:pPr>
        <w:spacing w:after="0" w:line="176" w:lineRule="exact"/>
        <w:rPr>
          <w:sz w:val="20"/>
          <w:szCs w:val="20"/>
          <w:color w:val="auto"/>
        </w:rPr>
      </w:pPr>
    </w:p>
    <w:p>
      <w:pPr>
        <w:ind w:left="1040"/>
        <w:spacing w:after="0"/>
        <w:rPr>
          <w:rFonts w:ascii="Calibri" w:cs="Calibri" w:eastAsia="Calibri" w:hAnsi="Calibri"/>
          <w:sz w:val="18"/>
          <w:szCs w:val="18"/>
          <w:u w:val="single" w:color="auto"/>
          <w:color w:val="0000FF"/>
        </w:rPr>
      </w:pPr>
      <w:hyperlink r:id="rId696">
        <w:r>
          <w:rPr>
            <w:rFonts w:ascii="Calibri" w:cs="Calibri" w:eastAsia="Calibri" w:hAnsi="Calibri"/>
            <w:sz w:val="18"/>
            <w:szCs w:val="18"/>
            <w:u w:val="single" w:color="auto"/>
            <w:color w:val="0000FF"/>
          </w:rPr>
          <w:t>Form of Indemnifcaton Agreement (incorporated herein by reference to Exhibit 10(k) of Cabot’s Annual Report on Form 10-K for its fscal</w:t>
        </w:r>
      </w:hyperlink>
    </w:p>
    <w:p>
      <w:pPr>
        <w:ind w:left="220"/>
        <w:spacing w:after="0" w:line="193" w:lineRule="auto"/>
        <w:rPr>
          <w:sz w:val="20"/>
          <w:szCs w:val="20"/>
          <w:color w:val="auto"/>
        </w:rPr>
      </w:pPr>
      <w:r>
        <w:rPr>
          <w:rFonts w:ascii="Calibri" w:cs="Calibri" w:eastAsia="Calibri" w:hAnsi="Calibri"/>
          <w:sz w:val="11"/>
          <w:szCs w:val="11"/>
          <w:color w:val="auto"/>
        </w:rPr>
        <w:t>10(o)*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-42545</wp:posOffset>
            </wp:positionV>
            <wp:extent cx="637222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7">
                      <a:extLst>
                        <a:ext uri="{28A0092B-C50C-407E-A947-70E740481C1C}"/>
                      </a:extLst>
                    </a:blip>
                    <a:srcRect/>
                    <a:stretch>
                      <a:fillRect/>
                    </a:stretch>
                  </pic:blipFill>
                  <pic:spPr bwMode="auto">
                    <a:xfrm>
                      <a:off x="0" y="0"/>
                      <a:ext cx="6372225" cy="8255"/>
                    </a:xfrm>
                    <a:prstGeom prst="rect">
                      <a:avLst/>
                    </a:prstGeom>
                    <a:noFill/>
                  </pic:spPr>
                </pic:pic>
              </a:graphicData>
            </a:graphic>
          </wp:anchor>
        </w:drawing>
      </w:r>
    </w:p>
    <w:p>
      <w:pPr>
        <w:ind w:left="1040"/>
        <w:spacing w:after="0" w:line="195" w:lineRule="auto"/>
        <w:rPr>
          <w:rFonts w:ascii="Calibri" w:cs="Calibri" w:eastAsia="Calibri" w:hAnsi="Calibri"/>
          <w:sz w:val="18"/>
          <w:szCs w:val="18"/>
          <w:u w:val="single" w:color="auto"/>
          <w:color w:val="0000FF"/>
        </w:rPr>
      </w:pPr>
      <w:hyperlink r:id="rId696">
        <w:r>
          <w:rPr>
            <w:rFonts w:ascii="Calibri" w:cs="Calibri" w:eastAsia="Calibri" w:hAnsi="Calibri"/>
            <w:sz w:val="18"/>
            <w:szCs w:val="18"/>
            <w:u w:val="single" w:color="auto"/>
            <w:color w:val="0000FF"/>
          </w:rPr>
          <w:t>year ended September 30, 2022, fle reference 1-5667, fled with the SEC on November 23,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-18415</wp:posOffset>
            </wp:positionV>
            <wp:extent cx="440817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8">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247" w:lineRule="exact"/>
        <w:rPr>
          <w:sz w:val="20"/>
          <w:szCs w:val="20"/>
          <w:color w:val="auto"/>
        </w:rPr>
      </w:pPr>
    </w:p>
    <w:p>
      <w:pPr>
        <w:ind w:left="320"/>
        <w:spacing w:after="0"/>
        <w:tabs>
          <w:tab w:leader="none" w:pos="1020" w:val="left"/>
        </w:tabs>
        <w:rPr>
          <w:sz w:val="20"/>
          <w:szCs w:val="20"/>
          <w:color w:val="auto"/>
        </w:rPr>
      </w:pPr>
      <w:r>
        <w:rPr>
          <w:rFonts w:ascii="Calibri" w:cs="Calibri" w:eastAsia="Calibri" w:hAnsi="Calibri"/>
          <w:sz w:val="18"/>
          <w:szCs w:val="18"/>
          <w:color w:val="auto"/>
        </w:rPr>
        <w:t>21†</w:t>
      </w:r>
      <w:r>
        <w:rPr>
          <w:sz w:val="20"/>
          <w:szCs w:val="20"/>
          <w:color w:val="auto"/>
        </w:rPr>
        <w:tab/>
      </w:r>
      <w:r>
        <w:rPr>
          <w:rFonts w:ascii="Calibri" w:cs="Calibri" w:eastAsia="Calibri" w:hAnsi="Calibri"/>
          <w:sz w:val="18"/>
          <w:szCs w:val="18"/>
          <w:u w:val="single" w:color="auto"/>
          <w:color w:val="0000FF"/>
        </w:rPr>
        <w:t>Subsidiaries of Cabot Corporaton.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-19050</wp:posOffset>
            </wp:positionV>
            <wp:extent cx="154432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9">
                      <a:extLst>
                        <a:ext uri="{28A0092B-C50C-407E-A947-70E740481C1C}"/>
                      </a:extLst>
                    </a:blip>
                    <a:srcRect/>
                    <a:stretch>
                      <a:fillRect/>
                    </a:stretch>
                  </pic:blipFill>
                  <pic:spPr bwMode="auto">
                    <a:xfrm>
                      <a:off x="0" y="0"/>
                      <a:ext cx="1544320" cy="8890"/>
                    </a:xfrm>
                    <a:prstGeom prst="rect">
                      <a:avLst/>
                    </a:prstGeom>
                    <a:noFill/>
                  </pic:spPr>
                </pic:pic>
              </a:graphicData>
            </a:graphic>
          </wp:anchor>
        </w:drawing>
      </w:r>
    </w:p>
    <w:p>
      <w:pPr>
        <w:spacing w:after="0" w:line="246" w:lineRule="exact"/>
        <w:rPr>
          <w:sz w:val="20"/>
          <w:szCs w:val="20"/>
          <w:color w:val="auto"/>
        </w:rPr>
      </w:pPr>
    </w:p>
    <w:p>
      <w:pPr>
        <w:ind w:left="260"/>
        <w:spacing w:after="0"/>
        <w:tabs>
          <w:tab w:leader="none" w:pos="1020" w:val="left"/>
        </w:tabs>
        <w:rPr>
          <w:sz w:val="20"/>
          <w:szCs w:val="20"/>
          <w:color w:val="auto"/>
        </w:rPr>
      </w:pPr>
      <w:r>
        <w:rPr>
          <w:rFonts w:ascii="Calibri" w:cs="Calibri" w:eastAsia="Calibri" w:hAnsi="Calibri"/>
          <w:sz w:val="18"/>
          <w:szCs w:val="18"/>
          <w:color w:val="auto"/>
        </w:rPr>
        <w:t>23†</w:t>
      </w:r>
      <w:r>
        <w:rPr>
          <w:sz w:val="20"/>
          <w:szCs w:val="20"/>
          <w:color w:val="auto"/>
        </w:rPr>
        <w:tab/>
      </w:r>
      <w:r>
        <w:rPr>
          <w:rFonts w:ascii="Calibri" w:cs="Calibri" w:eastAsia="Calibri" w:hAnsi="Calibri"/>
          <w:sz w:val="18"/>
          <w:szCs w:val="18"/>
          <w:u w:val="single" w:color="auto"/>
          <w:color w:val="0000FF"/>
        </w:rPr>
        <w:t>Consent of Deloite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-18415</wp:posOffset>
            </wp:positionV>
            <wp:extent cx="151130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00">
                      <a:extLst>
                        <a:ext uri="{28A0092B-C50C-407E-A947-70E740481C1C}"/>
                      </a:extLst>
                    </a:blip>
                    <a:srcRect/>
                    <a:stretch>
                      <a:fillRect/>
                    </a:stretch>
                  </pic:blipFill>
                  <pic:spPr bwMode="auto">
                    <a:xfrm>
                      <a:off x="0" y="0"/>
                      <a:ext cx="1511300" cy="8255"/>
                    </a:xfrm>
                    <a:prstGeom prst="rect">
                      <a:avLst/>
                    </a:prstGeom>
                    <a:noFill/>
                  </pic:spPr>
                </pic:pic>
              </a:graphicData>
            </a:graphic>
          </wp:anchor>
        </w:drawing>
      </w:r>
    </w:p>
    <w:p>
      <w:pPr>
        <w:spacing w:after="0" w:line="246" w:lineRule="exact"/>
        <w:rPr>
          <w:sz w:val="20"/>
          <w:szCs w:val="20"/>
          <w:color w:val="auto"/>
        </w:rPr>
      </w:pPr>
    </w:p>
    <w:p>
      <w:pPr>
        <w:ind w:left="180"/>
        <w:spacing w:after="0"/>
        <w:tabs>
          <w:tab w:leader="none" w:pos="1020" w:val="left"/>
        </w:tabs>
        <w:rPr>
          <w:sz w:val="20"/>
          <w:szCs w:val="20"/>
          <w:color w:val="auto"/>
        </w:rPr>
      </w:pPr>
      <w:r>
        <w:rPr>
          <w:rFonts w:ascii="Calibri" w:cs="Calibri" w:eastAsia="Calibri" w:hAnsi="Calibri"/>
          <w:sz w:val="18"/>
          <w:szCs w:val="18"/>
          <w:color w:val="auto"/>
        </w:rPr>
        <w:t>31(i)†</w:t>
      </w:r>
      <w:r>
        <w:rPr>
          <w:sz w:val="20"/>
          <w:szCs w:val="20"/>
          <w:color w:val="auto"/>
        </w:rPr>
        <w:tab/>
      </w:r>
      <w:r>
        <w:rPr>
          <w:rFonts w:ascii="Calibri" w:cs="Calibri" w:eastAsia="Calibri" w:hAnsi="Calibri"/>
          <w:sz w:val="18"/>
          <w:szCs w:val="18"/>
          <w:u w:val="single" w:color="auto"/>
          <w:color w:val="0000FF"/>
        </w:rPr>
        <w:t>Certfcaton of Principal Executve Ofcer required by Rule 13a-14(a) or Rule 15d-14(a)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-18415</wp:posOffset>
            </wp:positionV>
            <wp:extent cx="48596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01">
                      <a:extLst>
                        <a:ext uri="{28A0092B-C50C-407E-A947-70E740481C1C}"/>
                      </a:extLst>
                    </a:blip>
                    <a:srcRect/>
                    <a:stretch>
                      <a:fillRect/>
                    </a:stretch>
                  </pic:blipFill>
                  <pic:spPr bwMode="auto">
                    <a:xfrm>
                      <a:off x="0" y="0"/>
                      <a:ext cx="4859655" cy="8255"/>
                    </a:xfrm>
                    <a:prstGeom prst="rect">
                      <a:avLst/>
                    </a:prstGeom>
                    <a:noFill/>
                  </pic:spPr>
                </pic:pic>
              </a:graphicData>
            </a:graphic>
          </wp:anchor>
        </w:drawing>
      </w:r>
    </w:p>
    <w:p>
      <w:pPr>
        <w:spacing w:after="0" w:line="246" w:lineRule="exact"/>
        <w:rPr>
          <w:sz w:val="20"/>
          <w:szCs w:val="20"/>
          <w:color w:val="auto"/>
        </w:rPr>
      </w:pPr>
    </w:p>
    <w:p>
      <w:pPr>
        <w:ind w:left="160"/>
        <w:spacing w:after="0"/>
        <w:tabs>
          <w:tab w:leader="none" w:pos="1020" w:val="left"/>
        </w:tabs>
        <w:rPr>
          <w:sz w:val="20"/>
          <w:szCs w:val="20"/>
          <w:color w:val="auto"/>
        </w:rPr>
      </w:pPr>
      <w:r>
        <w:rPr>
          <w:rFonts w:ascii="Calibri" w:cs="Calibri" w:eastAsia="Calibri" w:hAnsi="Calibri"/>
          <w:sz w:val="18"/>
          <w:szCs w:val="18"/>
          <w:color w:val="auto"/>
        </w:rPr>
        <w:t>31(ii)†</w:t>
      </w:r>
      <w:r>
        <w:rPr>
          <w:sz w:val="20"/>
          <w:szCs w:val="20"/>
          <w:color w:val="auto"/>
        </w:rPr>
        <w:tab/>
      </w:r>
      <w:r>
        <w:rPr>
          <w:rFonts w:ascii="Calibri" w:cs="Calibri" w:eastAsia="Calibri" w:hAnsi="Calibri"/>
          <w:sz w:val="18"/>
          <w:szCs w:val="18"/>
          <w:u w:val="single" w:color="auto"/>
          <w:color w:val="0000FF"/>
        </w:rPr>
        <w:t>Certfcaton of Principal Financial Ofcer required by Rule 13a-14(a) or Rule 15d-14(a)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-19050</wp:posOffset>
            </wp:positionV>
            <wp:extent cx="483108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2">
                      <a:extLst>
                        <a:ext uri="{28A0092B-C50C-407E-A947-70E740481C1C}"/>
                      </a:extLst>
                    </a:blip>
                    <a:srcRect/>
                    <a:stretch>
                      <a:fillRect/>
                    </a:stretch>
                  </pic:blipFill>
                  <pic:spPr bwMode="auto">
                    <a:xfrm>
                      <a:off x="0" y="0"/>
                      <a:ext cx="4831080" cy="8890"/>
                    </a:xfrm>
                    <a:prstGeom prst="rect">
                      <a:avLst/>
                    </a:prstGeom>
                    <a:noFill/>
                  </pic:spPr>
                </pic:pic>
              </a:graphicData>
            </a:graphic>
          </wp:anchor>
        </w:drawing>
      </w:r>
    </w:p>
    <w:p>
      <w:pPr>
        <w:spacing w:after="0" w:line="246" w:lineRule="exact"/>
        <w:rPr>
          <w:sz w:val="20"/>
          <w:szCs w:val="20"/>
          <w:color w:val="auto"/>
        </w:rPr>
      </w:pPr>
    </w:p>
    <w:p>
      <w:pPr>
        <w:ind w:left="220"/>
        <w:spacing w:after="0"/>
        <w:tabs>
          <w:tab w:leader="none" w:pos="1020" w:val="left"/>
        </w:tabs>
        <w:rPr>
          <w:sz w:val="20"/>
          <w:szCs w:val="20"/>
          <w:color w:val="auto"/>
        </w:rPr>
      </w:pPr>
      <w:r>
        <w:rPr>
          <w:rFonts w:ascii="Calibri" w:cs="Calibri" w:eastAsia="Calibri" w:hAnsi="Calibri"/>
          <w:sz w:val="18"/>
          <w:szCs w:val="18"/>
          <w:color w:val="auto"/>
        </w:rPr>
        <w:t>32††</w:t>
      </w:r>
      <w:r>
        <w:rPr>
          <w:sz w:val="20"/>
          <w:szCs w:val="20"/>
          <w:color w:val="auto"/>
        </w:rPr>
        <w:tab/>
      </w:r>
      <w:r>
        <w:rPr>
          <w:rFonts w:ascii="Calibri" w:cs="Calibri" w:eastAsia="Calibri" w:hAnsi="Calibri"/>
          <w:sz w:val="18"/>
          <w:szCs w:val="18"/>
          <w:u w:val="single" w:color="auto"/>
          <w:color w:val="0000FF"/>
        </w:rPr>
        <w:t>Certfcatons of the Principal Executve Ofcer and Principal Financial Ofcer pursuant to 18 U.S.C. Secton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-18415</wp:posOffset>
            </wp:positionV>
            <wp:extent cx="506920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3">
                      <a:extLst>
                        <a:ext uri="{28A0092B-C50C-407E-A947-70E740481C1C}"/>
                      </a:extLst>
                    </a:blip>
                    <a:srcRect/>
                    <a:stretch>
                      <a:fillRect/>
                    </a:stretch>
                  </pic:blipFill>
                  <pic:spPr bwMode="auto">
                    <a:xfrm>
                      <a:off x="0" y="0"/>
                      <a:ext cx="5069205" cy="8890"/>
                    </a:xfrm>
                    <a:prstGeom prst="rect">
                      <a:avLst/>
                    </a:prstGeom>
                    <a:noFill/>
                  </pic:spPr>
                </pic:pic>
              </a:graphicData>
            </a:graphic>
          </wp:anchor>
        </w:drawing>
      </w:r>
    </w:p>
    <w:p>
      <w:pPr>
        <w:spacing w:after="0" w:line="175" w:lineRule="exact"/>
        <w:rPr>
          <w:sz w:val="20"/>
          <w:szCs w:val="20"/>
          <w:color w:val="auto"/>
        </w:rPr>
      </w:pPr>
    </w:p>
    <w:p>
      <w:pPr>
        <w:ind w:left="1040"/>
        <w:spacing w:after="0"/>
        <w:rPr>
          <w:sz w:val="20"/>
          <w:szCs w:val="20"/>
          <w:color w:val="auto"/>
        </w:rPr>
      </w:pPr>
      <w:r>
        <w:rPr>
          <w:rFonts w:ascii="Calibri" w:cs="Calibri" w:eastAsia="Calibri" w:hAnsi="Calibri"/>
          <w:sz w:val="18"/>
          <w:szCs w:val="18"/>
          <w:color w:val="auto"/>
        </w:rPr>
        <w:t>Inline XBRL Instance Document – the instance document does not appear in the Interactve Data File because XBRL tags are embedded</w:t>
      </w:r>
    </w:p>
    <w:p>
      <w:pPr>
        <w:ind w:left="60"/>
        <w:spacing w:after="0" w:line="193" w:lineRule="auto"/>
        <w:rPr>
          <w:sz w:val="20"/>
          <w:szCs w:val="20"/>
          <w:color w:val="auto"/>
        </w:rPr>
      </w:pPr>
      <w:r>
        <w:rPr>
          <w:rFonts w:ascii="Calibri" w:cs="Calibri" w:eastAsia="Calibri" w:hAnsi="Calibri"/>
          <w:sz w:val="11"/>
          <w:szCs w:val="11"/>
          <w:color w:val="auto"/>
        </w:rPr>
        <w:t>101.INS†</w:t>
      </w:r>
    </w:p>
    <w:p>
      <w:pPr>
        <w:ind w:left="1040"/>
        <w:spacing w:after="0" w:line="195" w:lineRule="auto"/>
        <w:rPr>
          <w:sz w:val="20"/>
          <w:szCs w:val="20"/>
          <w:color w:val="auto"/>
        </w:rPr>
      </w:pPr>
      <w:r>
        <w:rPr>
          <w:rFonts w:ascii="Calibri" w:cs="Calibri" w:eastAsia="Calibri" w:hAnsi="Calibri"/>
          <w:sz w:val="18"/>
          <w:szCs w:val="18"/>
          <w:color w:val="auto"/>
        </w:rPr>
        <w:t>within the Inline XBRL document.</w:t>
      </w:r>
    </w:p>
    <w:p>
      <w:pPr>
        <w:spacing w:after="0" w:line="267" w:lineRule="exact"/>
        <w:rPr>
          <w:sz w:val="20"/>
          <w:szCs w:val="20"/>
          <w:color w:val="auto"/>
        </w:rPr>
      </w:pPr>
    </w:p>
    <w:p>
      <w:pPr>
        <w:ind w:left="40"/>
        <w:spacing w:after="0"/>
        <w:tabs>
          <w:tab w:leader="none" w:pos="1020" w:val="left"/>
        </w:tabs>
        <w:rPr>
          <w:sz w:val="20"/>
          <w:szCs w:val="20"/>
          <w:color w:val="auto"/>
        </w:rPr>
      </w:pPr>
      <w:r>
        <w:rPr>
          <w:rFonts w:ascii="Calibri" w:cs="Calibri" w:eastAsia="Calibri" w:hAnsi="Calibri"/>
          <w:sz w:val="18"/>
          <w:szCs w:val="18"/>
          <w:color w:val="auto"/>
        </w:rPr>
        <w:t>101.SCH†</w:t>
      </w:r>
      <w:r>
        <w:rPr>
          <w:sz w:val="20"/>
          <w:szCs w:val="20"/>
          <w:color w:val="auto"/>
        </w:rPr>
        <w:tab/>
      </w:r>
      <w:r>
        <w:rPr>
          <w:rFonts w:ascii="Calibri" w:cs="Calibri" w:eastAsia="Calibri" w:hAnsi="Calibri"/>
          <w:sz w:val="17"/>
          <w:szCs w:val="17"/>
          <w:color w:val="auto"/>
        </w:rPr>
        <w:t>Inline XBRL Taxonomy Extension Schema Document.</w:t>
      </w:r>
    </w:p>
    <w:p>
      <w:pPr>
        <w:spacing w:after="0" w:line="226" w:lineRule="exact"/>
        <w:rPr>
          <w:sz w:val="20"/>
          <w:szCs w:val="20"/>
          <w:color w:val="auto"/>
        </w:rPr>
      </w:pPr>
    </w:p>
    <w:p>
      <w:pPr>
        <w:jc w:val="center"/>
        <w:ind w:right="120"/>
        <w:spacing w:after="0"/>
        <w:rPr>
          <w:sz w:val="20"/>
          <w:szCs w:val="20"/>
          <w:color w:val="auto"/>
        </w:rPr>
      </w:pPr>
      <w:r>
        <w:rPr>
          <w:rFonts w:ascii="Calibri" w:cs="Calibri" w:eastAsia="Calibri" w:hAnsi="Calibri"/>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71120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60" w:top="342" w:right="35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20"/>
        </w:trPr>
        <w:tc>
          <w:tcPr>
            <w:tcW w:w="1040" w:type="dxa"/>
            <w:vAlign w:val="bottom"/>
          </w:tcPr>
          <w:p>
            <w:pPr>
              <w:ind w:left="140"/>
              <w:spacing w:after="0"/>
              <w:rPr>
                <w:sz w:val="20"/>
                <w:szCs w:val="20"/>
                <w:color w:val="auto"/>
              </w:rPr>
            </w:pPr>
            <w:r>
              <w:rPr>
                <w:rFonts w:ascii="Calibri" w:cs="Calibri" w:eastAsia="Calibri" w:hAnsi="Calibri"/>
                <w:sz w:val="18"/>
                <w:szCs w:val="18"/>
                <w:b w:val="1"/>
                <w:bCs w:val="1"/>
                <w:color w:val="auto"/>
              </w:rPr>
              <w:t>Exhibit</w:t>
            </w:r>
          </w:p>
        </w:tc>
        <w:tc>
          <w:tcPr>
            <w:tcW w:w="120" w:type="dxa"/>
            <w:vAlign w:val="bottom"/>
          </w:tcPr>
          <w:p>
            <w:pPr>
              <w:spacing w:after="0"/>
              <w:rPr>
                <w:sz w:val="19"/>
                <w:szCs w:val="19"/>
                <w:color w:val="auto"/>
              </w:rPr>
            </w:pPr>
          </w:p>
        </w:tc>
        <w:tc>
          <w:tcPr>
            <w:tcW w:w="10080" w:type="dxa"/>
            <w:vAlign w:val="bottom"/>
          </w:tcPr>
          <w:p>
            <w:pPr>
              <w:spacing w:after="0"/>
              <w:rPr>
                <w:sz w:val="19"/>
                <w:szCs w:val="19"/>
                <w:color w:val="auto"/>
              </w:rPr>
            </w:pPr>
          </w:p>
        </w:tc>
      </w:tr>
      <w:tr>
        <w:trPr>
          <w:trHeight w:val="216"/>
        </w:trPr>
        <w:tc>
          <w:tcPr>
            <w:tcW w:w="1040" w:type="dxa"/>
            <w:vAlign w:val="bottom"/>
          </w:tcPr>
          <w:p>
            <w:pPr>
              <w:ind w:left="140"/>
              <w:spacing w:after="0" w:line="216" w:lineRule="exact"/>
              <w:rPr>
                <w:sz w:val="20"/>
                <w:szCs w:val="20"/>
                <w:color w:val="auto"/>
              </w:rPr>
            </w:pPr>
            <w:r>
              <w:rPr>
                <w:rFonts w:ascii="Calibri" w:cs="Calibri" w:eastAsia="Calibri" w:hAnsi="Calibri"/>
                <w:sz w:val="18"/>
                <w:szCs w:val="18"/>
                <w:b w:val="1"/>
                <w:bCs w:val="1"/>
                <w:color w:val="auto"/>
              </w:rPr>
              <w:t>Number</w:t>
            </w:r>
          </w:p>
        </w:tc>
        <w:tc>
          <w:tcPr>
            <w:tcW w:w="120" w:type="dxa"/>
            <w:vAlign w:val="bottom"/>
          </w:tcPr>
          <w:p>
            <w:pPr>
              <w:spacing w:after="0"/>
              <w:rPr>
                <w:sz w:val="18"/>
                <w:szCs w:val="18"/>
                <w:color w:val="auto"/>
              </w:rPr>
            </w:pPr>
          </w:p>
        </w:tc>
        <w:tc>
          <w:tcPr>
            <w:tcW w:w="10080" w:type="dxa"/>
            <w:vAlign w:val="bottom"/>
          </w:tcPr>
          <w:p>
            <w:pPr>
              <w:ind w:left="4680"/>
              <w:spacing w:after="0" w:line="216" w:lineRule="exact"/>
              <w:rPr>
                <w:sz w:val="20"/>
                <w:szCs w:val="20"/>
                <w:color w:val="auto"/>
              </w:rPr>
            </w:pPr>
            <w:r>
              <w:rPr>
                <w:rFonts w:ascii="Calibri" w:cs="Calibri" w:eastAsia="Calibri" w:hAnsi="Calibri"/>
                <w:sz w:val="18"/>
                <w:szCs w:val="18"/>
                <w:b w:val="1"/>
                <w:bCs w:val="1"/>
                <w:color w:val="auto"/>
              </w:rPr>
              <w:t>Descripton</w:t>
            </w:r>
          </w:p>
        </w:tc>
      </w:tr>
      <w:tr>
        <w:trPr>
          <w:trHeight w:val="37"/>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80" w:type="dxa"/>
            <w:vAlign w:val="bottom"/>
            <w:tcBorders>
              <w:bottom w:val="single" w:sz="8" w:color="auto"/>
            </w:tcBorders>
          </w:tcPr>
          <w:p>
            <w:pPr>
              <w:spacing w:after="0"/>
              <w:rPr>
                <w:sz w:val="3"/>
                <w:szCs w:val="3"/>
                <w:color w:val="auto"/>
              </w:rPr>
            </w:pPr>
          </w:p>
        </w:tc>
      </w:tr>
      <w:tr>
        <w:trPr>
          <w:trHeight w:val="685"/>
        </w:trPr>
        <w:tc>
          <w:tcPr>
            <w:tcW w:w="1040" w:type="dxa"/>
            <w:vAlign w:val="bottom"/>
          </w:tcPr>
          <w:p>
            <w:pPr>
              <w:ind w:left="200"/>
              <w:spacing w:after="0"/>
              <w:rPr>
                <w:sz w:val="20"/>
                <w:szCs w:val="20"/>
                <w:color w:val="auto"/>
              </w:rPr>
            </w:pPr>
            <w:r>
              <w:rPr>
                <w:rFonts w:ascii="Calibri" w:cs="Calibri" w:eastAsia="Calibri" w:hAnsi="Calibri"/>
                <w:sz w:val="18"/>
                <w:szCs w:val="18"/>
                <w:color w:val="auto"/>
              </w:rPr>
              <w:t>101.CAL†</w:t>
            </w:r>
          </w:p>
        </w:tc>
        <w:tc>
          <w:tcPr>
            <w:tcW w:w="120" w:type="dxa"/>
            <w:vAlign w:val="bottom"/>
          </w:tcPr>
          <w:p>
            <w:pPr>
              <w:spacing w:after="0"/>
              <w:rPr>
                <w:sz w:val="24"/>
                <w:szCs w:val="24"/>
                <w:color w:val="auto"/>
              </w:rPr>
            </w:pPr>
          </w:p>
        </w:tc>
        <w:tc>
          <w:tcPr>
            <w:tcW w:w="10080" w:type="dxa"/>
            <w:vAlign w:val="bottom"/>
          </w:tcPr>
          <w:p>
            <w:pPr>
              <w:ind w:left="20"/>
              <w:spacing w:after="0"/>
              <w:rPr>
                <w:sz w:val="20"/>
                <w:szCs w:val="20"/>
                <w:color w:val="auto"/>
              </w:rPr>
            </w:pPr>
            <w:r>
              <w:rPr>
                <w:rFonts w:ascii="Calibri" w:cs="Calibri" w:eastAsia="Calibri" w:hAnsi="Calibri"/>
                <w:sz w:val="18"/>
                <w:szCs w:val="18"/>
                <w:color w:val="auto"/>
              </w:rPr>
              <w:t>Inline XBRL Taxonomy Extension Calculaton Linkbase Document.</w:t>
            </w:r>
          </w:p>
        </w:tc>
      </w:tr>
      <w:tr>
        <w:trPr>
          <w:trHeight w:val="486"/>
        </w:trPr>
        <w:tc>
          <w:tcPr>
            <w:tcW w:w="1040" w:type="dxa"/>
            <w:vAlign w:val="bottom"/>
          </w:tcPr>
          <w:p>
            <w:pPr>
              <w:ind w:left="200"/>
              <w:spacing w:after="0"/>
              <w:rPr>
                <w:sz w:val="20"/>
                <w:szCs w:val="20"/>
                <w:color w:val="auto"/>
              </w:rPr>
            </w:pPr>
            <w:r>
              <w:rPr>
                <w:rFonts w:ascii="Calibri" w:cs="Calibri" w:eastAsia="Calibri" w:hAnsi="Calibri"/>
                <w:sz w:val="18"/>
                <w:szCs w:val="18"/>
                <w:color w:val="auto"/>
              </w:rPr>
              <w:t>101.DEF†</w:t>
            </w:r>
          </w:p>
        </w:tc>
        <w:tc>
          <w:tcPr>
            <w:tcW w:w="120" w:type="dxa"/>
            <w:vAlign w:val="bottom"/>
          </w:tcPr>
          <w:p>
            <w:pPr>
              <w:spacing w:after="0"/>
              <w:rPr>
                <w:sz w:val="24"/>
                <w:szCs w:val="24"/>
                <w:color w:val="auto"/>
              </w:rPr>
            </w:pPr>
          </w:p>
        </w:tc>
        <w:tc>
          <w:tcPr>
            <w:tcW w:w="10080" w:type="dxa"/>
            <w:vAlign w:val="bottom"/>
          </w:tcPr>
          <w:p>
            <w:pPr>
              <w:ind w:left="20"/>
              <w:spacing w:after="0"/>
              <w:rPr>
                <w:sz w:val="20"/>
                <w:szCs w:val="20"/>
                <w:color w:val="auto"/>
              </w:rPr>
            </w:pPr>
            <w:r>
              <w:rPr>
                <w:rFonts w:ascii="Calibri" w:cs="Calibri" w:eastAsia="Calibri" w:hAnsi="Calibri"/>
                <w:sz w:val="18"/>
                <w:szCs w:val="18"/>
                <w:color w:val="auto"/>
              </w:rPr>
              <w:t>Inline XBRL Taxonomy Extension Defniton Linkbase Document.</w:t>
            </w:r>
          </w:p>
        </w:tc>
      </w:tr>
      <w:tr>
        <w:trPr>
          <w:trHeight w:val="486"/>
        </w:trPr>
        <w:tc>
          <w:tcPr>
            <w:tcW w:w="1040" w:type="dxa"/>
            <w:vAlign w:val="bottom"/>
          </w:tcPr>
          <w:p>
            <w:pPr>
              <w:ind w:left="200"/>
              <w:spacing w:after="0"/>
              <w:rPr>
                <w:sz w:val="20"/>
                <w:szCs w:val="20"/>
                <w:color w:val="auto"/>
              </w:rPr>
            </w:pPr>
            <w:r>
              <w:rPr>
                <w:rFonts w:ascii="Calibri" w:cs="Calibri" w:eastAsia="Calibri" w:hAnsi="Calibri"/>
                <w:sz w:val="18"/>
                <w:szCs w:val="18"/>
                <w:color w:val="auto"/>
              </w:rPr>
              <w:t>101.LAB†</w:t>
            </w:r>
          </w:p>
        </w:tc>
        <w:tc>
          <w:tcPr>
            <w:tcW w:w="120" w:type="dxa"/>
            <w:vAlign w:val="bottom"/>
          </w:tcPr>
          <w:p>
            <w:pPr>
              <w:spacing w:after="0"/>
              <w:rPr>
                <w:sz w:val="24"/>
                <w:szCs w:val="24"/>
                <w:color w:val="auto"/>
              </w:rPr>
            </w:pPr>
          </w:p>
        </w:tc>
        <w:tc>
          <w:tcPr>
            <w:tcW w:w="10080" w:type="dxa"/>
            <w:vAlign w:val="bottom"/>
          </w:tcPr>
          <w:p>
            <w:pPr>
              <w:ind w:left="20"/>
              <w:spacing w:after="0"/>
              <w:rPr>
                <w:sz w:val="20"/>
                <w:szCs w:val="20"/>
                <w:color w:val="auto"/>
              </w:rPr>
            </w:pPr>
            <w:r>
              <w:rPr>
                <w:rFonts w:ascii="Calibri" w:cs="Calibri" w:eastAsia="Calibri" w:hAnsi="Calibri"/>
                <w:sz w:val="18"/>
                <w:szCs w:val="18"/>
                <w:color w:val="auto"/>
              </w:rPr>
              <w:t>Inline XBRL Taxonomy Extension Label Linkbase Document.</w:t>
            </w:r>
          </w:p>
        </w:tc>
      </w:tr>
      <w:tr>
        <w:trPr>
          <w:trHeight w:val="486"/>
        </w:trPr>
        <w:tc>
          <w:tcPr>
            <w:tcW w:w="1040" w:type="dxa"/>
            <w:vAlign w:val="bottom"/>
          </w:tcPr>
          <w:p>
            <w:pPr>
              <w:ind w:left="200"/>
              <w:spacing w:after="0"/>
              <w:rPr>
                <w:sz w:val="20"/>
                <w:szCs w:val="20"/>
                <w:color w:val="auto"/>
              </w:rPr>
            </w:pPr>
            <w:r>
              <w:rPr>
                <w:rFonts w:ascii="Calibri" w:cs="Calibri" w:eastAsia="Calibri" w:hAnsi="Calibri"/>
                <w:sz w:val="18"/>
                <w:szCs w:val="18"/>
                <w:color w:val="auto"/>
              </w:rPr>
              <w:t>101.PRE†</w:t>
            </w:r>
          </w:p>
        </w:tc>
        <w:tc>
          <w:tcPr>
            <w:tcW w:w="120" w:type="dxa"/>
            <w:vAlign w:val="bottom"/>
          </w:tcPr>
          <w:p>
            <w:pPr>
              <w:spacing w:after="0"/>
              <w:rPr>
                <w:sz w:val="24"/>
                <w:szCs w:val="24"/>
                <w:color w:val="auto"/>
              </w:rPr>
            </w:pPr>
          </w:p>
        </w:tc>
        <w:tc>
          <w:tcPr>
            <w:tcW w:w="10080" w:type="dxa"/>
            <w:vAlign w:val="bottom"/>
          </w:tcPr>
          <w:p>
            <w:pPr>
              <w:ind w:left="20"/>
              <w:spacing w:after="0"/>
              <w:rPr>
                <w:sz w:val="20"/>
                <w:szCs w:val="20"/>
                <w:color w:val="auto"/>
              </w:rPr>
            </w:pPr>
            <w:r>
              <w:rPr>
                <w:rFonts w:ascii="Calibri" w:cs="Calibri" w:eastAsia="Calibri" w:hAnsi="Calibri"/>
                <w:sz w:val="18"/>
                <w:szCs w:val="18"/>
                <w:color w:val="auto"/>
              </w:rPr>
              <w:t>Inline XBRL Taxonomy Extension Presentaton Linkbase Document.</w:t>
            </w:r>
          </w:p>
        </w:tc>
      </w:tr>
      <w:tr>
        <w:trPr>
          <w:trHeight w:val="486"/>
        </w:trPr>
        <w:tc>
          <w:tcPr>
            <w:tcW w:w="1040" w:type="dxa"/>
            <w:vAlign w:val="bottom"/>
          </w:tcPr>
          <w:p>
            <w:pPr>
              <w:ind w:left="400"/>
              <w:spacing w:after="0"/>
              <w:rPr>
                <w:sz w:val="20"/>
                <w:szCs w:val="20"/>
                <w:color w:val="auto"/>
              </w:rPr>
            </w:pPr>
            <w:r>
              <w:rPr>
                <w:rFonts w:ascii="Calibri" w:cs="Calibri" w:eastAsia="Calibri" w:hAnsi="Calibri"/>
                <w:sz w:val="18"/>
                <w:szCs w:val="18"/>
                <w:color w:val="auto"/>
              </w:rPr>
              <w:t>104†</w:t>
            </w:r>
          </w:p>
        </w:tc>
        <w:tc>
          <w:tcPr>
            <w:tcW w:w="120" w:type="dxa"/>
            <w:vAlign w:val="bottom"/>
          </w:tcPr>
          <w:p>
            <w:pPr>
              <w:spacing w:after="0"/>
              <w:rPr>
                <w:sz w:val="24"/>
                <w:szCs w:val="24"/>
                <w:color w:val="auto"/>
              </w:rPr>
            </w:pPr>
          </w:p>
        </w:tc>
        <w:tc>
          <w:tcPr>
            <w:tcW w:w="10080" w:type="dxa"/>
            <w:vAlign w:val="bottom"/>
          </w:tcPr>
          <w:p>
            <w:pPr>
              <w:ind w:left="20"/>
              <w:spacing w:after="0"/>
              <w:rPr>
                <w:sz w:val="20"/>
                <w:szCs w:val="20"/>
                <w:color w:val="auto"/>
              </w:rPr>
            </w:pPr>
            <w:r>
              <w:rPr>
                <w:rFonts w:ascii="Calibri" w:cs="Calibri" w:eastAsia="Calibri" w:hAnsi="Calibri"/>
                <w:sz w:val="18"/>
                <w:szCs w:val="18"/>
                <w:color w:val="auto"/>
              </w:rPr>
              <w:t>Cover Page Interactve Data File (embedded within the Inline XBRL document).</w:t>
            </w:r>
          </w:p>
        </w:tc>
      </w:tr>
    </w:tbl>
    <w:p>
      <w:pPr>
        <w:spacing w:after="0" w:line="200" w:lineRule="exact"/>
        <w:rPr>
          <w:sz w:val="20"/>
          <w:szCs w:val="20"/>
          <w:color w:val="auto"/>
        </w:rPr>
      </w:pPr>
    </w:p>
    <w:p>
      <w:pPr>
        <w:spacing w:after="0" w:line="296" w:lineRule="exact"/>
        <w:rPr>
          <w:sz w:val="20"/>
          <w:szCs w:val="20"/>
          <w:color w:val="auto"/>
        </w:rPr>
      </w:pPr>
    </w:p>
    <w:p>
      <w:pPr>
        <w:ind w:left="140" w:hanging="132"/>
        <w:spacing w:after="0"/>
        <w:tabs>
          <w:tab w:leader="none" w:pos="14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Management contract or compensatory plan or arrangement.</w:t>
      </w:r>
    </w:p>
    <w:p>
      <w:pPr>
        <w:spacing w:after="0" w:line="7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8"/>
          <w:szCs w:val="18"/>
          <w:color w:val="auto"/>
        </w:rPr>
        <w:t>† Filed herewith.</w:t>
      </w:r>
    </w:p>
    <w:p>
      <w:pPr>
        <w:spacing w:after="0" w:line="77" w:lineRule="exact"/>
        <w:rPr>
          <w:rFonts w:ascii="Calibri" w:cs="Calibri" w:eastAsia="Calibri" w:hAnsi="Calibri"/>
          <w:sz w:val="18"/>
          <w:szCs w:val="18"/>
          <w:color w:val="auto"/>
        </w:rPr>
      </w:pPr>
    </w:p>
    <w:p>
      <w:pPr>
        <w:spacing w:after="0"/>
        <w:rPr>
          <w:rFonts w:ascii="Calibri" w:cs="Calibri" w:eastAsia="Calibri" w:hAnsi="Calibri"/>
          <w:sz w:val="18"/>
          <w:szCs w:val="18"/>
          <w:color w:val="auto"/>
        </w:rPr>
      </w:pPr>
      <w:r>
        <w:rPr>
          <w:rFonts w:ascii="Calibri" w:cs="Calibri" w:eastAsia="Calibri" w:hAnsi="Calibri"/>
          <w:sz w:val="18"/>
          <w:szCs w:val="18"/>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713232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16. </w:t>
      </w:r>
      <w:r>
        <w:rPr>
          <w:rFonts w:ascii="Calibri" w:cs="Calibri" w:eastAsia="Calibri" w:hAnsi="Calibri"/>
          <w:sz w:val="18"/>
          <w:szCs w:val="18"/>
          <w:b w:val="1"/>
          <w:bCs w:val="1"/>
          <w:i w:val="1"/>
          <w:iCs w:val="1"/>
          <w:color w:val="auto"/>
        </w:rPr>
        <w:t>Form 10-K Summary</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8" w:name="page89"/>
    <w:bookmarkEnd w:id="88"/>
    <w:p>
      <w:pPr>
        <w:jc w:val="center"/>
        <w:ind w:right="-19"/>
        <w:spacing w:after="0"/>
        <w:rPr>
          <w:sz w:val="20"/>
          <w:szCs w:val="20"/>
          <w:color w:val="auto"/>
        </w:rPr>
      </w:pPr>
      <w:r>
        <w:rPr>
          <w:rFonts w:ascii="Calibri" w:cs="Calibri" w:eastAsia="Calibri" w:hAnsi="Calibri"/>
          <w:sz w:val="18"/>
          <w:szCs w:val="18"/>
          <w:b w:val="1"/>
          <w:bCs w:val="1"/>
          <w:color w:val="auto"/>
        </w:rPr>
        <w:t>SIGNATURES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Pursuant to the requirements of Secton 13 or 15(d) of the Securites Exchange Act of 1934, the Registrant has duly caused this Report to be signed on its behalf by the undersigned, thereunto duly authorized.</w:t>
      </w:r>
    </w:p>
    <w:p>
      <w:pPr>
        <w:spacing w:after="0" w:line="118" w:lineRule="exact"/>
        <w:rPr>
          <w:sz w:val="20"/>
          <w:szCs w:val="20"/>
          <w:color w:val="auto"/>
        </w:rPr>
      </w:pPr>
    </w:p>
    <w:p>
      <w:pPr>
        <w:ind w:left="6200"/>
        <w:spacing w:after="0"/>
        <w:rPr>
          <w:sz w:val="20"/>
          <w:szCs w:val="20"/>
          <w:color w:val="auto"/>
        </w:rPr>
      </w:pPr>
      <w:r>
        <w:rPr>
          <w:rFonts w:ascii="Calibri" w:cs="Calibri" w:eastAsia="Calibri" w:hAnsi="Calibri"/>
          <w:sz w:val="18"/>
          <w:szCs w:val="18"/>
          <w:color w:val="auto"/>
        </w:rPr>
        <w:t>CABOT CORPORATION</w:t>
      </w:r>
    </w:p>
    <w:p>
      <w:pPr>
        <w:spacing w:after="0" w:line="266" w:lineRule="exact"/>
        <w:rPr>
          <w:sz w:val="20"/>
          <w:szCs w:val="20"/>
          <w:color w:val="auto"/>
        </w:rPr>
      </w:pPr>
    </w:p>
    <w:tbl>
      <w:tblPr>
        <w:tblLayout w:type="fixed"/>
        <w:tblInd w:w="6200" w:type="dxa"/>
        <w:tblCellMar>
          <w:top w:w="0" w:type="dxa"/>
          <w:left w:w="0" w:type="dxa"/>
          <w:bottom w:w="0" w:type="dxa"/>
          <w:right w:w="0" w:type="dxa"/>
        </w:tblCellMar>
      </w:tblPr>
      <w:tr>
        <w:trPr>
          <w:trHeight w:val="220"/>
        </w:trPr>
        <w:tc>
          <w:tcPr>
            <w:tcW w:w="560" w:type="dxa"/>
            <w:vAlign w:val="bottom"/>
          </w:tcPr>
          <w:p>
            <w:pPr>
              <w:spacing w:after="0"/>
              <w:rPr>
                <w:sz w:val="20"/>
                <w:szCs w:val="20"/>
                <w:color w:val="auto"/>
              </w:rPr>
            </w:pPr>
            <w:r>
              <w:rPr>
                <w:rFonts w:ascii="Calibri" w:cs="Calibri" w:eastAsia="Calibri" w:hAnsi="Calibri"/>
                <w:sz w:val="18"/>
                <w:szCs w:val="18"/>
                <w:color w:val="auto"/>
              </w:rPr>
              <w:t>BY:</w:t>
            </w:r>
          </w:p>
        </w:tc>
        <w:tc>
          <w:tcPr>
            <w:tcW w:w="4480" w:type="dxa"/>
            <w:vAlign w:val="bottom"/>
          </w:tcPr>
          <w:p>
            <w:pPr>
              <w:jc w:val="cente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3"/>
                <w:szCs w:val="13"/>
                <w:color w:val="auto"/>
              </w:rPr>
              <w:t>S</w:t>
            </w:r>
            <w:r>
              <w:rPr>
                <w:rFonts w:ascii="Calibri" w:cs="Calibri" w:eastAsia="Calibri" w:hAnsi="Calibri"/>
                <w:sz w:val="18"/>
                <w:szCs w:val="18"/>
                <w:color w:val="auto"/>
              </w:rPr>
              <w:t>/  SEAN D. KEOHANE</w:t>
            </w:r>
          </w:p>
        </w:tc>
      </w:tr>
      <w:tr>
        <w:trPr>
          <w:trHeight w:val="37"/>
        </w:trPr>
        <w:tc>
          <w:tcPr>
            <w:tcW w:w="560" w:type="dxa"/>
            <w:vAlign w:val="bottom"/>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r>
      <w:tr>
        <w:trPr>
          <w:trHeight w:val="201"/>
        </w:trPr>
        <w:tc>
          <w:tcPr>
            <w:tcW w:w="560" w:type="dxa"/>
            <w:vAlign w:val="bottom"/>
          </w:tcPr>
          <w:p>
            <w:pPr>
              <w:spacing w:after="0"/>
              <w:rPr>
                <w:sz w:val="17"/>
                <w:szCs w:val="17"/>
                <w:color w:val="auto"/>
              </w:rPr>
            </w:pPr>
          </w:p>
        </w:tc>
        <w:tc>
          <w:tcPr>
            <w:tcW w:w="4480" w:type="dxa"/>
            <w:vAlign w:val="bottom"/>
          </w:tcPr>
          <w:p>
            <w:pPr>
              <w:jc w:val="center"/>
              <w:spacing w:after="0" w:line="201" w:lineRule="exact"/>
              <w:rPr>
                <w:sz w:val="20"/>
                <w:szCs w:val="20"/>
                <w:color w:val="auto"/>
              </w:rPr>
            </w:pPr>
            <w:r>
              <w:rPr>
                <w:rFonts w:ascii="Calibri" w:cs="Calibri" w:eastAsia="Calibri" w:hAnsi="Calibri"/>
                <w:sz w:val="18"/>
                <w:szCs w:val="18"/>
                <w:color w:val="auto"/>
                <w:w w:val="97"/>
              </w:rPr>
              <w:t>Sean D. Keohane</w:t>
            </w:r>
          </w:p>
        </w:tc>
      </w:tr>
      <w:tr>
        <w:trPr>
          <w:trHeight w:val="215"/>
        </w:trPr>
        <w:tc>
          <w:tcPr>
            <w:tcW w:w="560" w:type="dxa"/>
            <w:vAlign w:val="bottom"/>
          </w:tcPr>
          <w:p>
            <w:pPr>
              <w:spacing w:after="0"/>
              <w:rPr>
                <w:sz w:val="18"/>
                <w:szCs w:val="18"/>
                <w:color w:val="auto"/>
              </w:rPr>
            </w:pPr>
          </w:p>
        </w:tc>
        <w:tc>
          <w:tcPr>
            <w:tcW w:w="4480" w:type="dxa"/>
            <w:vAlign w:val="bottom"/>
          </w:tcPr>
          <w:p>
            <w:pPr>
              <w:jc w:val="center"/>
              <w:spacing w:after="0" w:line="215" w:lineRule="exact"/>
              <w:rPr>
                <w:sz w:val="20"/>
                <w:szCs w:val="20"/>
                <w:color w:val="auto"/>
              </w:rPr>
            </w:pPr>
            <w:r>
              <w:rPr>
                <w:rFonts w:ascii="Calibri" w:cs="Calibri" w:eastAsia="Calibri" w:hAnsi="Calibri"/>
                <w:sz w:val="18"/>
                <w:szCs w:val="18"/>
                <w:color w:val="auto"/>
              </w:rPr>
              <w:t>President and Chief Executve Ofcer</w:t>
            </w:r>
          </w:p>
        </w:tc>
      </w:tr>
    </w:tbl>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color w:val="auto"/>
        </w:rPr>
        <w:t>Date: November 22, 2023</w:t>
      </w:r>
    </w:p>
    <w:p>
      <w:pPr>
        <w:spacing w:after="0" w:line="82" w:lineRule="exact"/>
        <w:rPr>
          <w:sz w:val="20"/>
          <w:szCs w:val="20"/>
          <w:color w:val="auto"/>
        </w:rPr>
      </w:pPr>
    </w:p>
    <w:p>
      <w:pPr>
        <w:ind w:right="400" w:firstLine="509"/>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this report has been signed below by the following persons on behalf of the Registrant and in the capacites and on the dates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00" w:type="dxa"/>
            <w:vAlign w:val="bottom"/>
          </w:tcPr>
          <w:p>
            <w:pPr>
              <w:jc w:val="center"/>
              <w:ind w:right="1934"/>
              <w:spacing w:after="0"/>
              <w:rPr>
                <w:sz w:val="20"/>
                <w:szCs w:val="20"/>
                <w:color w:val="auto"/>
              </w:rPr>
            </w:pPr>
            <w:r>
              <w:rPr>
                <w:rFonts w:ascii="Calibri" w:cs="Calibri" w:eastAsia="Calibri" w:hAnsi="Calibri"/>
                <w:sz w:val="14"/>
                <w:szCs w:val="14"/>
                <w:b w:val="1"/>
                <w:bCs w:val="1"/>
                <w:color w:val="auto"/>
              </w:rPr>
              <w:t>Signatures</w:t>
            </w:r>
          </w:p>
        </w:tc>
        <w:tc>
          <w:tcPr>
            <w:tcW w:w="24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Calibri" w:cs="Calibri" w:eastAsia="Calibri" w:hAnsi="Calibri"/>
                <w:sz w:val="14"/>
                <w:szCs w:val="14"/>
                <w:b w:val="1"/>
                <w:bCs w:val="1"/>
                <w:color w:val="auto"/>
              </w:rPr>
              <w:t>Title</w:t>
            </w:r>
          </w:p>
        </w:tc>
        <w:tc>
          <w:tcPr>
            <w:tcW w:w="2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Calibri" w:cs="Calibri" w:eastAsia="Calibri" w:hAnsi="Calibri"/>
                <w:sz w:val="14"/>
                <w:szCs w:val="14"/>
                <w:b w:val="1"/>
                <w:bCs w:val="1"/>
                <w:color w:val="auto"/>
              </w:rPr>
              <w:t>Date</w:t>
            </w:r>
          </w:p>
        </w:tc>
        <w:tc>
          <w:tcPr>
            <w:tcW w:w="0" w:type="dxa"/>
            <w:vAlign w:val="bottom"/>
          </w:tcPr>
          <w:p>
            <w:pPr>
              <w:spacing w:after="0"/>
              <w:rPr>
                <w:sz w:val="1"/>
                <w:szCs w:val="1"/>
                <w:color w:val="auto"/>
              </w:rPr>
            </w:pPr>
          </w:p>
        </w:tc>
      </w:tr>
      <w:tr>
        <w:trPr>
          <w:trHeight w:val="33"/>
        </w:trPr>
        <w:tc>
          <w:tcPr>
            <w:tcW w:w="1900" w:type="dxa"/>
            <w:vAlign w:val="bottom"/>
            <w:tcBorders>
              <w:bottom w:val="single" w:sz="8" w:color="auto"/>
            </w:tcBorders>
            <w:gridSpan w:val="2"/>
          </w:tcPr>
          <w:p>
            <w:pPr>
              <w:spacing w:after="0"/>
              <w:rPr>
                <w:sz w:val="2"/>
                <w:szCs w:val="2"/>
                <w:color w:val="auto"/>
              </w:rPr>
            </w:pPr>
          </w:p>
        </w:tc>
        <w:tc>
          <w:tcPr>
            <w:tcW w:w="304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1900" w:type="dxa"/>
            <w:vAlign w:val="bottom"/>
            <w:gridSpan w:val="2"/>
          </w:tcPr>
          <w:p>
            <w:pPr>
              <w:ind w:left="1640"/>
              <w:spacing w:after="0"/>
              <w:rPr>
                <w:sz w:val="20"/>
                <w:szCs w:val="20"/>
                <w:color w:val="auto"/>
              </w:rPr>
            </w:pPr>
            <w:r>
              <w:rPr>
                <w:rFonts w:ascii="Calibri" w:cs="Calibri" w:eastAsia="Calibri" w:hAnsi="Calibri"/>
                <w:sz w:val="18"/>
                <w:szCs w:val="18"/>
                <w:color w:val="auto"/>
              </w:rPr>
              <w:t>/s/</w:t>
            </w:r>
          </w:p>
        </w:tc>
        <w:tc>
          <w:tcPr>
            <w:tcW w:w="3040" w:type="dxa"/>
            <w:vAlign w:val="bottom"/>
            <w:gridSpan w:val="2"/>
          </w:tcPr>
          <w:p>
            <w:pPr>
              <w:jc w:val="center"/>
              <w:ind w:right="1434"/>
              <w:spacing w:after="0"/>
              <w:rPr>
                <w:sz w:val="20"/>
                <w:szCs w:val="20"/>
                <w:color w:val="auto"/>
              </w:rPr>
            </w:pPr>
            <w:r>
              <w:rPr>
                <w:rFonts w:ascii="Calibri" w:cs="Calibri" w:eastAsia="Calibri" w:hAnsi="Calibri"/>
                <w:sz w:val="18"/>
                <w:szCs w:val="18"/>
                <w:color w:val="auto"/>
                <w:w w:val="97"/>
              </w:rPr>
              <w:t>SEAN D. KEOHANE</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5"/>
              </w:rPr>
              <w:t>Director, President and</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22, 2023</w:t>
            </w:r>
          </w:p>
        </w:tc>
        <w:tc>
          <w:tcPr>
            <w:tcW w:w="0" w:type="dxa"/>
            <w:vAlign w:val="bottom"/>
          </w:tcPr>
          <w:p>
            <w:pPr>
              <w:spacing w:after="0"/>
              <w:rPr>
                <w:sz w:val="1"/>
                <w:szCs w:val="1"/>
                <w:color w:val="auto"/>
              </w:rPr>
            </w:pPr>
          </w:p>
        </w:tc>
      </w:tr>
      <w:tr>
        <w:trPr>
          <w:trHeight w:val="37"/>
        </w:trPr>
        <w:tc>
          <w:tcPr>
            <w:tcW w:w="168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gridSpan w:val="3"/>
          </w:tcPr>
          <w:p>
            <w:pPr>
              <w:spacing w:after="0"/>
              <w:rPr>
                <w:sz w:val="3"/>
                <w:szCs w:val="3"/>
                <w:color w:val="auto"/>
              </w:rPr>
            </w:pPr>
          </w:p>
        </w:tc>
        <w:tc>
          <w:tcPr>
            <w:tcW w:w="240" w:type="dxa"/>
            <w:vAlign w:val="bottom"/>
          </w:tcPr>
          <w:p>
            <w:pPr>
              <w:spacing w:after="0"/>
              <w:rPr>
                <w:sz w:val="3"/>
                <w:szCs w:val="3"/>
                <w:color w:val="auto"/>
              </w:rPr>
            </w:pPr>
          </w:p>
        </w:tc>
        <w:tc>
          <w:tcPr>
            <w:tcW w:w="3820" w:type="dxa"/>
            <w:vAlign w:val="bottom"/>
            <w:vMerge w:val="restart"/>
          </w:tcPr>
          <w:p>
            <w:pPr>
              <w:jc w:val="center"/>
              <w:spacing w:after="0"/>
              <w:rPr>
                <w:sz w:val="20"/>
                <w:szCs w:val="20"/>
                <w:color w:val="auto"/>
              </w:rPr>
            </w:pPr>
            <w:r>
              <w:rPr>
                <w:rFonts w:ascii="Calibri" w:cs="Calibri" w:eastAsia="Calibri" w:hAnsi="Calibri"/>
                <w:sz w:val="18"/>
                <w:szCs w:val="18"/>
                <w:color w:val="auto"/>
              </w:rPr>
              <w:t>Chief Executve Ofcer</w:t>
            </w:r>
          </w:p>
        </w:tc>
        <w:tc>
          <w:tcPr>
            <w:tcW w:w="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680" w:type="dxa"/>
            <w:vAlign w:val="bottom"/>
          </w:tcPr>
          <w:p>
            <w:pPr>
              <w:spacing w:after="0"/>
              <w:rPr>
                <w:sz w:val="18"/>
                <w:szCs w:val="18"/>
                <w:color w:val="auto"/>
              </w:rPr>
            </w:pPr>
          </w:p>
        </w:tc>
        <w:tc>
          <w:tcPr>
            <w:tcW w:w="3260" w:type="dxa"/>
            <w:vAlign w:val="bottom"/>
            <w:gridSpan w:val="3"/>
          </w:tcPr>
          <w:p>
            <w:pPr>
              <w:jc w:val="center"/>
              <w:ind w:right="1574"/>
              <w:spacing w:after="0" w:line="208" w:lineRule="exact"/>
              <w:rPr>
                <w:sz w:val="20"/>
                <w:szCs w:val="20"/>
                <w:color w:val="auto"/>
              </w:rPr>
            </w:pPr>
            <w:r>
              <w:rPr>
                <w:rFonts w:ascii="Calibri" w:cs="Calibri" w:eastAsia="Calibri" w:hAnsi="Calibri"/>
                <w:sz w:val="18"/>
                <w:szCs w:val="18"/>
                <w:color w:val="auto"/>
                <w:w w:val="97"/>
              </w:rPr>
              <w:t>Sean D. Keohane</w:t>
            </w:r>
          </w:p>
        </w:tc>
        <w:tc>
          <w:tcPr>
            <w:tcW w:w="24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900" w:type="dxa"/>
            <w:vAlign w:val="bottom"/>
            <w:gridSpan w:val="2"/>
          </w:tcPr>
          <w:p>
            <w:pPr>
              <w:ind w:left="1540"/>
              <w:spacing w:after="0"/>
              <w:rPr>
                <w:sz w:val="20"/>
                <w:szCs w:val="20"/>
                <w:color w:val="auto"/>
              </w:rPr>
            </w:pPr>
            <w:r>
              <w:rPr>
                <w:rFonts w:ascii="Calibri" w:cs="Calibri" w:eastAsia="Calibri" w:hAnsi="Calibri"/>
                <w:sz w:val="18"/>
                <w:szCs w:val="18"/>
                <w:color w:val="auto"/>
              </w:rPr>
              <w:t>/s/</w:t>
            </w:r>
          </w:p>
        </w:tc>
        <w:tc>
          <w:tcPr>
            <w:tcW w:w="3040" w:type="dxa"/>
            <w:vAlign w:val="bottom"/>
            <w:gridSpan w:val="2"/>
          </w:tcPr>
          <w:p>
            <w:pPr>
              <w:spacing w:after="0"/>
              <w:rPr>
                <w:sz w:val="20"/>
                <w:szCs w:val="20"/>
                <w:color w:val="auto"/>
              </w:rPr>
            </w:pPr>
            <w:r>
              <w:rPr>
                <w:rFonts w:ascii="Calibri" w:cs="Calibri" w:eastAsia="Calibri" w:hAnsi="Calibri"/>
                <w:sz w:val="18"/>
                <w:szCs w:val="18"/>
                <w:color w:val="auto"/>
              </w:rPr>
              <w:t>ERICA MCLAUGHLIN</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8"/>
              </w:rPr>
              <w:t>Executve Vice President and</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22, 2023</w:t>
            </w:r>
          </w:p>
        </w:tc>
        <w:tc>
          <w:tcPr>
            <w:tcW w:w="0" w:type="dxa"/>
            <w:vAlign w:val="bottom"/>
          </w:tcPr>
          <w:p>
            <w:pPr>
              <w:spacing w:after="0"/>
              <w:rPr>
                <w:sz w:val="1"/>
                <w:szCs w:val="1"/>
                <w:color w:val="auto"/>
              </w:rPr>
            </w:pPr>
          </w:p>
        </w:tc>
      </w:tr>
      <w:tr>
        <w:trPr>
          <w:trHeight w:val="37"/>
        </w:trPr>
        <w:tc>
          <w:tcPr>
            <w:tcW w:w="168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gridSpan w:val="3"/>
          </w:tcPr>
          <w:p>
            <w:pPr>
              <w:spacing w:after="0"/>
              <w:rPr>
                <w:sz w:val="3"/>
                <w:szCs w:val="3"/>
                <w:color w:val="auto"/>
              </w:rPr>
            </w:pPr>
          </w:p>
        </w:tc>
        <w:tc>
          <w:tcPr>
            <w:tcW w:w="240" w:type="dxa"/>
            <w:vAlign w:val="bottom"/>
          </w:tcPr>
          <w:p>
            <w:pPr>
              <w:spacing w:after="0"/>
              <w:rPr>
                <w:sz w:val="3"/>
                <w:szCs w:val="3"/>
                <w:color w:val="auto"/>
              </w:rPr>
            </w:pPr>
          </w:p>
        </w:tc>
        <w:tc>
          <w:tcPr>
            <w:tcW w:w="3820" w:type="dxa"/>
            <w:vAlign w:val="bottom"/>
            <w:vMerge w:val="restart"/>
          </w:tcPr>
          <w:p>
            <w:pPr>
              <w:jc w:val="center"/>
              <w:spacing w:after="0"/>
              <w:rPr>
                <w:sz w:val="20"/>
                <w:szCs w:val="20"/>
                <w:color w:val="auto"/>
              </w:rPr>
            </w:pPr>
            <w:r>
              <w:rPr>
                <w:rFonts w:ascii="Calibri" w:cs="Calibri" w:eastAsia="Calibri" w:hAnsi="Calibri"/>
                <w:sz w:val="18"/>
                <w:szCs w:val="18"/>
                <w:color w:val="auto"/>
              </w:rPr>
              <w:t>Chief Financial Ofcer</w:t>
            </w:r>
          </w:p>
        </w:tc>
        <w:tc>
          <w:tcPr>
            <w:tcW w:w="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680" w:type="dxa"/>
            <w:vAlign w:val="bottom"/>
          </w:tcPr>
          <w:p>
            <w:pPr>
              <w:spacing w:after="0"/>
              <w:rPr>
                <w:sz w:val="18"/>
                <w:szCs w:val="18"/>
                <w:color w:val="auto"/>
              </w:rPr>
            </w:pPr>
          </w:p>
        </w:tc>
        <w:tc>
          <w:tcPr>
            <w:tcW w:w="3260" w:type="dxa"/>
            <w:vAlign w:val="bottom"/>
            <w:gridSpan w:val="3"/>
          </w:tcPr>
          <w:p>
            <w:pPr>
              <w:jc w:val="center"/>
              <w:ind w:right="1574"/>
              <w:spacing w:after="0" w:line="208" w:lineRule="exact"/>
              <w:rPr>
                <w:sz w:val="20"/>
                <w:szCs w:val="20"/>
                <w:color w:val="auto"/>
              </w:rPr>
            </w:pPr>
            <w:r>
              <w:rPr>
                <w:rFonts w:ascii="Calibri" w:cs="Calibri" w:eastAsia="Calibri" w:hAnsi="Calibri"/>
                <w:sz w:val="18"/>
                <w:szCs w:val="18"/>
                <w:color w:val="auto"/>
                <w:w w:val="96"/>
              </w:rPr>
              <w:t>Erica McLaughlin</w:t>
            </w:r>
          </w:p>
        </w:tc>
        <w:tc>
          <w:tcPr>
            <w:tcW w:w="24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rPr>
              <w:t>(principal fnancial ofcer)</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900" w:type="dxa"/>
            <w:vAlign w:val="bottom"/>
            <w:gridSpan w:val="2"/>
          </w:tcPr>
          <w:p>
            <w:pPr>
              <w:ind w:left="1660"/>
              <w:spacing w:after="0"/>
              <w:rPr>
                <w:sz w:val="20"/>
                <w:szCs w:val="20"/>
                <w:color w:val="auto"/>
              </w:rPr>
            </w:pPr>
            <w:r>
              <w:rPr>
                <w:rFonts w:ascii="Calibri" w:cs="Calibri" w:eastAsia="Calibri" w:hAnsi="Calibri"/>
                <w:sz w:val="18"/>
                <w:szCs w:val="18"/>
                <w:color w:val="auto"/>
              </w:rPr>
              <w:t>/s/</w:t>
            </w:r>
          </w:p>
        </w:tc>
        <w:tc>
          <w:tcPr>
            <w:tcW w:w="3040" w:type="dxa"/>
            <w:vAlign w:val="bottom"/>
            <w:gridSpan w:val="2"/>
          </w:tcPr>
          <w:p>
            <w:pPr>
              <w:jc w:val="center"/>
              <w:ind w:right="1454"/>
              <w:spacing w:after="0"/>
              <w:rPr>
                <w:sz w:val="20"/>
                <w:szCs w:val="20"/>
                <w:color w:val="auto"/>
              </w:rPr>
            </w:pPr>
            <w:r>
              <w:rPr>
                <w:rFonts w:ascii="Calibri" w:cs="Calibri" w:eastAsia="Calibri" w:hAnsi="Calibri"/>
                <w:sz w:val="18"/>
                <w:szCs w:val="18"/>
                <w:color w:val="auto"/>
                <w:w w:val="97"/>
              </w:rPr>
              <w:t>LISA M. DUMONT</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7"/>
              </w:rPr>
              <w:t>Vice President and Controller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22, 2023</w:t>
            </w:r>
          </w:p>
        </w:tc>
        <w:tc>
          <w:tcPr>
            <w:tcW w:w="0" w:type="dxa"/>
            <w:vAlign w:val="bottom"/>
          </w:tcPr>
          <w:p>
            <w:pPr>
              <w:spacing w:after="0"/>
              <w:rPr>
                <w:sz w:val="1"/>
                <w:szCs w:val="1"/>
                <w:color w:val="auto"/>
              </w:rPr>
            </w:pPr>
          </w:p>
        </w:tc>
      </w:tr>
      <w:tr>
        <w:trPr>
          <w:trHeight w:val="37"/>
        </w:trPr>
        <w:tc>
          <w:tcPr>
            <w:tcW w:w="1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gridSpan w:val="2"/>
          </w:tcPr>
          <w:p>
            <w:pPr>
              <w:spacing w:after="0"/>
              <w:rPr>
                <w:sz w:val="3"/>
                <w:szCs w:val="3"/>
                <w:color w:val="auto"/>
              </w:rPr>
            </w:pPr>
          </w:p>
        </w:tc>
        <w:tc>
          <w:tcPr>
            <w:tcW w:w="240" w:type="dxa"/>
            <w:vAlign w:val="bottom"/>
          </w:tcPr>
          <w:p>
            <w:pPr>
              <w:spacing w:after="0"/>
              <w:rPr>
                <w:sz w:val="3"/>
                <w:szCs w:val="3"/>
                <w:color w:val="auto"/>
              </w:rPr>
            </w:pPr>
          </w:p>
        </w:tc>
        <w:tc>
          <w:tcPr>
            <w:tcW w:w="3820" w:type="dxa"/>
            <w:vAlign w:val="bottom"/>
            <w:vMerge w:val="restart"/>
          </w:tcPr>
          <w:p>
            <w:pPr>
              <w:jc w:val="center"/>
              <w:spacing w:after="0"/>
              <w:rPr>
                <w:sz w:val="20"/>
                <w:szCs w:val="20"/>
                <w:color w:val="auto"/>
              </w:rPr>
            </w:pPr>
            <w:r>
              <w:rPr>
                <w:rFonts w:ascii="Calibri" w:cs="Calibri" w:eastAsia="Calibri" w:hAnsi="Calibri"/>
                <w:sz w:val="18"/>
                <w:szCs w:val="18"/>
                <w:color w:val="auto"/>
              </w:rPr>
              <w:t>(principal accountng ofcer)</w:t>
            </w:r>
          </w:p>
        </w:tc>
        <w:tc>
          <w:tcPr>
            <w:tcW w:w="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tcPr>
          <w:p>
            <w:pPr>
              <w:jc w:val="center"/>
              <w:ind w:right="1794"/>
              <w:spacing w:after="0" w:line="208" w:lineRule="exact"/>
              <w:rPr>
                <w:sz w:val="20"/>
                <w:szCs w:val="20"/>
                <w:color w:val="auto"/>
              </w:rPr>
            </w:pPr>
            <w:r>
              <w:rPr>
                <w:rFonts w:ascii="Calibri" w:cs="Calibri" w:eastAsia="Calibri" w:hAnsi="Calibri"/>
                <w:sz w:val="18"/>
                <w:szCs w:val="18"/>
                <w:color w:val="auto"/>
                <w:w w:val="97"/>
              </w:rPr>
              <w:t>Lisa M. Dumont</w:t>
            </w:r>
          </w:p>
        </w:tc>
        <w:tc>
          <w:tcPr>
            <w:tcW w:w="24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680" w:type="dxa"/>
            <w:vAlign w:val="bottom"/>
          </w:tcPr>
          <w:p>
            <w:pPr>
              <w:ind w:left="1480"/>
              <w:spacing w:after="0"/>
              <w:rPr>
                <w:sz w:val="20"/>
                <w:szCs w:val="20"/>
                <w:color w:val="auto"/>
              </w:rPr>
            </w:pPr>
            <w:r>
              <w:rPr>
                <w:rFonts w:ascii="Calibri" w:cs="Calibri" w:eastAsia="Calibri" w:hAnsi="Calibri"/>
                <w:sz w:val="18"/>
                <w:szCs w:val="18"/>
                <w:color w:val="auto"/>
                <w:w w:val="85"/>
              </w:rPr>
              <w:t>/s/</w:t>
            </w:r>
          </w:p>
        </w:tc>
        <w:tc>
          <w:tcPr>
            <w:tcW w:w="3260" w:type="dxa"/>
            <w:vAlign w:val="bottom"/>
            <w:gridSpan w:val="3"/>
          </w:tcPr>
          <w:p>
            <w:pPr>
              <w:jc w:val="center"/>
              <w:ind w:right="1214"/>
              <w:spacing w:after="0"/>
              <w:rPr>
                <w:sz w:val="20"/>
                <w:szCs w:val="20"/>
                <w:color w:val="auto"/>
              </w:rPr>
            </w:pPr>
            <w:r>
              <w:rPr>
                <w:rFonts w:ascii="Calibri" w:cs="Calibri" w:eastAsia="Calibri" w:hAnsi="Calibri"/>
                <w:sz w:val="18"/>
                <w:szCs w:val="18"/>
                <w:color w:val="auto"/>
                <w:w w:val="98"/>
              </w:rPr>
              <w:t>MICHAEL M. MORROW</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7"/>
              </w:rPr>
              <w:t>Director, Non-Executve</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22, 2023</w:t>
            </w:r>
          </w:p>
        </w:tc>
        <w:tc>
          <w:tcPr>
            <w:tcW w:w="0" w:type="dxa"/>
            <w:vAlign w:val="bottom"/>
          </w:tcPr>
          <w:p>
            <w:pPr>
              <w:spacing w:after="0"/>
              <w:rPr>
                <w:sz w:val="1"/>
                <w:szCs w:val="1"/>
                <w:color w:val="auto"/>
              </w:rPr>
            </w:pPr>
          </w:p>
        </w:tc>
      </w:tr>
      <w:tr>
        <w:trPr>
          <w:trHeight w:val="37"/>
        </w:trPr>
        <w:tc>
          <w:tcPr>
            <w:tcW w:w="168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gridSpan w:val="3"/>
          </w:tcPr>
          <w:p>
            <w:pPr>
              <w:spacing w:after="0"/>
              <w:rPr>
                <w:sz w:val="3"/>
                <w:szCs w:val="3"/>
                <w:color w:val="auto"/>
              </w:rPr>
            </w:pPr>
          </w:p>
        </w:tc>
        <w:tc>
          <w:tcPr>
            <w:tcW w:w="240" w:type="dxa"/>
            <w:vAlign w:val="bottom"/>
          </w:tcPr>
          <w:p>
            <w:pPr>
              <w:spacing w:after="0"/>
              <w:rPr>
                <w:sz w:val="3"/>
                <w:szCs w:val="3"/>
                <w:color w:val="auto"/>
              </w:rPr>
            </w:pPr>
          </w:p>
        </w:tc>
        <w:tc>
          <w:tcPr>
            <w:tcW w:w="3820" w:type="dxa"/>
            <w:vAlign w:val="bottom"/>
            <w:vMerge w:val="restart"/>
          </w:tcPr>
          <w:p>
            <w:pPr>
              <w:jc w:val="center"/>
              <w:spacing w:after="0"/>
              <w:rPr>
                <w:sz w:val="20"/>
                <w:szCs w:val="20"/>
                <w:color w:val="auto"/>
              </w:rPr>
            </w:pPr>
            <w:r>
              <w:rPr>
                <w:rFonts w:ascii="Calibri" w:cs="Calibri" w:eastAsia="Calibri" w:hAnsi="Calibri"/>
                <w:sz w:val="18"/>
                <w:szCs w:val="18"/>
                <w:color w:val="auto"/>
                <w:w w:val="97"/>
              </w:rPr>
              <w:t>Chair of the Board</w:t>
            </w:r>
          </w:p>
        </w:tc>
        <w:tc>
          <w:tcPr>
            <w:tcW w:w="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680" w:type="dxa"/>
            <w:vAlign w:val="bottom"/>
          </w:tcPr>
          <w:p>
            <w:pPr>
              <w:spacing w:after="0"/>
              <w:rPr>
                <w:sz w:val="18"/>
                <w:szCs w:val="18"/>
                <w:color w:val="auto"/>
              </w:rPr>
            </w:pPr>
          </w:p>
        </w:tc>
        <w:tc>
          <w:tcPr>
            <w:tcW w:w="3260" w:type="dxa"/>
            <w:vAlign w:val="bottom"/>
            <w:gridSpan w:val="3"/>
          </w:tcPr>
          <w:p>
            <w:pPr>
              <w:jc w:val="center"/>
              <w:ind w:right="1574"/>
              <w:spacing w:after="0" w:line="208" w:lineRule="exact"/>
              <w:rPr>
                <w:sz w:val="20"/>
                <w:szCs w:val="20"/>
                <w:color w:val="auto"/>
              </w:rPr>
            </w:pPr>
            <w:r>
              <w:rPr>
                <w:rFonts w:ascii="Calibri" w:cs="Calibri" w:eastAsia="Calibri" w:hAnsi="Calibri"/>
                <w:sz w:val="18"/>
                <w:szCs w:val="18"/>
                <w:color w:val="auto"/>
                <w:w w:val="98"/>
              </w:rPr>
              <w:t>Michael M. Morrow</w:t>
            </w:r>
          </w:p>
        </w:tc>
        <w:tc>
          <w:tcPr>
            <w:tcW w:w="24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900" w:type="dxa"/>
            <w:vAlign w:val="bottom"/>
            <w:gridSpan w:val="2"/>
          </w:tcPr>
          <w:p>
            <w:pPr>
              <w:ind w:left="1540"/>
              <w:spacing w:after="0"/>
              <w:rPr>
                <w:sz w:val="20"/>
                <w:szCs w:val="20"/>
                <w:color w:val="auto"/>
              </w:rPr>
            </w:pPr>
            <w:r>
              <w:rPr>
                <w:rFonts w:ascii="Calibri" w:cs="Calibri" w:eastAsia="Calibri" w:hAnsi="Calibri"/>
                <w:sz w:val="18"/>
                <w:szCs w:val="18"/>
                <w:color w:val="auto"/>
              </w:rPr>
              <w:t>/s/</w:t>
            </w:r>
          </w:p>
        </w:tc>
        <w:tc>
          <w:tcPr>
            <w:tcW w:w="3040" w:type="dxa"/>
            <w:vAlign w:val="bottom"/>
            <w:gridSpan w:val="2"/>
          </w:tcPr>
          <w:p>
            <w:pPr>
              <w:jc w:val="center"/>
              <w:ind w:right="1474"/>
              <w:spacing w:after="0"/>
              <w:rPr>
                <w:sz w:val="20"/>
                <w:szCs w:val="20"/>
                <w:color w:val="auto"/>
              </w:rPr>
            </w:pPr>
            <w:r>
              <w:rPr>
                <w:rFonts w:ascii="Calibri" w:cs="Calibri" w:eastAsia="Calibri" w:hAnsi="Calibri"/>
                <w:sz w:val="18"/>
                <w:szCs w:val="18"/>
                <w:color w:val="auto"/>
                <w:w w:val="98"/>
              </w:rPr>
              <w:t>CYNTHIA A. ARNOLD</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22, 2023</w:t>
            </w:r>
          </w:p>
        </w:tc>
        <w:tc>
          <w:tcPr>
            <w:tcW w:w="0" w:type="dxa"/>
            <w:vAlign w:val="bottom"/>
          </w:tcPr>
          <w:p>
            <w:pPr>
              <w:spacing w:after="0"/>
              <w:rPr>
                <w:sz w:val="1"/>
                <w:szCs w:val="1"/>
                <w:color w:val="auto"/>
              </w:rPr>
            </w:pPr>
          </w:p>
        </w:tc>
      </w:tr>
      <w:tr>
        <w:trPr>
          <w:trHeight w:val="37"/>
        </w:trPr>
        <w:tc>
          <w:tcPr>
            <w:tcW w:w="168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gridSpan w:val="3"/>
          </w:tcPr>
          <w:p>
            <w:pPr>
              <w:spacing w:after="0"/>
              <w:rPr>
                <w:sz w:val="3"/>
                <w:szCs w:val="3"/>
                <w:color w:val="auto"/>
              </w:rPr>
            </w:pPr>
          </w:p>
        </w:tc>
        <w:tc>
          <w:tcPr>
            <w:tcW w:w="240" w:type="dxa"/>
            <w:vAlign w:val="bottom"/>
          </w:tcPr>
          <w:p>
            <w:pPr>
              <w:spacing w:after="0"/>
              <w:rPr>
                <w:sz w:val="3"/>
                <w:szCs w:val="3"/>
                <w:color w:val="auto"/>
              </w:rPr>
            </w:pPr>
          </w:p>
        </w:tc>
        <w:tc>
          <w:tcPr>
            <w:tcW w:w="3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680" w:type="dxa"/>
            <w:vAlign w:val="bottom"/>
          </w:tcPr>
          <w:p>
            <w:pPr>
              <w:spacing w:after="0"/>
              <w:rPr>
                <w:sz w:val="18"/>
                <w:szCs w:val="18"/>
                <w:color w:val="auto"/>
              </w:rPr>
            </w:pPr>
          </w:p>
        </w:tc>
        <w:tc>
          <w:tcPr>
            <w:tcW w:w="3260" w:type="dxa"/>
            <w:vAlign w:val="bottom"/>
            <w:gridSpan w:val="3"/>
          </w:tcPr>
          <w:p>
            <w:pPr>
              <w:jc w:val="center"/>
              <w:ind w:right="1614"/>
              <w:spacing w:after="0" w:line="208" w:lineRule="exact"/>
              <w:rPr>
                <w:sz w:val="20"/>
                <w:szCs w:val="20"/>
                <w:color w:val="auto"/>
              </w:rPr>
            </w:pPr>
            <w:r>
              <w:rPr>
                <w:rFonts w:ascii="Calibri" w:cs="Calibri" w:eastAsia="Calibri" w:hAnsi="Calibri"/>
                <w:sz w:val="18"/>
                <w:szCs w:val="18"/>
                <w:color w:val="auto"/>
                <w:w w:val="97"/>
              </w:rPr>
              <w:t>Cynthia A. Arnold</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4940" w:type="dxa"/>
            <w:vAlign w:val="bottom"/>
            <w:gridSpan w:val="4"/>
          </w:tcPr>
          <w:p>
            <w:pPr>
              <w:jc w:val="center"/>
              <w:spacing w:after="0"/>
              <w:rPr>
                <w:sz w:val="20"/>
                <w:szCs w:val="20"/>
                <w:color w:val="auto"/>
              </w:rPr>
            </w:pPr>
            <w:r>
              <w:rPr>
                <w:rFonts w:ascii="Calibri" w:cs="Calibri" w:eastAsia="Calibri" w:hAnsi="Calibri"/>
                <w:sz w:val="18"/>
                <w:szCs w:val="18"/>
                <w:color w:val="auto"/>
                <w:w w:val="96"/>
              </w:rPr>
              <w:t>/s/ DOUGLAS DEL GROSSO</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22, 2023</w:t>
            </w:r>
          </w:p>
        </w:tc>
        <w:tc>
          <w:tcPr>
            <w:tcW w:w="0" w:type="dxa"/>
            <w:vAlign w:val="bottom"/>
          </w:tcPr>
          <w:p>
            <w:pPr>
              <w:spacing w:after="0"/>
              <w:rPr>
                <w:sz w:val="1"/>
                <w:szCs w:val="1"/>
                <w:color w:val="auto"/>
              </w:rPr>
            </w:pPr>
          </w:p>
        </w:tc>
      </w:tr>
      <w:tr>
        <w:trPr>
          <w:trHeight w:val="37"/>
        </w:trPr>
        <w:tc>
          <w:tcPr>
            <w:tcW w:w="168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gridSpan w:val="3"/>
          </w:tcPr>
          <w:p>
            <w:pPr>
              <w:spacing w:after="0"/>
              <w:rPr>
                <w:sz w:val="3"/>
                <w:szCs w:val="3"/>
                <w:color w:val="auto"/>
              </w:rPr>
            </w:pPr>
          </w:p>
        </w:tc>
        <w:tc>
          <w:tcPr>
            <w:tcW w:w="240" w:type="dxa"/>
            <w:vAlign w:val="bottom"/>
          </w:tcPr>
          <w:p>
            <w:pPr>
              <w:spacing w:after="0"/>
              <w:rPr>
                <w:sz w:val="3"/>
                <w:szCs w:val="3"/>
                <w:color w:val="auto"/>
              </w:rPr>
            </w:pPr>
          </w:p>
        </w:tc>
        <w:tc>
          <w:tcPr>
            <w:tcW w:w="3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680" w:type="dxa"/>
            <w:vAlign w:val="bottom"/>
          </w:tcPr>
          <w:p>
            <w:pPr>
              <w:spacing w:after="0"/>
              <w:rPr>
                <w:sz w:val="18"/>
                <w:szCs w:val="18"/>
                <w:color w:val="auto"/>
              </w:rPr>
            </w:pPr>
          </w:p>
        </w:tc>
        <w:tc>
          <w:tcPr>
            <w:tcW w:w="3260" w:type="dxa"/>
            <w:vAlign w:val="bottom"/>
            <w:gridSpan w:val="3"/>
          </w:tcPr>
          <w:p>
            <w:pPr>
              <w:jc w:val="center"/>
              <w:ind w:right="1574"/>
              <w:spacing w:after="0" w:line="208" w:lineRule="exact"/>
              <w:rPr>
                <w:sz w:val="20"/>
                <w:szCs w:val="20"/>
                <w:color w:val="auto"/>
              </w:rPr>
            </w:pPr>
            <w:r>
              <w:rPr>
                <w:rFonts w:ascii="Calibri" w:cs="Calibri" w:eastAsia="Calibri" w:hAnsi="Calibri"/>
                <w:sz w:val="18"/>
                <w:szCs w:val="18"/>
                <w:color w:val="auto"/>
                <w:w w:val="96"/>
              </w:rPr>
              <w:t>Douglas Del Grosso</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680" w:type="dxa"/>
            <w:vAlign w:val="bottom"/>
          </w:tcPr>
          <w:p>
            <w:pPr>
              <w:spacing w:after="0"/>
              <w:rPr>
                <w:sz w:val="24"/>
                <w:szCs w:val="24"/>
                <w:color w:val="auto"/>
              </w:rPr>
            </w:pPr>
          </w:p>
        </w:tc>
        <w:tc>
          <w:tcPr>
            <w:tcW w:w="3260" w:type="dxa"/>
            <w:vAlign w:val="bottom"/>
            <w:gridSpan w:val="3"/>
          </w:tcPr>
          <w:p>
            <w:pPr>
              <w:jc w:val="center"/>
              <w:ind w:right="1574"/>
              <w:spacing w:after="0"/>
              <w:rPr>
                <w:sz w:val="20"/>
                <w:szCs w:val="20"/>
                <w:color w:val="auto"/>
              </w:rPr>
            </w:pPr>
            <w:r>
              <w:rPr>
                <w:rFonts w:ascii="Calibri" w:cs="Calibri" w:eastAsia="Calibri" w:hAnsi="Calibri"/>
                <w:sz w:val="18"/>
                <w:szCs w:val="18"/>
                <w:color w:val="auto"/>
                <w:w w:val="97"/>
              </w:rPr>
              <w:t>/s/ JUAN ENRIQUEZ</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22, 2023</w:t>
            </w:r>
          </w:p>
        </w:tc>
        <w:tc>
          <w:tcPr>
            <w:tcW w:w="0" w:type="dxa"/>
            <w:vAlign w:val="bottom"/>
          </w:tcPr>
          <w:p>
            <w:pPr>
              <w:spacing w:after="0"/>
              <w:rPr>
                <w:sz w:val="1"/>
                <w:szCs w:val="1"/>
                <w:color w:val="auto"/>
              </w:rPr>
            </w:pPr>
          </w:p>
        </w:tc>
      </w:tr>
      <w:tr>
        <w:trPr>
          <w:trHeight w:val="37"/>
        </w:trPr>
        <w:tc>
          <w:tcPr>
            <w:tcW w:w="1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gridSpan w:val="2"/>
          </w:tcPr>
          <w:p>
            <w:pPr>
              <w:spacing w:after="0"/>
              <w:rPr>
                <w:sz w:val="3"/>
                <w:szCs w:val="3"/>
                <w:color w:val="auto"/>
              </w:rPr>
            </w:pPr>
          </w:p>
        </w:tc>
        <w:tc>
          <w:tcPr>
            <w:tcW w:w="240" w:type="dxa"/>
            <w:vAlign w:val="bottom"/>
          </w:tcPr>
          <w:p>
            <w:pPr>
              <w:spacing w:after="0"/>
              <w:rPr>
                <w:sz w:val="3"/>
                <w:szCs w:val="3"/>
                <w:color w:val="auto"/>
              </w:rPr>
            </w:pPr>
          </w:p>
        </w:tc>
        <w:tc>
          <w:tcPr>
            <w:tcW w:w="3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tcPr>
          <w:p>
            <w:pPr>
              <w:jc w:val="center"/>
              <w:ind w:right="1794"/>
              <w:spacing w:after="0" w:line="208" w:lineRule="exact"/>
              <w:rPr>
                <w:sz w:val="20"/>
                <w:szCs w:val="20"/>
                <w:color w:val="auto"/>
              </w:rPr>
            </w:pPr>
            <w:r>
              <w:rPr>
                <w:rFonts w:ascii="Calibri" w:cs="Calibri" w:eastAsia="Calibri" w:hAnsi="Calibri"/>
                <w:sz w:val="18"/>
                <w:szCs w:val="18"/>
                <w:color w:val="auto"/>
                <w:w w:val="99"/>
              </w:rPr>
              <w:t>Juan Enriquez</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900" w:type="dxa"/>
            <w:vAlign w:val="bottom"/>
            <w:gridSpan w:val="2"/>
          </w:tcPr>
          <w:p>
            <w:pPr>
              <w:ind w:left="1660"/>
              <w:spacing w:after="0"/>
              <w:rPr>
                <w:sz w:val="20"/>
                <w:szCs w:val="20"/>
                <w:color w:val="auto"/>
              </w:rPr>
            </w:pPr>
            <w:r>
              <w:rPr>
                <w:rFonts w:ascii="Calibri" w:cs="Calibri" w:eastAsia="Calibri" w:hAnsi="Calibri"/>
                <w:sz w:val="18"/>
                <w:szCs w:val="18"/>
                <w:color w:val="auto"/>
              </w:rPr>
              <w:t>/s/</w:t>
            </w:r>
          </w:p>
        </w:tc>
        <w:tc>
          <w:tcPr>
            <w:tcW w:w="3040" w:type="dxa"/>
            <w:vAlign w:val="bottom"/>
            <w:gridSpan w:val="2"/>
          </w:tcPr>
          <w:p>
            <w:pPr>
              <w:jc w:val="center"/>
              <w:ind w:right="1434"/>
              <w:spacing w:after="0"/>
              <w:rPr>
                <w:sz w:val="20"/>
                <w:szCs w:val="20"/>
                <w:color w:val="auto"/>
              </w:rPr>
            </w:pPr>
            <w:r>
              <w:rPr>
                <w:rFonts w:ascii="Calibri" w:cs="Calibri" w:eastAsia="Calibri" w:hAnsi="Calibri"/>
                <w:sz w:val="18"/>
                <w:szCs w:val="18"/>
                <w:color w:val="auto"/>
                <w:w w:val="98"/>
              </w:rPr>
              <w:t>WILLIAM C. KIRBY</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22, 2023</w:t>
            </w:r>
          </w:p>
        </w:tc>
        <w:tc>
          <w:tcPr>
            <w:tcW w:w="0" w:type="dxa"/>
            <w:vAlign w:val="bottom"/>
          </w:tcPr>
          <w:p>
            <w:pPr>
              <w:spacing w:after="0"/>
              <w:rPr>
                <w:sz w:val="1"/>
                <w:szCs w:val="1"/>
                <w:color w:val="auto"/>
              </w:rPr>
            </w:pPr>
          </w:p>
        </w:tc>
      </w:tr>
      <w:tr>
        <w:trPr>
          <w:trHeight w:val="37"/>
        </w:trPr>
        <w:tc>
          <w:tcPr>
            <w:tcW w:w="1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gridSpan w:val="2"/>
          </w:tcPr>
          <w:p>
            <w:pPr>
              <w:spacing w:after="0"/>
              <w:rPr>
                <w:sz w:val="3"/>
                <w:szCs w:val="3"/>
                <w:color w:val="auto"/>
              </w:rPr>
            </w:pPr>
          </w:p>
        </w:tc>
        <w:tc>
          <w:tcPr>
            <w:tcW w:w="240" w:type="dxa"/>
            <w:vAlign w:val="bottom"/>
          </w:tcPr>
          <w:p>
            <w:pPr>
              <w:spacing w:after="0"/>
              <w:rPr>
                <w:sz w:val="3"/>
                <w:szCs w:val="3"/>
                <w:color w:val="auto"/>
              </w:rPr>
            </w:pPr>
          </w:p>
        </w:tc>
        <w:tc>
          <w:tcPr>
            <w:tcW w:w="3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tcPr>
          <w:p>
            <w:pPr>
              <w:jc w:val="center"/>
              <w:ind w:right="1794"/>
              <w:spacing w:after="0" w:line="208" w:lineRule="exact"/>
              <w:rPr>
                <w:sz w:val="20"/>
                <w:szCs w:val="20"/>
                <w:color w:val="auto"/>
              </w:rPr>
            </w:pPr>
            <w:r>
              <w:rPr>
                <w:rFonts w:ascii="Calibri" w:cs="Calibri" w:eastAsia="Calibri" w:hAnsi="Calibri"/>
                <w:sz w:val="18"/>
                <w:szCs w:val="18"/>
                <w:color w:val="auto"/>
                <w:w w:val="97"/>
              </w:rPr>
              <w:t>William C. Kirby</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68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Calibri" w:cs="Calibri" w:eastAsia="Calibri" w:hAnsi="Calibri"/>
                <w:sz w:val="18"/>
                <w:szCs w:val="18"/>
                <w:color w:val="auto"/>
              </w:rPr>
              <w:t>/s/</w:t>
            </w:r>
          </w:p>
        </w:tc>
        <w:tc>
          <w:tcPr>
            <w:tcW w:w="2900" w:type="dxa"/>
            <w:vAlign w:val="bottom"/>
          </w:tcPr>
          <w:p>
            <w:pPr>
              <w:jc w:val="center"/>
              <w:ind w:right="1574"/>
              <w:spacing w:after="0"/>
              <w:rPr>
                <w:sz w:val="20"/>
                <w:szCs w:val="20"/>
                <w:color w:val="auto"/>
              </w:rPr>
            </w:pPr>
            <w:r>
              <w:rPr>
                <w:rFonts w:ascii="Calibri" w:cs="Calibri" w:eastAsia="Calibri" w:hAnsi="Calibri"/>
                <w:sz w:val="18"/>
                <w:szCs w:val="18"/>
                <w:color w:val="auto"/>
                <w:w w:val="97"/>
              </w:rPr>
              <w:t>RAFFIQ NATHOO</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22, 2023</w:t>
            </w:r>
          </w:p>
        </w:tc>
        <w:tc>
          <w:tcPr>
            <w:tcW w:w="0" w:type="dxa"/>
            <w:vAlign w:val="bottom"/>
          </w:tcPr>
          <w:p>
            <w:pPr>
              <w:spacing w:after="0"/>
              <w:rPr>
                <w:sz w:val="1"/>
                <w:szCs w:val="1"/>
                <w:color w:val="auto"/>
              </w:rPr>
            </w:pPr>
          </w:p>
        </w:tc>
      </w:tr>
      <w:tr>
        <w:trPr>
          <w:trHeight w:val="37"/>
        </w:trPr>
        <w:tc>
          <w:tcPr>
            <w:tcW w:w="1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gridSpan w:val="2"/>
          </w:tcPr>
          <w:p>
            <w:pPr>
              <w:spacing w:after="0"/>
              <w:rPr>
                <w:sz w:val="3"/>
                <w:szCs w:val="3"/>
                <w:color w:val="auto"/>
              </w:rPr>
            </w:pPr>
          </w:p>
        </w:tc>
        <w:tc>
          <w:tcPr>
            <w:tcW w:w="240" w:type="dxa"/>
            <w:vAlign w:val="bottom"/>
          </w:tcPr>
          <w:p>
            <w:pPr>
              <w:spacing w:after="0"/>
              <w:rPr>
                <w:sz w:val="3"/>
                <w:szCs w:val="3"/>
                <w:color w:val="auto"/>
              </w:rPr>
            </w:pPr>
          </w:p>
        </w:tc>
        <w:tc>
          <w:tcPr>
            <w:tcW w:w="3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tcPr>
          <w:p>
            <w:pPr>
              <w:jc w:val="center"/>
              <w:ind w:right="1794"/>
              <w:spacing w:after="0" w:line="208" w:lineRule="exact"/>
              <w:rPr>
                <w:sz w:val="20"/>
                <w:szCs w:val="20"/>
                <w:color w:val="auto"/>
              </w:rPr>
            </w:pPr>
            <w:r>
              <w:rPr>
                <w:rFonts w:ascii="Calibri" w:cs="Calibri" w:eastAsia="Calibri" w:hAnsi="Calibri"/>
                <w:sz w:val="18"/>
                <w:szCs w:val="18"/>
                <w:color w:val="auto"/>
              </w:rPr>
              <w:t>Rafq Nathoo</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680" w:type="dxa"/>
            <w:vAlign w:val="bottom"/>
          </w:tcPr>
          <w:p>
            <w:pPr>
              <w:spacing w:after="0"/>
              <w:rPr>
                <w:sz w:val="24"/>
                <w:szCs w:val="24"/>
                <w:color w:val="auto"/>
              </w:rPr>
            </w:pPr>
          </w:p>
        </w:tc>
        <w:tc>
          <w:tcPr>
            <w:tcW w:w="360" w:type="dxa"/>
            <w:vAlign w:val="bottom"/>
            <w:gridSpan w:val="2"/>
          </w:tcPr>
          <w:p>
            <w:pPr>
              <w:ind w:left="160"/>
              <w:spacing w:after="0"/>
              <w:rPr>
                <w:sz w:val="20"/>
                <w:szCs w:val="20"/>
                <w:color w:val="auto"/>
              </w:rPr>
            </w:pPr>
            <w:r>
              <w:rPr>
                <w:rFonts w:ascii="Calibri" w:cs="Calibri" w:eastAsia="Calibri" w:hAnsi="Calibri"/>
                <w:sz w:val="18"/>
                <w:szCs w:val="18"/>
                <w:color w:val="auto"/>
                <w:w w:val="85"/>
              </w:rPr>
              <w:t>/s/</w:t>
            </w:r>
          </w:p>
        </w:tc>
        <w:tc>
          <w:tcPr>
            <w:tcW w:w="2900" w:type="dxa"/>
            <w:vAlign w:val="bottom"/>
          </w:tcPr>
          <w:p>
            <w:pPr>
              <w:jc w:val="center"/>
              <w:ind w:right="1574"/>
              <w:spacing w:after="0"/>
              <w:rPr>
                <w:sz w:val="20"/>
                <w:szCs w:val="20"/>
                <w:color w:val="auto"/>
              </w:rPr>
            </w:pPr>
            <w:r>
              <w:rPr>
                <w:rFonts w:ascii="Calibri" w:cs="Calibri" w:eastAsia="Calibri" w:hAnsi="Calibri"/>
                <w:sz w:val="18"/>
                <w:szCs w:val="18"/>
                <w:color w:val="auto"/>
                <w:w w:val="94"/>
              </w:rPr>
              <w:t>SUE H. RATAJ</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22, 2023</w:t>
            </w:r>
          </w:p>
        </w:tc>
        <w:tc>
          <w:tcPr>
            <w:tcW w:w="0" w:type="dxa"/>
            <w:vAlign w:val="bottom"/>
          </w:tcPr>
          <w:p>
            <w:pPr>
              <w:spacing w:after="0"/>
              <w:rPr>
                <w:sz w:val="1"/>
                <w:szCs w:val="1"/>
                <w:color w:val="auto"/>
              </w:rPr>
            </w:pPr>
          </w:p>
        </w:tc>
      </w:tr>
      <w:tr>
        <w:trPr>
          <w:trHeight w:val="37"/>
        </w:trPr>
        <w:tc>
          <w:tcPr>
            <w:tcW w:w="1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jc w:val="center"/>
              <w:ind w:right="1934"/>
              <w:spacing w:after="0" w:line="208" w:lineRule="exact"/>
              <w:rPr>
                <w:sz w:val="20"/>
                <w:szCs w:val="20"/>
                <w:color w:val="auto"/>
              </w:rPr>
            </w:pPr>
            <w:r>
              <w:rPr>
                <w:rFonts w:ascii="Calibri" w:cs="Calibri" w:eastAsia="Calibri" w:hAnsi="Calibri"/>
                <w:sz w:val="18"/>
                <w:szCs w:val="18"/>
                <w:color w:val="auto"/>
                <w:w w:val="95"/>
              </w:rPr>
              <w:t>Sue H. Rataj</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680" w:type="dxa"/>
            <w:vAlign w:val="bottom"/>
          </w:tcPr>
          <w:p>
            <w:pPr>
              <w:ind w:left="1480"/>
              <w:spacing w:after="0"/>
              <w:rPr>
                <w:sz w:val="20"/>
                <w:szCs w:val="20"/>
                <w:color w:val="auto"/>
              </w:rPr>
            </w:pPr>
            <w:r>
              <w:rPr>
                <w:rFonts w:ascii="Calibri" w:cs="Calibri" w:eastAsia="Calibri" w:hAnsi="Calibri"/>
                <w:sz w:val="18"/>
                <w:szCs w:val="18"/>
                <w:color w:val="auto"/>
                <w:w w:val="85"/>
              </w:rPr>
              <w:t>/s/</w:t>
            </w:r>
          </w:p>
        </w:tc>
        <w:tc>
          <w:tcPr>
            <w:tcW w:w="3260" w:type="dxa"/>
            <w:vAlign w:val="bottom"/>
            <w:gridSpan w:val="3"/>
          </w:tcPr>
          <w:p>
            <w:pPr>
              <w:jc w:val="center"/>
              <w:ind w:right="1214"/>
              <w:spacing w:after="0"/>
              <w:rPr>
                <w:sz w:val="20"/>
                <w:szCs w:val="20"/>
                <w:color w:val="auto"/>
              </w:rPr>
            </w:pPr>
            <w:r>
              <w:rPr>
                <w:rFonts w:ascii="Calibri" w:cs="Calibri" w:eastAsia="Calibri" w:hAnsi="Calibri"/>
                <w:sz w:val="18"/>
                <w:szCs w:val="18"/>
                <w:color w:val="auto"/>
                <w:w w:val="96"/>
              </w:rPr>
              <w:t>MICHELLE E. WILLIAMS</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22, 2023</w:t>
            </w:r>
          </w:p>
        </w:tc>
        <w:tc>
          <w:tcPr>
            <w:tcW w:w="0" w:type="dxa"/>
            <w:vAlign w:val="bottom"/>
          </w:tcPr>
          <w:p>
            <w:pPr>
              <w:spacing w:after="0"/>
              <w:rPr>
                <w:sz w:val="1"/>
                <w:szCs w:val="1"/>
                <w:color w:val="auto"/>
              </w:rPr>
            </w:pPr>
          </w:p>
        </w:tc>
      </w:tr>
      <w:tr>
        <w:trPr>
          <w:trHeight w:val="37"/>
        </w:trPr>
        <w:tc>
          <w:tcPr>
            <w:tcW w:w="168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gridSpan w:val="3"/>
          </w:tcPr>
          <w:p>
            <w:pPr>
              <w:spacing w:after="0"/>
              <w:rPr>
                <w:sz w:val="3"/>
                <w:szCs w:val="3"/>
                <w:color w:val="auto"/>
              </w:rPr>
            </w:pPr>
          </w:p>
        </w:tc>
        <w:tc>
          <w:tcPr>
            <w:tcW w:w="240" w:type="dxa"/>
            <w:vAlign w:val="bottom"/>
          </w:tcPr>
          <w:p>
            <w:pPr>
              <w:spacing w:after="0"/>
              <w:rPr>
                <w:sz w:val="3"/>
                <w:szCs w:val="3"/>
                <w:color w:val="auto"/>
              </w:rPr>
            </w:pPr>
          </w:p>
        </w:tc>
        <w:tc>
          <w:tcPr>
            <w:tcW w:w="3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680" w:type="dxa"/>
            <w:vAlign w:val="bottom"/>
          </w:tcPr>
          <w:p>
            <w:pPr>
              <w:spacing w:after="0"/>
              <w:rPr>
                <w:sz w:val="18"/>
                <w:szCs w:val="18"/>
                <w:color w:val="auto"/>
              </w:rPr>
            </w:pPr>
          </w:p>
        </w:tc>
        <w:tc>
          <w:tcPr>
            <w:tcW w:w="3260" w:type="dxa"/>
            <w:vAlign w:val="bottom"/>
            <w:gridSpan w:val="3"/>
          </w:tcPr>
          <w:p>
            <w:pPr>
              <w:jc w:val="center"/>
              <w:ind w:right="1574"/>
              <w:spacing w:after="0" w:line="208" w:lineRule="exact"/>
              <w:rPr>
                <w:sz w:val="20"/>
                <w:szCs w:val="20"/>
                <w:color w:val="auto"/>
              </w:rPr>
            </w:pPr>
            <w:r>
              <w:rPr>
                <w:rFonts w:ascii="Calibri" w:cs="Calibri" w:eastAsia="Calibri" w:hAnsi="Calibri"/>
                <w:sz w:val="18"/>
                <w:szCs w:val="18"/>
                <w:color w:val="auto"/>
                <w:w w:val="98"/>
              </w:rPr>
              <w:t>Michelle E. Williams</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900" w:type="dxa"/>
            <w:vAlign w:val="bottom"/>
            <w:gridSpan w:val="2"/>
          </w:tcPr>
          <w:p>
            <w:pPr>
              <w:ind w:left="1660"/>
              <w:spacing w:after="0"/>
              <w:rPr>
                <w:sz w:val="20"/>
                <w:szCs w:val="20"/>
                <w:color w:val="auto"/>
              </w:rPr>
            </w:pPr>
            <w:r>
              <w:rPr>
                <w:rFonts w:ascii="Calibri" w:cs="Calibri" w:eastAsia="Calibri" w:hAnsi="Calibri"/>
                <w:sz w:val="18"/>
                <w:szCs w:val="18"/>
                <w:color w:val="auto"/>
              </w:rPr>
              <w:t>/s/</w:t>
            </w:r>
          </w:p>
        </w:tc>
        <w:tc>
          <w:tcPr>
            <w:tcW w:w="3040" w:type="dxa"/>
            <w:vAlign w:val="bottom"/>
            <w:gridSpan w:val="2"/>
          </w:tcPr>
          <w:p>
            <w:pPr>
              <w:jc w:val="center"/>
              <w:ind w:right="1434"/>
              <w:spacing w:after="0"/>
              <w:rPr>
                <w:sz w:val="20"/>
                <w:szCs w:val="20"/>
                <w:color w:val="auto"/>
              </w:rPr>
            </w:pPr>
            <w:r>
              <w:rPr>
                <w:rFonts w:ascii="Calibri" w:cs="Calibri" w:eastAsia="Calibri" w:hAnsi="Calibri"/>
                <w:sz w:val="18"/>
                <w:szCs w:val="18"/>
                <w:color w:val="auto"/>
                <w:w w:val="96"/>
              </w:rPr>
              <w:t>FRANK A. WILSON</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22, 2023</w:t>
            </w:r>
          </w:p>
        </w:tc>
        <w:tc>
          <w:tcPr>
            <w:tcW w:w="0" w:type="dxa"/>
            <w:vAlign w:val="bottom"/>
          </w:tcPr>
          <w:p>
            <w:pPr>
              <w:spacing w:after="0"/>
              <w:rPr>
                <w:sz w:val="1"/>
                <w:szCs w:val="1"/>
                <w:color w:val="auto"/>
              </w:rPr>
            </w:pPr>
          </w:p>
        </w:tc>
      </w:tr>
      <w:tr>
        <w:trPr>
          <w:trHeight w:val="37"/>
        </w:trPr>
        <w:tc>
          <w:tcPr>
            <w:tcW w:w="1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gridSpan w:val="2"/>
          </w:tcPr>
          <w:p>
            <w:pPr>
              <w:spacing w:after="0"/>
              <w:rPr>
                <w:sz w:val="3"/>
                <w:szCs w:val="3"/>
                <w:color w:val="auto"/>
              </w:rPr>
            </w:pPr>
          </w:p>
        </w:tc>
        <w:tc>
          <w:tcPr>
            <w:tcW w:w="240" w:type="dxa"/>
            <w:vAlign w:val="bottom"/>
          </w:tcPr>
          <w:p>
            <w:pPr>
              <w:spacing w:after="0"/>
              <w:rPr>
                <w:sz w:val="3"/>
                <w:szCs w:val="3"/>
                <w:color w:val="auto"/>
              </w:rPr>
            </w:pPr>
          </w:p>
        </w:tc>
        <w:tc>
          <w:tcPr>
            <w:tcW w:w="3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tcPr>
          <w:p>
            <w:pPr>
              <w:jc w:val="center"/>
              <w:ind w:right="1794"/>
              <w:spacing w:after="0" w:line="208" w:lineRule="exact"/>
              <w:rPr>
                <w:sz w:val="20"/>
                <w:szCs w:val="20"/>
                <w:color w:val="auto"/>
              </w:rPr>
            </w:pPr>
            <w:r>
              <w:rPr>
                <w:rFonts w:ascii="Calibri" w:cs="Calibri" w:eastAsia="Calibri" w:hAnsi="Calibri"/>
                <w:sz w:val="18"/>
                <w:szCs w:val="18"/>
                <w:color w:val="auto"/>
                <w:w w:val="98"/>
              </w:rPr>
              <w:t>Frank A. Wilson</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4940" w:type="dxa"/>
            <w:vAlign w:val="bottom"/>
            <w:gridSpan w:val="4"/>
          </w:tcPr>
          <w:p>
            <w:pPr>
              <w:jc w:val="center"/>
              <w:spacing w:after="0"/>
              <w:rPr>
                <w:sz w:val="20"/>
                <w:szCs w:val="20"/>
                <w:color w:val="auto"/>
              </w:rPr>
            </w:pPr>
            <w:r>
              <w:rPr>
                <w:rFonts w:ascii="Calibri" w:cs="Calibri" w:eastAsia="Calibri" w:hAnsi="Calibri"/>
                <w:sz w:val="18"/>
                <w:szCs w:val="18"/>
                <w:color w:val="auto"/>
                <w:w w:val="96"/>
              </w:rPr>
              <w:t>/s/ MATTHIAS L. WOLFGRUBER</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22, 2023</w:t>
            </w:r>
          </w:p>
        </w:tc>
        <w:tc>
          <w:tcPr>
            <w:tcW w:w="0" w:type="dxa"/>
            <w:vAlign w:val="bottom"/>
          </w:tcPr>
          <w:p>
            <w:pPr>
              <w:spacing w:after="0"/>
              <w:rPr>
                <w:sz w:val="1"/>
                <w:szCs w:val="1"/>
                <w:color w:val="auto"/>
              </w:rPr>
            </w:pPr>
          </w:p>
        </w:tc>
      </w:tr>
      <w:tr>
        <w:trPr>
          <w:trHeight w:val="37"/>
        </w:trPr>
        <w:tc>
          <w:tcPr>
            <w:tcW w:w="4940" w:type="dxa"/>
            <w:vAlign w:val="bottom"/>
            <w:tcBorders>
              <w:bottom w:val="single" w:sz="8" w:color="auto"/>
            </w:tcBorders>
            <w:gridSpan w:val="4"/>
          </w:tcPr>
          <w:p>
            <w:pPr>
              <w:spacing w:after="0"/>
              <w:rPr>
                <w:sz w:val="3"/>
                <w:szCs w:val="3"/>
                <w:color w:val="auto"/>
              </w:rPr>
            </w:pPr>
          </w:p>
        </w:tc>
        <w:tc>
          <w:tcPr>
            <w:tcW w:w="240" w:type="dxa"/>
            <w:vAlign w:val="bottom"/>
          </w:tcPr>
          <w:p>
            <w:pPr>
              <w:spacing w:after="0"/>
              <w:rPr>
                <w:sz w:val="3"/>
                <w:szCs w:val="3"/>
                <w:color w:val="auto"/>
              </w:rPr>
            </w:pPr>
          </w:p>
        </w:tc>
        <w:tc>
          <w:tcPr>
            <w:tcW w:w="3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940" w:type="dxa"/>
            <w:vAlign w:val="bottom"/>
            <w:gridSpan w:val="4"/>
          </w:tcPr>
          <w:p>
            <w:pPr>
              <w:jc w:val="center"/>
              <w:spacing w:after="0" w:line="208" w:lineRule="exact"/>
              <w:rPr>
                <w:sz w:val="20"/>
                <w:szCs w:val="20"/>
                <w:color w:val="auto"/>
              </w:rPr>
            </w:pPr>
            <w:r>
              <w:rPr>
                <w:rFonts w:ascii="Calibri" w:cs="Calibri" w:eastAsia="Calibri" w:hAnsi="Calibri"/>
                <w:sz w:val="18"/>
                <w:szCs w:val="18"/>
                <w:color w:val="auto"/>
              </w:rPr>
              <w:t>Mathias L. Wolfgruber</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6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alibri" w:cs="Calibri" w:eastAsia="Calibri" w:hAnsi="Calibri"/>
                <w:sz w:val="18"/>
                <w:szCs w:val="18"/>
                <w:color w:val="auto"/>
                <w:w w:val="95"/>
              </w:rPr>
              <w:t>/s/</w:t>
            </w:r>
          </w:p>
        </w:tc>
        <w:tc>
          <w:tcPr>
            <w:tcW w:w="140" w:type="dxa"/>
            <w:vAlign w:val="bottom"/>
          </w:tcPr>
          <w:p>
            <w:pPr>
              <w:spacing w:after="0"/>
              <w:rPr>
                <w:sz w:val="24"/>
                <w:szCs w:val="24"/>
                <w:color w:val="auto"/>
              </w:rPr>
            </w:pPr>
          </w:p>
        </w:tc>
        <w:tc>
          <w:tcPr>
            <w:tcW w:w="2900" w:type="dxa"/>
            <w:vAlign w:val="bottom"/>
          </w:tcPr>
          <w:p>
            <w:pPr>
              <w:jc w:val="center"/>
              <w:ind w:right="1574"/>
              <w:spacing w:after="0"/>
              <w:rPr>
                <w:sz w:val="20"/>
                <w:szCs w:val="20"/>
                <w:color w:val="auto"/>
              </w:rPr>
            </w:pPr>
            <w:r>
              <w:rPr>
                <w:rFonts w:ascii="Calibri" w:cs="Calibri" w:eastAsia="Calibri" w:hAnsi="Calibri"/>
                <w:sz w:val="18"/>
                <w:szCs w:val="18"/>
                <w:color w:val="auto"/>
                <w:w w:val="95"/>
              </w:rPr>
              <w:t>CHRISTINE Y. YAN</w:t>
            </w:r>
          </w:p>
        </w:tc>
        <w:tc>
          <w:tcPr>
            <w:tcW w:w="2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Director</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alibri" w:cs="Calibri" w:eastAsia="Calibri" w:hAnsi="Calibri"/>
                <w:sz w:val="18"/>
                <w:szCs w:val="18"/>
                <w:color w:val="auto"/>
                <w:w w:val="96"/>
              </w:rPr>
              <w:t>November 22,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3753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7" w:lineRule="exact"/>
        <w:rPr>
          <w:sz w:val="20"/>
          <w:szCs w:val="20"/>
          <w:color w:val="auto"/>
        </w:rPr>
      </w:pPr>
    </w:p>
    <w:p>
      <w:pPr>
        <w:ind w:left="1940"/>
        <w:spacing w:after="0"/>
        <w:rPr>
          <w:sz w:val="20"/>
          <w:szCs w:val="20"/>
          <w:color w:val="auto"/>
        </w:rPr>
      </w:pPr>
      <w:r>
        <w:rPr>
          <w:rFonts w:ascii="Calibri" w:cs="Calibri" w:eastAsia="Calibri" w:hAnsi="Calibri"/>
          <w:sz w:val="18"/>
          <w:szCs w:val="18"/>
          <w:color w:val="auto"/>
        </w:rPr>
        <w:t>Christne Y. Yan</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b w:val="1"/>
          <w:bCs w:val="1"/>
          <w:color w:val="auto"/>
        </w:rPr>
        <w:t>Exhibit 10(a)(iii)</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COPY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September 20, 2023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August 6, 2021</w:t>
      </w:r>
    </w:p>
    <w:p>
      <w:pPr>
        <w:spacing w:after="0" w:line="229"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THIS AMENDMENT NO. 3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made as of September 20, 2023 by and among Cabot Corporation,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Lenders party hereto and JPMorgan Chase Bank, N.A., in its capacity as administrative agent for the Lenders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under that certain Credit Agreement dated as of August 6, 2021, by and among the Company, the Designated Borrowers from time to time party thereto, the Lenders from time to time party thereto and the Administrative Agent (as amended, restated, supplemented or otherwise modified from time to time prior to the date 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Capitalized terms used herein and not otherwise defined herein shall have the respective meanings given to them in the Credit Agreement.</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WHEREAS, the Company requested that the requisite Lenders agree to make certain amendments to the Credit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94"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WHEREAS, the Company, the Lenders party hereto and the Administrative Agent have agreed to amend the Credit Agreement on the terms and conditions set forth herein;</w:t>
      </w:r>
    </w:p>
    <w:p>
      <w:pPr>
        <w:spacing w:after="0" w:line="15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premises set forth above, the terms and conditions contained herein, and other good and valuable consideration, the receipt and sufficiency of which are hereby acknowledged, the Company, the Lenders party hereto and the Administrative Agent hereby agree to enter into this Amendment.</w:t>
      </w:r>
    </w:p>
    <w:p>
      <w:pPr>
        <w:spacing w:after="0" w:line="174" w:lineRule="exact"/>
        <w:rPr>
          <w:sz w:val="20"/>
          <w:szCs w:val="20"/>
          <w:color w:val="auto"/>
        </w:rPr>
      </w:pPr>
    </w:p>
    <w:p>
      <w:pPr>
        <w:jc w:val="both"/>
        <w:ind w:firstLine="1505"/>
        <w:spacing w:after="0" w:line="249" w:lineRule="auto"/>
        <w:tabs>
          <w:tab w:leader="none" w:pos="203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Credit Agreement</w:t>
      </w:r>
      <w:r>
        <w:rPr>
          <w:rFonts w:ascii="Times New Roman" w:cs="Times New Roman" w:eastAsia="Times New Roman" w:hAnsi="Times New Roman"/>
          <w:sz w:val="20"/>
          <w:szCs w:val="20"/>
          <w:color w:val="auto"/>
        </w:rPr>
        <w:t xml:space="preserve">. Effective as of the date of satisfaction of the conditions precedent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below (such date, the “</w:t>
      </w:r>
      <w:r>
        <w:rPr>
          <w:rFonts w:ascii="Times New Roman" w:cs="Times New Roman" w:eastAsia="Times New Roman" w:hAnsi="Times New Roman"/>
          <w:sz w:val="20"/>
          <w:szCs w:val="20"/>
          <w:u w:val="single" w:color="auto"/>
          <w:color w:val="auto"/>
        </w:rPr>
        <w:t>Amendment Effective Date</w:t>
      </w:r>
      <w:r>
        <w:rPr>
          <w:rFonts w:ascii="Times New Roman" w:cs="Times New Roman" w:eastAsia="Times New Roman" w:hAnsi="Times New Roman"/>
          <w:sz w:val="20"/>
          <w:szCs w:val="20"/>
          <w:color w:val="auto"/>
        </w:rPr>
        <w:t xml:space="preserve">”) the parties hereto agree that the Credit Agreement shall be amended to restate the Sustainability Table set forth in </w:t>
      </w:r>
      <w:r>
        <w:rPr>
          <w:rFonts w:ascii="Times New Roman" w:cs="Times New Roman" w:eastAsia="Times New Roman" w:hAnsi="Times New Roman"/>
          <w:sz w:val="20"/>
          <w:szCs w:val="20"/>
          <w:u w:val="single" w:color="auto"/>
          <w:color w:val="auto"/>
        </w:rPr>
        <w:t>Schedule 1.01</w:t>
      </w:r>
      <w:r>
        <w:rPr>
          <w:rFonts w:ascii="Times New Roman" w:cs="Times New Roman" w:eastAsia="Times New Roman" w:hAnsi="Times New Roman"/>
          <w:sz w:val="20"/>
          <w:szCs w:val="20"/>
          <w:color w:val="auto"/>
        </w:rPr>
        <w:t xml:space="preserve"> to the Credit Agreement in its entirety as set forth in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 (the Credit Agreement as so amended,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right="20" w:firstLine="1505"/>
        <w:spacing w:after="0" w:line="269" w:lineRule="auto"/>
        <w:tabs>
          <w:tab w:leader="none" w:pos="203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of Effectiveness</w:t>
      </w:r>
      <w:r>
        <w:rPr>
          <w:rFonts w:ascii="Times New Roman" w:cs="Times New Roman" w:eastAsia="Times New Roman" w:hAnsi="Times New Roman"/>
          <w:sz w:val="20"/>
          <w:szCs w:val="20"/>
          <w:color w:val="auto"/>
        </w:rPr>
        <w:t>. This Amendment shall become effective as of the first date on which each of the following conditions shall have been satisfied:</w:t>
      </w:r>
    </w:p>
    <w:p>
      <w:pPr>
        <w:spacing w:after="0" w:line="159" w:lineRule="exact"/>
        <w:rPr>
          <w:sz w:val="20"/>
          <w:szCs w:val="20"/>
          <w:color w:val="auto"/>
        </w:rPr>
      </w:pPr>
    </w:p>
    <w:p>
      <w:pPr>
        <w:ind w:firstLine="1505"/>
        <w:spacing w:after="0" w:line="269" w:lineRule="auto"/>
        <w:tabs>
          <w:tab w:leader="none" w:pos="203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counterparts of this Amendment duly executed by the Company, each of the Lenders, each of the Issuing Banks, the Swingline Lender and the Administrative Agent.</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or, substantially concurrently herewith shall receive, all fees and other amounts due and payable on or prior to the Amendment Effective Date, including, to the extent invoiced, reimbursement or payment of all out-of-pocket expenses required to be reimbursed or paid by the Borrowers pursuant to the terms of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|US-DOCS\143927581.4||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The Administrative Agent shall notify the Company and the Lenders of the Amendment Effective Date, and such notice shall be conclusive and binding.</w:t>
      </w:r>
    </w:p>
    <w:p>
      <w:pPr>
        <w:spacing w:after="0" w:line="173" w:lineRule="exact"/>
        <w:rPr>
          <w:sz w:val="20"/>
          <w:szCs w:val="20"/>
          <w:color w:val="auto"/>
        </w:rPr>
      </w:pPr>
    </w:p>
    <w:p>
      <w:pPr>
        <w:jc w:val="both"/>
        <w:ind w:firstLine="1505"/>
        <w:spacing w:after="0" w:line="246" w:lineRule="auto"/>
        <w:tabs>
          <w:tab w:leader="none" w:pos="203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Company</w:t>
      </w:r>
      <w:r>
        <w:rPr>
          <w:rFonts w:ascii="Times New Roman" w:cs="Times New Roman" w:eastAsia="Times New Roman" w:hAnsi="Times New Roman"/>
          <w:sz w:val="20"/>
          <w:szCs w:val="20"/>
          <w:color w:val="auto"/>
        </w:rPr>
        <w:t>. The Company hereby represents and warrants to the Lenders on the Amendment Effective Date that each of this Amendment and the Amended Credit Agreement constitutes a legal, valid and binding obligation of each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and Effect on the Credit Agreement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9" w:lineRule="auto"/>
        <w:tabs>
          <w:tab w:leader="none" w:pos="203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effectiveness of the amendment to the Credit Agreement evidenced hereby, the terms “Agreement”, “this Agreement”, “herein”, “hereinafter”, “hereto”, “hereof” and words of similar import, as used in the Amended Credit Agreement, shall, unless the context otherwise requires, refer to the Amended Credit Agreement, and the term “Credit Agreement”, as used in the other Loan Documents, shall mean the Amended Credit Agreement.</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Document and all other documents, instruments and agreements executed and/or delivered in connection therewith shall remain in full force and effect and are hereby ratified and confirmed.</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effectiveness of this Amendment shall not operate as a waiver of any right, power or remedy of the Administrative Agent or the Lenders, nor constitute a waiver of any provision of the Credit Agreement, the Loan Documents or any other documents, instruments and agreements executed and/or delivered in connection therewith.</w:t>
      </w:r>
    </w:p>
    <w:p>
      <w:pPr>
        <w:spacing w:after="0" w:line="17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be a Loan Document.</w:t>
      </w:r>
    </w:p>
    <w:p>
      <w:pPr>
        <w:spacing w:after="0" w:line="211" w:lineRule="exact"/>
        <w:rPr>
          <w:sz w:val="20"/>
          <w:szCs w:val="20"/>
          <w:color w:val="auto"/>
        </w:rPr>
      </w:pPr>
    </w:p>
    <w:p>
      <w:pPr>
        <w:ind w:firstLine="1505"/>
        <w:spacing w:after="0" w:line="282" w:lineRule="auto"/>
        <w:tabs>
          <w:tab w:leader="none" w:pos="203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Jurisdiction</w:t>
      </w:r>
      <w:r>
        <w:rPr>
          <w:rFonts w:ascii="Times New Roman" w:cs="Times New Roman" w:eastAsia="Times New Roman" w:hAnsi="Times New Roman"/>
          <w:sz w:val="20"/>
          <w:szCs w:val="20"/>
          <w:color w:val="auto"/>
        </w:rPr>
        <w:t xml:space="preserve">. This Amendment </w:t>
      </w:r>
      <w:r>
        <w:rPr>
          <w:rFonts w:ascii="Times New Roman" w:cs="Times New Roman" w:eastAsia="Times New Roman" w:hAnsi="Times New Roman"/>
          <w:sz w:val="21"/>
          <w:szCs w:val="21"/>
          <w:color w:val="auto"/>
        </w:rPr>
        <w:t>shall be construed in accordance with and governed by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law of the State of New York</w:t>
      </w:r>
      <w:r>
        <w:rPr>
          <w:rFonts w:ascii="Times New Roman" w:cs="Times New Roman" w:eastAsia="Times New Roman" w:hAnsi="Times New Roman"/>
          <w:sz w:val="19"/>
          <w:szCs w:val="19"/>
          <w:color w:val="auto"/>
        </w:rPr>
        <w:t>.</w:t>
      </w:r>
    </w:p>
    <w:p>
      <w:pPr>
        <w:spacing w:after="0" w:line="13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in this Amendment are included herein for convenience of reference only and shall not constitute a part of this Amendment for any other purpose.</w:t>
      </w:r>
    </w:p>
    <w:p>
      <w:pPr>
        <w:spacing w:after="0" w:line="159"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by one or more of the parties hereto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electronic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 w:cs="Times New Roman" w:eastAsia="Times New Roman" w:hAnsi="Times New Roman"/>
          <w:sz w:val="20"/>
          <w:szCs w:val="20"/>
          <w:u w:val="single" w:color="auto"/>
          <w:color w:val="auto"/>
        </w:rPr>
        <w:t>Electronic Signatures</w:t>
      </w:r>
      <w:r>
        <w:rPr>
          <w:rFonts w:ascii="Times New Roman" w:cs="Times New Roman" w:eastAsia="Times New Roman" w:hAnsi="Times New Roman"/>
          <w:sz w:val="20"/>
          <w:szCs w:val="20"/>
          <w:color w:val="auto"/>
        </w:rPr>
        <w:t>” means any electronic symbol or process attached to, or associated with, any contract or other record and adopted by a person with the intent to sign, authenticate or accept such contract or record.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ind w:firstLine="1497"/>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and delivered by their respective authorized officers as of the day and year first above written.</w:t>
      </w:r>
    </w:p>
    <w:p>
      <w:pPr>
        <w:spacing w:after="0" w:line="1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CABOT CORPORATION,</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as the Company and a Borrower</w:t>
      </w:r>
    </w:p>
    <w:p>
      <w:pPr>
        <w:spacing w:after="0" w:line="200" w:lineRule="exact"/>
        <w:rPr>
          <w:sz w:val="20"/>
          <w:szCs w:val="20"/>
          <w:color w:val="auto"/>
        </w:rPr>
      </w:pPr>
    </w:p>
    <w:p>
      <w:pPr>
        <w:spacing w:after="0" w:line="2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 Steven J. Delahunt</w:t>
      </w:r>
      <w:r>
        <w:rPr>
          <w:rFonts w:ascii="Times New Roman" w:cs="Times New Roman" w:eastAsia="Times New Roman" w:hAnsi="Times New Roman"/>
          <w:sz w:val="21"/>
          <w:szCs w:val="21"/>
          <w:color w:val="auto"/>
        </w:rPr>
        <w:t>________________</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Steven J. Delahunt</w:t>
      </w:r>
    </w:p>
    <w:p>
      <w:pPr>
        <w:ind w:left="4500"/>
        <w:spacing w:after="0"/>
        <w:tabs>
          <w:tab w:leader="none" w:pos="51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VP &amp; Treasurer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3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Credit Agreement dated as of August 6,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2" w:name="page93"/>
    <w:bookmarkEnd w:id="92"/>
    <w:p>
      <w:pPr>
        <w:ind w:left="338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ind w:left="3380"/>
        <w:spacing w:after="0" w:line="246" w:lineRule="auto"/>
        <w:rPr>
          <w:sz w:val="20"/>
          <w:szCs w:val="20"/>
          <w:color w:val="auto"/>
        </w:rPr>
      </w:pPr>
      <w:r>
        <w:rPr>
          <w:rFonts w:ascii="Times New Roman" w:cs="Times New Roman" w:eastAsia="Times New Roman" w:hAnsi="Times New Roman"/>
          <w:sz w:val="20"/>
          <w:szCs w:val="20"/>
          <w:color w:val="auto"/>
        </w:rPr>
        <w:t>individually as a Lender, as an Issuing Bank, as the Swingline Lender and as the Administrative Agent</w:t>
      </w:r>
    </w:p>
    <w:p>
      <w:pPr>
        <w:spacing w:after="0" w:line="200" w:lineRule="exact"/>
        <w:rPr>
          <w:sz w:val="20"/>
          <w:szCs w:val="20"/>
          <w:color w:val="auto"/>
        </w:rPr>
      </w:pPr>
    </w:p>
    <w:p>
      <w:pPr>
        <w:spacing w:after="0" w:line="2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 Will Price</w:t>
      </w:r>
      <w:r>
        <w:rPr>
          <w:rFonts w:ascii="Times New Roman" w:cs="Times New Roman" w:eastAsia="Times New Roman" w:hAnsi="Times New Roman"/>
          <w:sz w:val="20"/>
          <w:szCs w:val="20"/>
          <w:color w:val="auto"/>
        </w:rPr>
        <w:t xml:space="preserve"> _______________________</w:t>
      </w:r>
    </w:p>
    <w:p>
      <w:pPr>
        <w:spacing w:after="0" w:line="2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Will Price</w:t>
      </w:r>
    </w:p>
    <w:p>
      <w:pPr>
        <w:ind w:left="33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19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Signature Page to Amendment No. 3 to</w:t>
      </w:r>
    </w:p>
    <w:p>
      <w:pPr>
        <w:spacing w:after="0" w:line="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Credit Agreement dated as of August 6, 2021</w:t>
      </w:r>
    </w:p>
    <w:p>
      <w:pPr>
        <w:spacing w:after="0" w:line="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40"/>
          </w:cols>
          <w:pgMar w:left="1440" w:top="333" w:right="1019" w:bottom="1440" w:gutter="0" w:footer="0" w:header="0"/>
        </w:sectPr>
      </w:pPr>
    </w:p>
    <w:bookmarkStart w:id="93" w:name="page94"/>
    <w:bookmarkEnd w:id="93"/>
    <w:p>
      <w:pPr>
        <w:ind w:left="3380"/>
        <w:spacing w:after="0"/>
        <w:rPr>
          <w:sz w:val="20"/>
          <w:szCs w:val="20"/>
          <w:color w:val="auto"/>
        </w:rPr>
      </w:pPr>
      <w:r>
        <w:rPr>
          <w:rFonts w:ascii="Times New Roman" w:cs="Times New Roman" w:eastAsia="Times New Roman" w:hAnsi="Times New Roman"/>
          <w:sz w:val="20"/>
          <w:szCs w:val="20"/>
          <w:color w:val="auto"/>
        </w:rPr>
        <w:t>CITIBANK, N.A.,</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individually as a Lender and as an Issuing Bank</w:t>
      </w:r>
    </w:p>
    <w:p>
      <w:pPr>
        <w:spacing w:after="0" w:line="200" w:lineRule="exact"/>
        <w:rPr>
          <w:sz w:val="20"/>
          <w:szCs w:val="20"/>
          <w:color w:val="auto"/>
        </w:rPr>
      </w:pPr>
    </w:p>
    <w:p>
      <w:pPr>
        <w:spacing w:after="0" w:line="2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By:_ </w:t>
      </w:r>
      <w:r>
        <w:rPr>
          <w:rFonts w:ascii="Times New Roman" w:cs="Times New Roman" w:eastAsia="Times New Roman" w:hAnsi="Times New Roman"/>
          <w:sz w:val="21"/>
          <w:szCs w:val="21"/>
          <w:color w:val="auto"/>
        </w:rPr>
        <w:t>/s/ Andrew Stella</w:t>
      </w:r>
      <w:r>
        <w:rPr>
          <w:rFonts w:ascii="Times New Roman" w:cs="Times New Roman" w:eastAsia="Times New Roman" w:hAnsi="Times New Roman"/>
          <w:sz w:val="20"/>
          <w:szCs w:val="20"/>
          <w:color w:val="auto"/>
        </w:rPr>
        <w:t>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-6985</wp:posOffset>
            </wp:positionV>
            <wp:extent cx="10210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3">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spacing w:after="0" w:line="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Andrew Stella</w:t>
      </w:r>
    </w:p>
    <w:p>
      <w:pPr>
        <w:ind w:left="33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3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Credit Agreement dated as of August 6, 2021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4" w:name="page95"/>
    <w:bookmarkEnd w:id="94"/>
    <w:p>
      <w:pPr>
        <w:ind w:left="3380"/>
        <w:spacing w:after="0"/>
        <w:rPr>
          <w:sz w:val="20"/>
          <w:szCs w:val="20"/>
          <w:color w:val="auto"/>
        </w:rPr>
      </w:pPr>
      <w:r>
        <w:rPr>
          <w:rFonts w:ascii="Times New Roman" w:cs="Times New Roman" w:eastAsia="Times New Roman" w:hAnsi="Times New Roman"/>
          <w:sz w:val="20"/>
          <w:szCs w:val="20"/>
          <w:color w:val="auto"/>
        </w:rPr>
        <w:t>MIZUHO BANK, LTD.,</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/s/ Donna DeMagistris</w:t>
      </w:r>
      <w:r>
        <w:rPr>
          <w:rFonts w:ascii="Times New Roman" w:cs="Times New Roman" w:eastAsia="Times New Roman" w:hAnsi="Times New Roman"/>
          <w:sz w:val="20"/>
          <w:szCs w:val="20"/>
          <w:color w:val="auto"/>
        </w:rPr>
        <w:t>_________________</w:t>
      </w:r>
    </w:p>
    <w:p>
      <w:pPr>
        <w:spacing w:after="0" w:line="2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Donna DeMagistris</w:t>
      </w:r>
    </w:p>
    <w:p>
      <w:pPr>
        <w:ind w:left="338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3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Credit Agreement dated as of August 6, 2021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5" w:name="page96"/>
    <w:bookmarkEnd w:id="95"/>
    <w:p>
      <w:pPr>
        <w:ind w:left="3380" w:right="939"/>
        <w:spacing w:after="0" w:line="269" w:lineRule="auto"/>
        <w:rPr>
          <w:sz w:val="20"/>
          <w:szCs w:val="20"/>
          <w:color w:val="auto"/>
        </w:rPr>
      </w:pPr>
      <w:r>
        <w:rPr>
          <w:rFonts w:ascii="Times New Roman" w:cs="Times New Roman" w:eastAsia="Times New Roman" w:hAnsi="Times New Roman"/>
          <w:sz w:val="20"/>
          <w:szCs w:val="20"/>
          <w:color w:val="auto"/>
        </w:rPr>
        <w:t>TORONTO DOMINION BANK, NEW YORK BRANCH, as a Lender</w:t>
      </w:r>
    </w:p>
    <w:p>
      <w:pPr>
        <w:spacing w:after="0" w:line="39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By:_ </w:t>
      </w:r>
      <w:r>
        <w:rPr>
          <w:rFonts w:ascii="Times New Roman" w:cs="Times New Roman" w:eastAsia="Times New Roman" w:hAnsi="Times New Roman"/>
          <w:sz w:val="21"/>
          <w:szCs w:val="21"/>
          <w:color w:val="auto"/>
        </w:rPr>
        <w:t>/s/ David Perlman</w:t>
      </w:r>
      <w:r>
        <w:rPr>
          <w:rFonts w:ascii="Times New Roman" w:cs="Times New Roman" w:eastAsia="Times New Roman" w:hAnsi="Times New Roman"/>
          <w:sz w:val="20"/>
          <w:szCs w:val="20"/>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-6985</wp:posOffset>
            </wp:positionV>
            <wp:extent cx="1024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6">
                      <a:extLst>
                        <a:ext uri="{28A0092B-C50C-407E-A947-70E740481C1C}"/>
                      </a:extLst>
                    </a:blip>
                    <a:srcRect/>
                    <a:stretch>
                      <a:fillRect/>
                    </a:stretch>
                  </pic:blipFill>
                  <pic:spPr bwMode="auto">
                    <a:xfrm>
                      <a:off x="0" y="0"/>
                      <a:ext cx="1024890" cy="8255"/>
                    </a:xfrm>
                    <a:prstGeom prst="rect">
                      <a:avLst/>
                    </a:prstGeom>
                    <a:noFill/>
                  </pic:spPr>
                </pic:pic>
              </a:graphicData>
            </a:graphic>
          </wp:anchor>
        </w:drawing>
      </w:r>
    </w:p>
    <w:p>
      <w:pPr>
        <w:spacing w:after="0" w:line="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David Perlman</w:t>
      </w:r>
    </w:p>
    <w:p>
      <w:pPr>
        <w:ind w:left="33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3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Credit Agreement dated as of August 6, 2021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6" w:name="page97"/>
    <w:bookmarkEnd w:id="96"/>
    <w:p>
      <w:pPr>
        <w:ind w:left="338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By:_ </w:t>
      </w:r>
      <w:r>
        <w:rPr>
          <w:rFonts w:ascii="Times New Roman" w:cs="Times New Roman" w:eastAsia="Times New Roman" w:hAnsi="Times New Roman"/>
          <w:sz w:val="21"/>
          <w:szCs w:val="21"/>
          <w:color w:val="auto"/>
        </w:rPr>
        <w:t>/s/ Robert C. Megan</w:t>
      </w:r>
      <w:r>
        <w:rPr>
          <w:rFonts w:ascii="Times New Roman" w:cs="Times New Roman" w:eastAsia="Times New Roman" w:hAnsi="Times New Roman"/>
          <w:sz w:val="20"/>
          <w:szCs w:val="20"/>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-6985</wp:posOffset>
            </wp:positionV>
            <wp:extent cx="118110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8">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Robert C. Megan</w:t>
      </w:r>
    </w:p>
    <w:p>
      <w:pPr>
        <w:ind w:left="33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3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Credit Agreement dated as of August 6, 2021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7" w:name="page98"/>
    <w:bookmarkEnd w:id="97"/>
    <w:p>
      <w:pPr>
        <w:ind w:left="3380"/>
        <w:spacing w:after="0"/>
        <w:rPr>
          <w:sz w:val="20"/>
          <w:szCs w:val="20"/>
          <w:color w:val="auto"/>
        </w:rPr>
      </w:pPr>
      <w:r>
        <w:rPr>
          <w:rFonts w:ascii="Times New Roman" w:cs="Times New Roman" w:eastAsia="Times New Roman" w:hAnsi="Times New Roman"/>
          <w:sz w:val="20"/>
          <w:szCs w:val="20"/>
          <w:color w:val="auto"/>
        </w:rPr>
        <w:t>U.S. BANK NATIONAL ASSOCIATION,</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By:_ </w:t>
      </w:r>
      <w:r>
        <w:rPr>
          <w:rFonts w:ascii="Times New Roman" w:cs="Times New Roman" w:eastAsia="Times New Roman" w:hAnsi="Times New Roman"/>
          <w:sz w:val="21"/>
          <w:szCs w:val="21"/>
          <w:color w:val="auto"/>
        </w:rPr>
        <w:t>/s/ Mark Irey</w:t>
      </w:r>
      <w:r>
        <w:rPr>
          <w:rFonts w:ascii="Times New Roman" w:cs="Times New Roman" w:eastAsia="Times New Roman" w:hAnsi="Times New Roman"/>
          <w:sz w:val="20"/>
          <w:szCs w:val="20"/>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-6985</wp:posOffset>
            </wp:positionV>
            <wp:extent cx="75057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20">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Mark Irey</w:t>
      </w:r>
    </w:p>
    <w:p>
      <w:pPr>
        <w:ind w:left="33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3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Credit Agreement dated as of August 6, 2021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8" w:name="page99"/>
    <w:bookmarkEnd w:id="98"/>
    <w:p>
      <w:pPr>
        <w:ind w:left="3380"/>
        <w:spacing w:after="0"/>
        <w:rPr>
          <w:sz w:val="20"/>
          <w:szCs w:val="20"/>
          <w:color w:val="auto"/>
        </w:rPr>
      </w:pPr>
      <w:r>
        <w:rPr>
          <w:rFonts w:ascii="Times New Roman" w:cs="Times New Roman" w:eastAsia="Times New Roman" w:hAnsi="Times New Roman"/>
          <w:sz w:val="20"/>
          <w:szCs w:val="20"/>
          <w:color w:val="auto"/>
        </w:rPr>
        <w:t>BANK OF CHINA, NEW YORK BRANCH,</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By:_ </w:t>
      </w:r>
      <w:r>
        <w:rPr>
          <w:rFonts w:ascii="Times New Roman" w:cs="Times New Roman" w:eastAsia="Times New Roman" w:hAnsi="Times New Roman"/>
          <w:sz w:val="21"/>
          <w:szCs w:val="21"/>
          <w:color w:val="auto"/>
        </w:rPr>
        <w:t>/s/ Raymond Qiao</w:t>
      </w:r>
      <w:r>
        <w:rPr>
          <w:rFonts w:ascii="Times New Roman" w:cs="Times New Roman" w:eastAsia="Times New Roman" w:hAnsi="Times New Roman"/>
          <w:sz w:val="20"/>
          <w:szCs w:val="20"/>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-6985</wp:posOffset>
            </wp:positionV>
            <wp:extent cx="103251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2">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Raymond Qiao</w:t>
      </w:r>
    </w:p>
    <w:p>
      <w:pPr>
        <w:ind w:left="3380"/>
        <w:spacing w:after="0"/>
        <w:rPr>
          <w:sz w:val="20"/>
          <w:szCs w:val="20"/>
          <w:color w:val="auto"/>
        </w:rPr>
      </w:pPr>
      <w:r>
        <w:rPr>
          <w:rFonts w:ascii="Times New Roman" w:cs="Times New Roman" w:eastAsia="Times New Roman" w:hAnsi="Times New Roman"/>
          <w:sz w:val="20"/>
          <w:szCs w:val="20"/>
          <w:color w:val="auto"/>
        </w:rPr>
        <w:t>Title: Executive Vice President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3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Credit Agreement dated as of August 6, 2021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9" w:name="page100"/>
    <w:bookmarkEnd w:id="99"/>
    <w:p>
      <w:pPr>
        <w:ind w:left="3380"/>
        <w:spacing w:after="0"/>
        <w:rPr>
          <w:sz w:val="20"/>
          <w:szCs w:val="20"/>
          <w:color w:val="auto"/>
        </w:rPr>
      </w:pPr>
      <w:r>
        <w:rPr>
          <w:rFonts w:ascii="Times New Roman" w:cs="Times New Roman" w:eastAsia="Times New Roman" w:hAnsi="Times New Roman"/>
          <w:sz w:val="20"/>
          <w:szCs w:val="20"/>
          <w:color w:val="auto"/>
        </w:rPr>
        <w:t>PNC BANK, NATIONAL ASSOCIATION,</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By:_ </w:t>
      </w:r>
      <w:r>
        <w:rPr>
          <w:rFonts w:ascii="Times New Roman" w:cs="Times New Roman" w:eastAsia="Times New Roman" w:hAnsi="Times New Roman"/>
          <w:sz w:val="21"/>
          <w:szCs w:val="21"/>
          <w:color w:val="auto"/>
        </w:rPr>
        <w:t>/s/ Terence J. O’Malley</w:t>
      </w:r>
      <w:r>
        <w:rPr>
          <w:rFonts w:ascii="Times New Roman" w:cs="Times New Roman" w:eastAsia="Times New Roman" w:hAnsi="Times New Roman"/>
          <w:sz w:val="20"/>
          <w:szCs w:val="20"/>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-6985</wp:posOffset>
            </wp:positionV>
            <wp:extent cx="131953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Terence J. O’Malley</w:t>
      </w:r>
    </w:p>
    <w:p>
      <w:pPr>
        <w:ind w:left="3380"/>
        <w:spacing w:after="0"/>
        <w:rPr>
          <w:sz w:val="20"/>
          <w:szCs w:val="20"/>
          <w:color w:val="auto"/>
        </w:rPr>
      </w:pPr>
      <w:r>
        <w:rPr>
          <w:rFonts w:ascii="Times New Roman" w:cs="Times New Roman" w:eastAsia="Times New Roman" w:hAnsi="Times New Roman"/>
          <w:sz w:val="20"/>
          <w:szCs w:val="20"/>
          <w:color w:val="auto"/>
        </w:rPr>
        <w:t>Title: SVP</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3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Credit Agreement dated as of August 6, 2021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Cabot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0" w:name="page101"/>
    <w:bookmarkEnd w:id="100"/>
    <w:p>
      <w:pPr>
        <w:ind w:left="3380"/>
        <w:spacing w:after="0"/>
        <w:rPr>
          <w:sz w:val="20"/>
          <w:szCs w:val="20"/>
          <w:color w:val="auto"/>
        </w:rPr>
      </w:pPr>
      <w:r>
        <w:rPr>
          <w:rFonts w:ascii="Times New Roman" w:cs="Times New Roman" w:eastAsia="Times New Roman" w:hAnsi="Times New Roman"/>
          <w:sz w:val="19"/>
          <w:szCs w:val="19"/>
          <w:color w:val="auto"/>
        </w:rPr>
        <w:t>HSBC BANK USA, NATIONAL ASSOCIATION,</w:t>
      </w:r>
    </w:p>
    <w:p>
      <w:pPr>
        <w:spacing w:after="0" w:line="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By:_ </w:t>
      </w:r>
      <w:r>
        <w:rPr>
          <w:rFonts w:ascii="Times New Roman" w:cs="Times New Roman" w:eastAsia="Times New Roman" w:hAnsi="Times New Roman"/>
          <w:sz w:val="21"/>
          <w:szCs w:val="21"/>
          <w:color w:val="auto"/>
        </w:rPr>
        <w:t>/s/ Andrew Everett</w:t>
      </w:r>
      <w:r>
        <w:rPr>
          <w:rFonts w:ascii="Times New Roman" w:cs="Times New Roman" w:eastAsia="Times New Roman" w:hAnsi="Times New Roman"/>
          <w:sz w:val="20"/>
          <w:szCs w:val="20"/>
          <w:color w:val="auto"/>
        </w:rPr>
        <w:t>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-6985</wp:posOffset>
            </wp:positionV>
            <wp:extent cx="106997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6">
                      <a:extLst>
                        <a:ext uri="{28A0092B-C50C-407E-A947-70E740481C1C}"/>
                      </a:extLst>
                    </a:blip>
                    <a:srcRect/>
                    <a:stretch>
                      <a:fillRect/>
                    </a:stretch>
                  </pic:blipFill>
                  <pic:spPr bwMode="auto">
                    <a:xfrm>
                      <a:off x="0" y="0"/>
                      <a:ext cx="1069975" cy="8255"/>
                    </a:xfrm>
                    <a:prstGeom prst="rect">
                      <a:avLst/>
                    </a:prstGeom>
                    <a:noFill/>
                  </pic:spPr>
                </pic:pic>
              </a:graphicData>
            </a:graphic>
          </wp:anchor>
        </w:drawing>
      </w:r>
    </w:p>
    <w:p>
      <w:pPr>
        <w:spacing w:after="0" w:line="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Andrew Everett</w:t>
      </w:r>
    </w:p>
    <w:p>
      <w:pPr>
        <w:ind w:left="33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5431155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b w:val="1"/>
          <w:bCs w:val="1"/>
          <w:color w:val="auto"/>
        </w:rPr>
        <w:t>Exhibit 10(h)</w:t>
      </w:r>
    </w:p>
    <w:p>
      <w:pPr>
        <w:jc w:val="center"/>
        <w:spacing w:after="0" w:line="235" w:lineRule="auto"/>
        <w:rPr>
          <w:sz w:val="20"/>
          <w:szCs w:val="20"/>
          <w:color w:val="auto"/>
        </w:rPr>
      </w:pPr>
      <w:r>
        <w:rPr>
          <w:rFonts w:ascii="Calibri" w:cs="Calibri" w:eastAsia="Calibri" w:hAnsi="Calibri"/>
          <w:sz w:val="22"/>
          <w:szCs w:val="22"/>
          <w:b w:val="1"/>
          <w:bCs w:val="1"/>
          <w:color w:val="auto"/>
        </w:rPr>
        <w:t>Cabot Corporaton</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AMENDED AND RESTATED 2017 Long-Term Incentve Plan</w:t>
      </w:r>
    </w:p>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u w:val="single" w:color="auto"/>
          <w:color w:val="auto"/>
        </w:rPr>
        <w:t>NOTICE OF AMENDED AWARD TERMS</w:t>
      </w:r>
    </w:p>
    <w:p>
      <w:pPr>
        <w:spacing w:after="0" w:line="282" w:lineRule="exact"/>
        <w:rPr>
          <w:sz w:val="20"/>
          <w:szCs w:val="20"/>
          <w:color w:val="auto"/>
        </w:rPr>
      </w:pPr>
    </w:p>
    <w:p>
      <w:pPr>
        <w:ind w:right="20"/>
        <w:spacing w:after="0" w:line="239" w:lineRule="auto"/>
        <w:rPr>
          <w:sz w:val="20"/>
          <w:szCs w:val="20"/>
          <w:color w:val="auto"/>
        </w:rPr>
      </w:pPr>
      <w:r>
        <w:rPr>
          <w:rFonts w:ascii="Calibri" w:cs="Calibri" w:eastAsia="Calibri" w:hAnsi="Calibri"/>
          <w:sz w:val="22"/>
          <w:szCs w:val="22"/>
          <w:color w:val="auto"/>
        </w:rPr>
        <w:t>You are receiving this notce (the “Notce”) because you currently hold outstanding grants of stock optons (“Optons”), tme-based restricted stock units (“TSUs”), and/or performance-based restricted stock units (“PSUs”, and together with the Optons and TSUs, the “Outstanding Awards”) under the Company’s Amended and Restated 2017 Long-Term Incentve Plan (as amended from tme to tme, the “2017 Plan”). The purpose of this Notce is to inform you that the terms of your Outstanding Awards have been amended, efectve as of November 10, 2023, to refect the provisions relatng to retrement vestng and other defnitonal changes that were included in the equity award grants that you received under the 2017 Plan on November 10, 2023 (the “FY 2024 Grants”).</w:t>
      </w:r>
    </w:p>
    <w:p>
      <w:pPr>
        <w:spacing w:after="0" w:line="288" w:lineRule="exact"/>
        <w:rPr>
          <w:sz w:val="20"/>
          <w:szCs w:val="20"/>
          <w:color w:val="auto"/>
        </w:rPr>
      </w:pPr>
    </w:p>
    <w:p>
      <w:pPr>
        <w:jc w:val="both"/>
        <w:ind w:right="340"/>
        <w:spacing w:after="0" w:line="237" w:lineRule="auto"/>
        <w:rPr>
          <w:sz w:val="20"/>
          <w:szCs w:val="20"/>
          <w:color w:val="auto"/>
        </w:rPr>
      </w:pPr>
      <w:r>
        <w:rPr>
          <w:rFonts w:ascii="Calibri" w:cs="Calibri" w:eastAsia="Calibri" w:hAnsi="Calibri"/>
          <w:sz w:val="22"/>
          <w:szCs w:val="22"/>
          <w:color w:val="auto"/>
        </w:rPr>
        <w:t>For purposes of your Outstanding Awards, “Retrement” means your atainment of age sixty (60) and completon of ten (10) years of contnuous Employment with the Company, provided that you have also given the Company six (6) months’ advance notce of your intent to retre.</w:t>
      </w:r>
    </w:p>
    <w:p>
      <w:pPr>
        <w:spacing w:after="0" w:line="284" w:lineRule="exact"/>
        <w:rPr>
          <w:sz w:val="20"/>
          <w:szCs w:val="20"/>
          <w:color w:val="auto"/>
        </w:rPr>
      </w:pPr>
    </w:p>
    <w:p>
      <w:pPr>
        <w:ind w:right="80"/>
        <w:spacing w:after="0" w:line="237" w:lineRule="auto"/>
        <w:rPr>
          <w:sz w:val="20"/>
          <w:szCs w:val="20"/>
          <w:color w:val="auto"/>
        </w:rPr>
      </w:pPr>
      <w:r>
        <w:rPr>
          <w:rFonts w:ascii="Calibri" w:cs="Calibri" w:eastAsia="Calibri" w:hAnsi="Calibri"/>
          <w:sz w:val="22"/>
          <w:szCs w:val="22"/>
          <w:color w:val="auto"/>
        </w:rPr>
        <w:t>Please review the terms and conditons of the FY 2024 Grants for a complete descripton of the retrement vestng provision. Other than with respect to the changes described in this Notce, the terms of your Outstanding Awards shall remain in full force and efect.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alibri" w:cs="Calibri" w:eastAsia="Calibri" w:hAnsi="Calibri"/>
          <w:sz w:val="22"/>
          <w:szCs w:val="22"/>
          <w:color w:val="auto"/>
        </w:rPr>
        <w:t>Thank you for your contnued contributons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alibri" w:cs="Calibri" w:eastAsia="Calibri" w:hAnsi="Calibri"/>
          <w:sz w:val="22"/>
          <w:szCs w:val="22"/>
          <w:color w:val="auto"/>
        </w:rPr>
        <w:t>_____________________________________</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Sean D. Keohane</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President &amp; Chief Executve Ofcer</w:t>
      </w:r>
    </w:p>
    <w:p>
      <w:pPr>
        <w:spacing w:after="0" w:line="200" w:lineRule="exact"/>
        <w:rPr>
          <w:sz w:val="20"/>
          <w:szCs w:val="20"/>
          <w:color w:val="auto"/>
        </w:rPr>
      </w:pPr>
    </w:p>
    <w:p>
      <w:pPr>
        <w:spacing w:after="0" w:line="287" w:lineRule="exact"/>
        <w:rPr>
          <w:sz w:val="20"/>
          <w:szCs w:val="20"/>
          <w:color w:val="auto"/>
        </w:rPr>
      </w:pPr>
    </w:p>
    <w:p>
      <w:pPr>
        <w:spacing w:after="0"/>
        <w:tabs>
          <w:tab w:leader="none" w:pos="3900" w:val="left"/>
        </w:tabs>
        <w:rPr>
          <w:sz w:val="20"/>
          <w:szCs w:val="20"/>
          <w:color w:val="auto"/>
        </w:rPr>
      </w:pPr>
      <w:r>
        <w:rPr>
          <w:rFonts w:ascii="Calibri" w:cs="Calibri" w:eastAsia="Calibri" w:hAnsi="Calibri"/>
          <w:sz w:val="22"/>
          <w:szCs w:val="22"/>
          <w:b w:val="1"/>
          <w:bCs w:val="1"/>
          <w:color w:val="0070C0"/>
        </w:rPr>
        <w:t>[Signed Electronically]</w:t>
      </w:r>
      <w:r>
        <w:rPr>
          <w:sz w:val="20"/>
          <w:szCs w:val="20"/>
          <w:color w:val="auto"/>
        </w:rPr>
        <w:tab/>
      </w:r>
      <w:r>
        <w:rPr>
          <w:rFonts w:ascii="Calibri" w:cs="Calibri" w:eastAsia="Calibri" w:hAnsi="Calibri"/>
          <w:sz w:val="21"/>
          <w:szCs w:val="21"/>
          <w:b w:val="1"/>
          <w:bCs w:val="1"/>
          <w:color w:val="0070C0"/>
        </w:rPr>
        <w:t>[Acceptance Date]</w:t>
      </w:r>
    </w:p>
    <w:p>
      <w:pPr>
        <w:spacing w:after="0" w:line="1" w:lineRule="exact"/>
        <w:rPr>
          <w:sz w:val="20"/>
          <w:szCs w:val="20"/>
          <w:color w:val="auto"/>
        </w:rPr>
      </w:pPr>
    </w:p>
    <w:p>
      <w:pPr>
        <w:spacing w:after="0"/>
        <w:tabs>
          <w:tab w:leader="none" w:pos="4280" w:val="left"/>
        </w:tabs>
        <w:rPr>
          <w:sz w:val="20"/>
          <w:szCs w:val="20"/>
          <w:color w:val="auto"/>
        </w:rPr>
      </w:pPr>
      <w:r>
        <w:rPr>
          <w:rFonts w:ascii="Calibri" w:cs="Calibri" w:eastAsia="Calibri" w:hAnsi="Calibri"/>
          <w:sz w:val="22"/>
          <w:szCs w:val="22"/>
          <w:color w:val="auto"/>
        </w:rPr>
        <w:t>_____________________________________</w:t>
        <w:tab/>
        <w:t>________________________________</w:t>
      </w:r>
    </w:p>
    <w:p>
      <w:pPr>
        <w:spacing w:after="0" w:line="1" w:lineRule="exact"/>
        <w:rPr>
          <w:sz w:val="20"/>
          <w:szCs w:val="20"/>
          <w:color w:val="auto"/>
        </w:rPr>
      </w:pPr>
    </w:p>
    <w:p>
      <w:pPr>
        <w:spacing w:after="0"/>
        <w:tabs>
          <w:tab w:leader="none" w:pos="1940" w:val="left"/>
        </w:tabs>
        <w:rPr>
          <w:sz w:val="20"/>
          <w:szCs w:val="20"/>
          <w:color w:val="auto"/>
        </w:rPr>
      </w:pPr>
      <w:r>
        <w:rPr>
          <w:rFonts w:ascii="Calibri" w:cs="Calibri" w:eastAsia="Calibri" w:hAnsi="Calibri"/>
          <w:sz w:val="22"/>
          <w:szCs w:val="22"/>
          <w:color w:val="auto"/>
        </w:rPr>
        <w:t>Electronic Signature</w:t>
      </w:r>
      <w:r>
        <w:rPr>
          <w:sz w:val="20"/>
          <w:szCs w:val="20"/>
          <w:color w:val="auto"/>
        </w:rPr>
        <w:tab/>
      </w:r>
      <w:r>
        <w:rPr>
          <w:rFonts w:ascii="Calibri" w:cs="Calibri" w:eastAsia="Calibri" w:hAnsi="Calibri"/>
          <w:sz w:val="21"/>
          <w:szCs w:val="21"/>
          <w:color w:val="auto"/>
        </w:rPr>
        <w:t>Acceptance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2" w:name="page103"/>
    <w:bookmarkEnd w:id="102"/>
    <w:p>
      <w:pPr>
        <w:jc w:val="right"/>
        <w:ind w:right="40"/>
        <w:spacing w:after="0"/>
        <w:rPr>
          <w:sz w:val="20"/>
          <w:szCs w:val="20"/>
          <w:color w:val="auto"/>
        </w:rPr>
      </w:pPr>
      <w:r>
        <w:rPr>
          <w:rFonts w:ascii="Calibri" w:cs="Calibri" w:eastAsia="Calibri" w:hAnsi="Calibri"/>
          <w:sz w:val="22"/>
          <w:szCs w:val="22"/>
          <w:b w:val="1"/>
          <w:bCs w:val="1"/>
          <w:color w:val="auto"/>
        </w:rPr>
        <w:t>Exhibit 10(i)</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Cabot Corporaton</w:t>
      </w:r>
    </w:p>
    <w:p>
      <w:pPr>
        <w:jc w:val="center"/>
        <w:spacing w:after="0" w:line="238" w:lineRule="auto"/>
        <w:rPr>
          <w:sz w:val="20"/>
          <w:szCs w:val="20"/>
          <w:color w:val="auto"/>
        </w:rPr>
      </w:pPr>
      <w:r>
        <w:rPr>
          <w:rFonts w:ascii="Calibri" w:cs="Calibri" w:eastAsia="Calibri" w:hAnsi="Calibri"/>
          <w:sz w:val="20"/>
          <w:szCs w:val="20"/>
          <w:b w:val="1"/>
          <w:bCs w:val="1"/>
          <w:color w:val="auto"/>
        </w:rPr>
        <w:t>AMENDED AND RESTATED 2017 Long-Term Incentve Plan</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Time-Based Restricted Stock Unit Award Certfcate</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4F81BD"/>
        </w:rPr>
        <w:t>[Partcipant Name]</w:t>
      </w:r>
    </w:p>
    <w:p>
      <w:pPr>
        <w:spacing w:after="0" w:line="252" w:lineRule="exact"/>
        <w:rPr>
          <w:sz w:val="20"/>
          <w:szCs w:val="20"/>
          <w:color w:val="auto"/>
        </w:rPr>
      </w:pPr>
    </w:p>
    <w:p>
      <w:pPr>
        <w:ind w:right="80"/>
        <w:spacing w:after="0" w:line="237" w:lineRule="auto"/>
        <w:rPr>
          <w:sz w:val="20"/>
          <w:szCs w:val="20"/>
          <w:color w:val="auto"/>
        </w:rPr>
      </w:pPr>
      <w:r>
        <w:rPr>
          <w:rFonts w:ascii="Calibri" w:cs="Calibri" w:eastAsia="Calibri" w:hAnsi="Calibri"/>
          <w:sz w:val="20"/>
          <w:szCs w:val="20"/>
          <w:color w:val="auto"/>
        </w:rPr>
        <w:t>This Certfcate evidences the grant to you by Cabot Corporaton (the “Company”), subject to the terms provided herein and in the Amended and Restated 2017 Long-Term Incentve Plan (as amended from tme to tme, the “2017 Plan”), of the number of tme-based Restricted Stock Units set forth in the table below (such units referred to as the “TSUs” or your “Award”). The principal terms of your Award are described below. Except as otherwise expressly provided, all capitalized terms used that are not defned herein shall have the same meaning as in the 2017 Plan.</w:t>
      </w:r>
    </w:p>
    <w:p>
      <w:pPr>
        <w:spacing w:after="0" w:line="257" w:lineRule="exact"/>
        <w:rPr>
          <w:sz w:val="20"/>
          <w:szCs w:val="20"/>
          <w:color w:val="auto"/>
        </w:rPr>
      </w:pPr>
    </w:p>
    <w:tbl>
      <w:tblPr>
        <w:tblLayout w:type="fixed"/>
        <w:tblInd w:w="130" w:type="dxa"/>
        <w:tblCellMar>
          <w:top w:w="0" w:type="dxa"/>
          <w:left w:w="0" w:type="dxa"/>
          <w:bottom w:w="0" w:type="dxa"/>
          <w:right w:w="0" w:type="dxa"/>
        </w:tblCellMar>
      </w:tblPr>
      <w:tr>
        <w:trPr>
          <w:trHeight w:val="40"/>
        </w:trPr>
        <w:tc>
          <w:tcPr>
            <w:tcW w:w="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7540" w:type="dxa"/>
            <w:vAlign w:val="bottom"/>
            <w:tcBorders>
              <w:top w:val="single" w:sz="8" w:color="auto"/>
              <w:bottom w:val="single" w:sz="8" w:color="auto"/>
              <w:right w:val="single" w:sz="8" w:color="auto"/>
            </w:tcBorders>
          </w:tcPr>
          <w:p>
            <w:pPr>
              <w:spacing w:after="0"/>
              <w:rPr>
                <w:sz w:val="3"/>
                <w:szCs w:val="3"/>
                <w:color w:val="auto"/>
              </w:rPr>
            </w:pPr>
          </w:p>
        </w:tc>
        <w:tc>
          <w:tcPr>
            <w:tcW w:w="3520" w:type="dxa"/>
            <w:vAlign w:val="bottom"/>
            <w:tcBorders>
              <w:top w:val="single" w:sz="8" w:color="auto"/>
              <w:bottom w:val="single" w:sz="8" w:color="auto"/>
              <w:right w:val="single" w:sz="8" w:color="auto"/>
            </w:tcBorders>
          </w:tcPr>
          <w:p>
            <w:pPr>
              <w:spacing w:after="0"/>
              <w:rPr>
                <w:sz w:val="3"/>
                <w:szCs w:val="3"/>
                <w:color w:val="auto"/>
              </w:rPr>
            </w:pPr>
          </w:p>
        </w:tc>
      </w:tr>
      <w:tr>
        <w:trPr>
          <w:trHeight w:val="285"/>
        </w:trPr>
        <w:tc>
          <w:tcPr>
            <w:tcW w:w="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tcPr>
          <w:p>
            <w:pPr>
              <w:ind w:left="100"/>
              <w:spacing w:after="0"/>
              <w:rPr>
                <w:sz w:val="20"/>
                <w:szCs w:val="20"/>
                <w:color w:val="auto"/>
              </w:rPr>
            </w:pPr>
            <w:r>
              <w:rPr>
                <w:rFonts w:ascii="Calibri" w:cs="Calibri" w:eastAsia="Calibri" w:hAnsi="Calibri"/>
                <w:sz w:val="20"/>
                <w:szCs w:val="20"/>
                <w:b w:val="1"/>
                <w:bCs w:val="1"/>
                <w:color w:val="auto"/>
              </w:rPr>
              <w:t>TSUs</w:t>
            </w:r>
          </w:p>
        </w:tc>
        <w:tc>
          <w:tcPr>
            <w:tcW w:w="35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b w:val="1"/>
                <w:bCs w:val="1"/>
                <w:color w:val="4F81BD"/>
              </w:rPr>
              <w:t>[Number of Shares Granted</w:t>
            </w:r>
          </w:p>
        </w:tc>
      </w:tr>
      <w:tr>
        <w:trPr>
          <w:trHeight w:val="100"/>
        </w:trPr>
        <w:tc>
          <w:tcPr>
            <w:tcW w:w="60" w:type="dxa"/>
            <w:vAlign w:val="bottom"/>
            <w:tcBorders>
              <w:left w:val="single" w:sz="8" w:color="auto"/>
              <w:bottom w:val="single" w:sz="8" w:color="auto"/>
              <w:right w:val="single" w:sz="8" w:color="auto"/>
            </w:tcBorders>
          </w:tcPr>
          <w:p>
            <w:pPr>
              <w:spacing w:after="0"/>
              <w:rPr>
                <w:sz w:val="8"/>
                <w:szCs w:val="8"/>
                <w:color w:val="auto"/>
              </w:rPr>
            </w:pPr>
          </w:p>
        </w:tc>
        <w:tc>
          <w:tcPr>
            <w:tcW w:w="7540" w:type="dxa"/>
            <w:vAlign w:val="bottom"/>
            <w:tcBorders>
              <w:bottom w:val="single" w:sz="8" w:color="auto"/>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r>
      <w:tr>
        <w:trPr>
          <w:trHeight w:val="298"/>
        </w:trPr>
        <w:tc>
          <w:tcPr>
            <w:tcW w:w="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tcPr>
          <w:p>
            <w:pPr>
              <w:ind w:left="100"/>
              <w:spacing w:after="0"/>
              <w:rPr>
                <w:sz w:val="20"/>
                <w:szCs w:val="20"/>
                <w:color w:val="auto"/>
              </w:rPr>
            </w:pPr>
            <w:r>
              <w:rPr>
                <w:rFonts w:ascii="Calibri" w:cs="Calibri" w:eastAsia="Calibri" w:hAnsi="Calibri"/>
                <w:sz w:val="20"/>
                <w:szCs w:val="20"/>
                <w:b w:val="1"/>
                <w:bCs w:val="1"/>
                <w:color w:val="auto"/>
              </w:rPr>
              <w:t>Date of Grant</w:t>
            </w:r>
          </w:p>
        </w:tc>
        <w:tc>
          <w:tcPr>
            <w:tcW w:w="352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b w:val="1"/>
                <w:bCs w:val="1"/>
                <w:color w:val="4F81BD"/>
                <w:w w:val="99"/>
              </w:rPr>
              <w:t>[Grant Date]</w:t>
            </w:r>
          </w:p>
        </w:tc>
      </w:tr>
      <w:tr>
        <w:trPr>
          <w:trHeight w:val="100"/>
        </w:trPr>
        <w:tc>
          <w:tcPr>
            <w:tcW w:w="60" w:type="dxa"/>
            <w:vAlign w:val="bottom"/>
            <w:tcBorders>
              <w:left w:val="single" w:sz="8" w:color="auto"/>
              <w:bottom w:val="single" w:sz="8" w:color="auto"/>
              <w:right w:val="single" w:sz="8" w:color="auto"/>
            </w:tcBorders>
          </w:tcPr>
          <w:p>
            <w:pPr>
              <w:spacing w:after="0"/>
              <w:rPr>
                <w:sz w:val="8"/>
                <w:szCs w:val="8"/>
                <w:color w:val="auto"/>
              </w:rPr>
            </w:pPr>
          </w:p>
        </w:tc>
        <w:tc>
          <w:tcPr>
            <w:tcW w:w="7540" w:type="dxa"/>
            <w:vAlign w:val="bottom"/>
            <w:tcBorders>
              <w:bottom w:val="single" w:sz="8" w:color="auto"/>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540" w:type="dxa"/>
            <w:vAlign w:val="bottom"/>
            <w:tcBorders>
              <w:bottom w:val="single" w:sz="8" w:color="auto"/>
              <w:right w:val="single" w:sz="8" w:color="auto"/>
            </w:tcBorders>
          </w:tcPr>
          <w:p>
            <w:pPr>
              <w:spacing w:after="0" w:line="20" w:lineRule="exact"/>
              <w:rPr>
                <w:sz w:val="1"/>
                <w:szCs w:val="1"/>
                <w:color w:val="auto"/>
              </w:rPr>
            </w:pPr>
          </w:p>
        </w:tc>
        <w:tc>
          <w:tcPr>
            <w:tcW w:w="3520" w:type="dxa"/>
            <w:vAlign w:val="bottom"/>
            <w:tcBorders>
              <w:bottom w:val="single" w:sz="8" w:color="auto"/>
              <w:right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60"/>
        <w:spacing w:after="0" w:line="238" w:lineRule="auto"/>
        <w:rPr>
          <w:sz w:val="20"/>
          <w:szCs w:val="20"/>
          <w:color w:val="auto"/>
        </w:rPr>
      </w:pPr>
      <w:r>
        <w:rPr>
          <w:rFonts w:ascii="Calibri" w:cs="Calibri" w:eastAsia="Calibri" w:hAnsi="Calibri"/>
          <w:sz w:val="20"/>
          <w:szCs w:val="20"/>
          <w:b w:val="1"/>
          <w:bCs w:val="1"/>
          <w:color w:val="auto"/>
        </w:rPr>
        <w:t xml:space="preserve">General terms of your Award. </w:t>
      </w:r>
      <w:r>
        <w:rPr>
          <w:rFonts w:ascii="Calibri" w:cs="Calibri" w:eastAsia="Calibri" w:hAnsi="Calibri"/>
          <w:sz w:val="20"/>
          <w:szCs w:val="20"/>
          <w:color w:val="auto"/>
        </w:rPr>
        <w:t>The TSUs give you the conditonal right to receive, without payment, subject to the vestng and other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conditons set forth in this Certfcate and in the 2017 Plan, (i) shares of Stock equal in number to the number of TSUs set forth in the table above (the “Shares”), and (ii) dividend equivalents, payable in cash, when and if dividends are declared and paid on outstanding shares of Stock, and equal in value to the dividends that would have been paid in respect of the Shares had such Shares been issued to you on the date of grant. Dividend equivalents will only be paid to you with respect to Shares underlying TSUs that have not vested as of the applicable Stock dividend record date. Any dividend equivalents payable to you will be paid through the Company’s payroll system on or as soon as administratvely possible afer the applicable Stock dividend payment date (but in no event more than sixty (60) days thereafer), subject to your contnued Employment through the date that such dividend equivalents are paid. For purposes of this Certfcate, “Employment” means only your employment relatonship with the Company and its Afliates and shall not include any other service relatonship with the Company and its Afliates.</w:t>
      </w:r>
    </w:p>
    <w:p>
      <w:pPr>
        <w:spacing w:after="0" w:line="252" w:lineRule="exact"/>
        <w:rPr>
          <w:sz w:val="20"/>
          <w:szCs w:val="20"/>
          <w:color w:val="auto"/>
        </w:rPr>
      </w:pPr>
    </w:p>
    <w:p>
      <w:pPr>
        <w:jc w:val="both"/>
        <w:ind w:right="80"/>
        <w:spacing w:after="0" w:line="236" w:lineRule="auto"/>
        <w:rPr>
          <w:sz w:val="20"/>
          <w:szCs w:val="20"/>
          <w:color w:val="auto"/>
        </w:rPr>
      </w:pPr>
      <w:r>
        <w:rPr>
          <w:rFonts w:ascii="Calibri" w:cs="Calibri" w:eastAsia="Calibri" w:hAnsi="Calibri"/>
          <w:sz w:val="20"/>
          <w:szCs w:val="20"/>
          <w:b w:val="1"/>
          <w:bCs w:val="1"/>
          <w:color w:val="auto"/>
        </w:rPr>
        <w:t xml:space="preserve">Vestng of your Award. </w:t>
      </w:r>
      <w:r>
        <w:rPr>
          <w:rFonts w:ascii="Calibri" w:cs="Calibri" w:eastAsia="Calibri" w:hAnsi="Calibri"/>
          <w:sz w:val="20"/>
          <w:szCs w:val="20"/>
          <w:color w:val="auto"/>
        </w:rPr>
        <w:t>Except as otherwise provided in the Plan or in this Certfcate, your Award shall vest on the third anniversary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date of grant (the “Scheduled Vestng Date”), unless it is earlier forfeited as provided below, subject to your contnued Employment on the Scheduled Vestng Date. Additonal vestng provisions and the conditons under which your Award may be forfeited are explained below.</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color w:val="auto"/>
        </w:rPr>
        <w:t>If your Employment ends, the following rules will apply:</w:t>
      </w:r>
    </w:p>
    <w:p>
      <w:pPr>
        <w:spacing w:after="0" w:line="265" w:lineRule="exact"/>
        <w:rPr>
          <w:sz w:val="20"/>
          <w:szCs w:val="20"/>
          <w:color w:val="auto"/>
        </w:rPr>
      </w:pPr>
    </w:p>
    <w:p>
      <w:pPr>
        <w:ind w:left="760" w:right="720" w:hanging="378"/>
        <w:spacing w:after="0" w:line="234" w:lineRule="auto"/>
        <w:tabs>
          <w:tab w:leader="none" w:pos="760" w:val="left"/>
        </w:tabs>
        <w:numPr>
          <w:ilvl w:val="0"/>
          <w:numId w:val="44"/>
        </w:numPr>
        <w:rPr>
          <w:rFonts w:ascii="Times New Roman" w:cs="Times New Roman" w:eastAsia="Times New Roman" w:hAnsi="Times New Roman"/>
          <w:sz w:val="20"/>
          <w:szCs w:val="20"/>
          <w:color w:val="auto"/>
        </w:rPr>
      </w:pPr>
      <w:r>
        <w:rPr>
          <w:rFonts w:ascii="Calibri" w:cs="Calibri" w:eastAsia="Calibri" w:hAnsi="Calibri"/>
          <w:sz w:val="20"/>
          <w:szCs w:val="20"/>
          <w:color w:val="auto"/>
        </w:rPr>
        <w:t>Except as set forth below, if your Employment ceases for any reason you will forfeit your Award immediately upon such cessaton of Employment.</w:t>
      </w:r>
    </w:p>
    <w:p>
      <w:pPr>
        <w:spacing w:after="0" w:line="23" w:lineRule="exact"/>
        <w:rPr>
          <w:rFonts w:ascii="Times New Roman" w:cs="Times New Roman" w:eastAsia="Times New Roman" w:hAnsi="Times New Roman"/>
          <w:sz w:val="20"/>
          <w:szCs w:val="20"/>
          <w:color w:val="auto"/>
        </w:rPr>
      </w:pPr>
    </w:p>
    <w:p>
      <w:pPr>
        <w:ind w:left="760" w:right="120" w:hanging="378"/>
        <w:spacing w:after="0" w:line="236" w:lineRule="auto"/>
        <w:tabs>
          <w:tab w:leader="none" w:pos="760" w:val="left"/>
        </w:tabs>
        <w:numPr>
          <w:ilvl w:val="0"/>
          <w:numId w:val="44"/>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the event of your death or Disability during your Employment (including, for the avoidance of doubt, in the event of your death or Disability occurring afer you have given the Company notce of your intent to retre but prior to your actual cessaton of Employment as a result of your Retrement), your Award will vest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3" w:name="page104"/>
    <w:bookmarkEnd w:id="103"/>
    <w:p>
      <w:pPr>
        <w:ind w:left="760" w:right="80" w:hanging="378"/>
        <w:spacing w:after="0" w:line="234" w:lineRule="auto"/>
        <w:tabs>
          <w:tab w:leader="none" w:pos="760" w:val="left"/>
        </w:tabs>
        <w:numPr>
          <w:ilvl w:val="0"/>
          <w:numId w:val="45"/>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the event that your Employment is terminated by Cabot or its successor or any of their respectve subsidiaries other than for Cause or you resign for Good Reason, in each case, within two years following a Change in Control, your Award will vest in full.</w:t>
      </w:r>
    </w:p>
    <w:p>
      <w:pPr>
        <w:spacing w:after="0" w:line="1"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Calibri" w:cs="Calibri" w:eastAsia="Calibri" w:hAnsi="Calibri"/>
          <w:sz w:val="20"/>
          <w:szCs w:val="20"/>
          <w:color w:val="auto"/>
        </w:rPr>
        <w:t>In the event that your Employment ceases as a result of your Retrement, your Award will vest</w:t>
      </w:r>
    </w:p>
    <w:p>
      <w:pPr>
        <w:spacing w:after="0" w:line="24" w:lineRule="exact"/>
        <w:rPr>
          <w:sz w:val="20"/>
          <w:szCs w:val="20"/>
          <w:color w:val="auto"/>
        </w:rPr>
      </w:pPr>
    </w:p>
    <w:p>
      <w:pPr>
        <w:ind w:left="760" w:right="2700"/>
        <w:spacing w:after="0" w:line="235" w:lineRule="auto"/>
        <w:rPr>
          <w:sz w:val="20"/>
          <w:szCs w:val="20"/>
          <w:color w:val="auto"/>
        </w:rPr>
      </w:pPr>
      <w:r>
        <w:rPr>
          <w:rFonts w:ascii="Calibri" w:cs="Calibri" w:eastAsia="Calibri" w:hAnsi="Calibri"/>
          <w:sz w:val="20"/>
          <w:szCs w:val="20"/>
          <w:color w:val="auto"/>
        </w:rPr>
        <w:t>on a pro rata basis in an amount equal to the number of TSUs subject to your Award multplied by a fracton, the numerator of which is the number of full months you have remained in Employment measured from October 1 of the year of grant and the denominator of which is thirty-six (36).</w:t>
      </w:r>
    </w:p>
    <w:p>
      <w:pPr>
        <w:spacing w:after="0" w:line="26" w:lineRule="exact"/>
        <w:rPr>
          <w:sz w:val="20"/>
          <w:szCs w:val="20"/>
          <w:color w:val="auto"/>
        </w:rPr>
      </w:pPr>
    </w:p>
    <w:p>
      <w:pPr>
        <w:ind w:left="760" w:right="120" w:hanging="378"/>
        <w:spacing w:after="0" w:line="236" w:lineRule="auto"/>
        <w:tabs>
          <w:tab w:leader="none" w:pos="760" w:val="left"/>
        </w:tabs>
        <w:numPr>
          <w:ilvl w:val="0"/>
          <w:numId w:val="46"/>
        </w:numPr>
        <w:rPr>
          <w:rFonts w:ascii="Times New Roman" w:cs="Times New Roman" w:eastAsia="Times New Roman" w:hAnsi="Times New Roman"/>
          <w:sz w:val="20"/>
          <w:szCs w:val="20"/>
          <w:color w:val="auto"/>
        </w:rPr>
      </w:pPr>
      <w:r>
        <w:rPr>
          <w:rFonts w:ascii="Calibri" w:cs="Calibri" w:eastAsia="Calibri" w:hAnsi="Calibri"/>
          <w:sz w:val="20"/>
          <w:szCs w:val="20"/>
          <w:color w:val="auto"/>
        </w:rPr>
        <w:t>Notwithstanding anything to the contrary, if your Employment is terminated for Cause or is terminated under circumstances that in the sole discreton of the Administrator would have consttuted grounds for your Employment to have been terminated for Cause, you will forfeit your Award immediately upon such terminaton of Employment.</w:t>
      </w:r>
    </w:p>
    <w:p>
      <w:pPr>
        <w:spacing w:after="0" w:line="252" w:lineRule="exact"/>
        <w:rPr>
          <w:sz w:val="20"/>
          <w:szCs w:val="20"/>
          <w:color w:val="auto"/>
        </w:rPr>
      </w:pPr>
    </w:p>
    <w:p>
      <w:pPr>
        <w:ind w:right="60"/>
        <w:spacing w:after="0" w:line="238" w:lineRule="auto"/>
        <w:rPr>
          <w:sz w:val="20"/>
          <w:szCs w:val="20"/>
          <w:color w:val="auto"/>
        </w:rPr>
      </w:pPr>
      <w:r>
        <w:rPr>
          <w:rFonts w:ascii="Calibri" w:cs="Calibri" w:eastAsia="Calibri" w:hAnsi="Calibri"/>
          <w:sz w:val="20"/>
          <w:szCs w:val="20"/>
          <w:color w:val="auto"/>
        </w:rPr>
        <w:t>For purposes of this Certfcate, “Cause” means (i) your willful and contnued failure to perform substantally your reasonably assigned dutes with the Company or any successor entty or any of their respectve Afliates (other than any such failure resultng from your physical or mental incapacity or any such actual, alleged or antcipated failure afer you issue a notce of terminaton for Good Reason) afer a writen demand for substantal performance is delivered to you by the Company which demand specifcally identfes the manner in which the Company believes you have not substantally performed your dutes; (ii) your willfully engaging in conduct which is demonstrably and materially injurious to the Company, monetarily or otherwise; (iii) your commission of a felony or a crime involving moral turpitude; (iv) your commission of thef, fraud, embezzlement, material breach of trust or any material act of dishonesty involving the Company or any of its subsidiaries; (v) a signifcant violaton by you of the code of conduct of the Company or its subsidiaries, of any material policy of the Company or its subsidiaries, or of any statutory or common law duty of loyalty to the Company or its subsidiaries; or (vi) a material breach by you of the terms of any agreement between the Company or its subsidiaries and you. For purposes of this defniton (i) no act, or failure to act, on your part shall be deemed “willful” unless done, or omited to be done, by you not in good faith and without reasonable belief that your actons or omission was in the best interest of the Company and (ii) your good faith errors in judgment shall not consttute Cause or be considered in any determinaton of whether Cause exists.</w:t>
      </w:r>
    </w:p>
    <w:p>
      <w:pPr>
        <w:spacing w:after="0" w:line="255" w:lineRule="exact"/>
        <w:rPr>
          <w:sz w:val="20"/>
          <w:szCs w:val="20"/>
          <w:color w:val="auto"/>
        </w:rPr>
      </w:pPr>
    </w:p>
    <w:p>
      <w:pPr>
        <w:ind w:right="180"/>
        <w:spacing w:after="0" w:line="234" w:lineRule="auto"/>
        <w:rPr>
          <w:sz w:val="20"/>
          <w:szCs w:val="20"/>
          <w:color w:val="auto"/>
        </w:rPr>
      </w:pPr>
      <w:r>
        <w:rPr>
          <w:rFonts w:ascii="Calibri" w:cs="Calibri" w:eastAsia="Calibri" w:hAnsi="Calibri"/>
          <w:sz w:val="20"/>
          <w:szCs w:val="20"/>
          <w:color w:val="auto"/>
        </w:rPr>
        <w:t>For purposes of this Certfcate, “Good Reason” means the occurrence afer a Change in Control, without your prior writen consent, of any of the following events or conditons:</w:t>
      </w:r>
    </w:p>
    <w:p>
      <w:pPr>
        <w:spacing w:after="0" w:line="253" w:lineRule="exact"/>
        <w:rPr>
          <w:sz w:val="20"/>
          <w:szCs w:val="20"/>
          <w:color w:val="auto"/>
        </w:rPr>
      </w:pPr>
    </w:p>
    <w:p>
      <w:pPr>
        <w:ind w:left="1500" w:hanging="690"/>
        <w:spacing w:after="0" w:line="237" w:lineRule="auto"/>
        <w:tabs>
          <w:tab w:leader="none" w:pos="1171" w:val="left"/>
        </w:tabs>
        <w:numPr>
          <w:ilvl w:val="0"/>
          <w:numId w:val="47"/>
        </w:numPr>
        <w:rPr>
          <w:rFonts w:ascii="Calibri" w:cs="Calibri" w:eastAsia="Calibri" w:hAnsi="Calibri"/>
          <w:sz w:val="20"/>
          <w:szCs w:val="20"/>
          <w:color w:val="auto"/>
        </w:rPr>
      </w:pPr>
      <w:r>
        <w:rPr>
          <w:rFonts w:ascii="Calibri" w:cs="Calibri" w:eastAsia="Calibri" w:hAnsi="Calibri"/>
          <w:sz w:val="20"/>
          <w:szCs w:val="20"/>
          <w:color w:val="auto"/>
        </w:rPr>
        <w:t>a change in your status, ttle, positon or responsibilites (including reportng responsibilites) which represents a material adverse change from your status, ttle, positon or responsibilites as in efect immediately prior thereto; the assignment to you of any dutes or responsibilites which are materially inconsistent with your status, ttle, positon or responsibilites; or your removal from or the failure to reappoint or reelect you to any of such ofces or positons, except in connecton with the terminaton of your Employment for Disability, Cause, as a result of your death or by you other than for Good Reason;</w:t>
      </w:r>
    </w:p>
    <w:p>
      <w:pPr>
        <w:spacing w:after="0" w:line="254" w:lineRule="exact"/>
        <w:rPr>
          <w:rFonts w:ascii="Calibri" w:cs="Calibri" w:eastAsia="Calibri" w:hAnsi="Calibri"/>
          <w:sz w:val="20"/>
          <w:szCs w:val="20"/>
          <w:color w:val="auto"/>
        </w:rPr>
      </w:pPr>
    </w:p>
    <w:p>
      <w:pPr>
        <w:ind w:left="1500" w:right="680" w:hanging="690"/>
        <w:spacing w:after="0" w:line="234" w:lineRule="auto"/>
        <w:tabs>
          <w:tab w:leader="none" w:pos="1171" w:val="left"/>
        </w:tabs>
        <w:numPr>
          <w:ilvl w:val="0"/>
          <w:numId w:val="47"/>
        </w:numPr>
        <w:rPr>
          <w:rFonts w:ascii="Calibri" w:cs="Calibri" w:eastAsia="Calibri" w:hAnsi="Calibri"/>
          <w:sz w:val="20"/>
          <w:szCs w:val="20"/>
          <w:color w:val="auto"/>
        </w:rPr>
      </w:pPr>
      <w:r>
        <w:rPr>
          <w:rFonts w:ascii="Calibri" w:cs="Calibri" w:eastAsia="Calibri" w:hAnsi="Calibri"/>
          <w:sz w:val="20"/>
          <w:szCs w:val="20"/>
          <w:color w:val="auto"/>
        </w:rPr>
        <w:t>a reducton in the rate of your annual base salary or target annual cash bonus, or a material reducton in your total compensaton;</w:t>
      </w:r>
    </w:p>
    <w:p>
      <w:pPr>
        <w:spacing w:after="0" w:line="252" w:lineRule="exact"/>
        <w:rPr>
          <w:rFonts w:ascii="Calibri" w:cs="Calibri" w:eastAsia="Calibri" w:hAnsi="Calibri"/>
          <w:sz w:val="20"/>
          <w:szCs w:val="20"/>
          <w:color w:val="auto"/>
        </w:rPr>
      </w:pPr>
    </w:p>
    <w:p>
      <w:pPr>
        <w:ind w:left="1500" w:right="80" w:hanging="690"/>
        <w:spacing w:after="0" w:line="234" w:lineRule="auto"/>
        <w:tabs>
          <w:tab w:leader="none" w:pos="1171" w:val="left"/>
        </w:tabs>
        <w:numPr>
          <w:ilvl w:val="0"/>
          <w:numId w:val="47"/>
        </w:numPr>
        <w:rPr>
          <w:rFonts w:ascii="Calibri" w:cs="Calibri" w:eastAsia="Calibri" w:hAnsi="Calibri"/>
          <w:sz w:val="20"/>
          <w:szCs w:val="20"/>
          <w:color w:val="auto"/>
        </w:rPr>
      </w:pPr>
      <w:r>
        <w:rPr>
          <w:rFonts w:ascii="Calibri" w:cs="Calibri" w:eastAsia="Calibri" w:hAnsi="Calibri"/>
          <w:sz w:val="20"/>
          <w:szCs w:val="20"/>
          <w:color w:val="auto"/>
        </w:rPr>
        <w:t>the relocaton of the ofces at which you are principally employed to a locaton more than twenty-fve (25) miles from the locaton of such ofce immediately prior to the</w:t>
      </w:r>
    </w:p>
    <w:p>
      <w:pPr>
        <w:jc w:val="center"/>
        <w:ind w:right="-19"/>
        <w:spacing w:after="0"/>
        <w:rPr>
          <w:sz w:val="20"/>
          <w:szCs w:val="20"/>
          <w:color w:val="auto"/>
        </w:rPr>
      </w:pPr>
      <w:r>
        <w:rPr>
          <w:rFonts w:ascii="Calibri" w:cs="Calibri" w:eastAsia="Calibri" w:hAnsi="Calibri"/>
          <w:sz w:val="20"/>
          <w:szCs w:val="20"/>
          <w:color w:val="auto"/>
        </w:rPr>
        <w:t>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104" w:name="page105"/>
    <w:bookmarkEnd w:id="104"/>
    <w:p>
      <w:pPr>
        <w:ind w:left="1500" w:right="20"/>
        <w:spacing w:after="0" w:line="236" w:lineRule="auto"/>
        <w:rPr>
          <w:sz w:val="20"/>
          <w:szCs w:val="20"/>
          <w:color w:val="auto"/>
        </w:rPr>
      </w:pPr>
      <w:r>
        <w:rPr>
          <w:rFonts w:ascii="Calibri" w:cs="Calibri" w:eastAsia="Calibri" w:hAnsi="Calibri"/>
          <w:sz w:val="20"/>
          <w:szCs w:val="20"/>
          <w:color w:val="auto"/>
        </w:rPr>
        <w:t>Change in Control, or the Company’s requiring you to be based at a locaton more than twenty-fve (25) miles from such ofce, except to the extent you were not previously assigned to a principal locaton and except for required travel on the Company’s business to an extent substantally consistent with your business travel obligatons at the tme of the Change in Control;</w:t>
      </w:r>
    </w:p>
    <w:p>
      <w:pPr>
        <w:spacing w:after="0" w:line="255" w:lineRule="exact"/>
        <w:rPr>
          <w:sz w:val="20"/>
          <w:szCs w:val="20"/>
          <w:color w:val="auto"/>
        </w:rPr>
      </w:pPr>
    </w:p>
    <w:p>
      <w:pPr>
        <w:ind w:left="1500" w:right="40" w:hanging="690"/>
        <w:spacing w:after="0" w:line="237" w:lineRule="auto"/>
        <w:tabs>
          <w:tab w:leader="none" w:pos="1171" w:val="left"/>
        </w:tabs>
        <w:numPr>
          <w:ilvl w:val="0"/>
          <w:numId w:val="48"/>
        </w:numPr>
        <w:rPr>
          <w:rFonts w:ascii="Calibri" w:cs="Calibri" w:eastAsia="Calibri" w:hAnsi="Calibri"/>
          <w:sz w:val="20"/>
          <w:szCs w:val="20"/>
          <w:color w:val="auto"/>
        </w:rPr>
      </w:pPr>
      <w:r>
        <w:rPr>
          <w:rFonts w:ascii="Calibri" w:cs="Calibri" w:eastAsia="Calibri" w:hAnsi="Calibri"/>
          <w:sz w:val="20"/>
          <w:szCs w:val="20"/>
          <w:color w:val="auto"/>
        </w:rPr>
        <w:t>the failure by the Company to pay to you any porton of your then current base salary or annual cash bonus or any other compensaton, or to pay to you any porton of an installment of deferred compensaton under any deferred compensaton program of the Company in which you partcipated, in each case, within fourteen (14) days of the date such compensaton is due and payable in accordance with the terms of the applicable agreement or plan or applicable law; or</w:t>
      </w:r>
    </w:p>
    <w:p>
      <w:pPr>
        <w:spacing w:after="0" w:line="252" w:lineRule="exact"/>
        <w:rPr>
          <w:rFonts w:ascii="Calibri" w:cs="Calibri" w:eastAsia="Calibri" w:hAnsi="Calibri"/>
          <w:sz w:val="20"/>
          <w:szCs w:val="20"/>
          <w:color w:val="auto"/>
        </w:rPr>
      </w:pPr>
    </w:p>
    <w:p>
      <w:pPr>
        <w:ind w:left="1500" w:right="720" w:hanging="690"/>
        <w:spacing w:after="0" w:line="234" w:lineRule="auto"/>
        <w:tabs>
          <w:tab w:leader="none" w:pos="1171" w:val="left"/>
        </w:tabs>
        <w:numPr>
          <w:ilvl w:val="0"/>
          <w:numId w:val="48"/>
        </w:numPr>
        <w:rPr>
          <w:rFonts w:ascii="Calibri" w:cs="Calibri" w:eastAsia="Calibri" w:hAnsi="Calibri"/>
          <w:sz w:val="20"/>
          <w:szCs w:val="20"/>
          <w:color w:val="auto"/>
        </w:rPr>
      </w:pPr>
      <w:r>
        <w:rPr>
          <w:rFonts w:ascii="Calibri" w:cs="Calibri" w:eastAsia="Calibri" w:hAnsi="Calibri"/>
          <w:sz w:val="20"/>
          <w:szCs w:val="20"/>
          <w:color w:val="auto"/>
        </w:rPr>
        <w:t>any material reducton in the retrement or welfare benefts or other material beneft or compensaton plan made available to you or any materially adverse change in the terms on which those benefts are made available.</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In order for a terminaton for Good Reason to be efectve, you must (a) provide notce to the Company specifying in reasonable detail</w:t>
      </w:r>
    </w:p>
    <w:p>
      <w:pPr>
        <w:spacing w:after="0" w:line="238" w:lineRule="auto"/>
        <w:rPr>
          <w:sz w:val="20"/>
          <w:szCs w:val="20"/>
          <w:color w:val="auto"/>
        </w:rPr>
      </w:pPr>
      <w:r>
        <w:rPr>
          <w:rFonts w:ascii="Calibri" w:cs="Calibri" w:eastAsia="Calibri" w:hAnsi="Calibri"/>
          <w:sz w:val="20"/>
          <w:szCs w:val="20"/>
          <w:color w:val="auto"/>
        </w:rPr>
        <w:t>the conditon giving rise to the Good Reason no later than the one-hundred and eighteth (180th) day following the occurrence of that</w:t>
      </w:r>
    </w:p>
    <w:p>
      <w:pPr>
        <w:spacing w:after="0"/>
        <w:rPr>
          <w:sz w:val="20"/>
          <w:szCs w:val="20"/>
          <w:color w:val="auto"/>
        </w:rPr>
      </w:pPr>
      <w:r>
        <w:rPr>
          <w:rFonts w:ascii="Calibri" w:cs="Calibri" w:eastAsia="Calibri" w:hAnsi="Calibri"/>
          <w:sz w:val="20"/>
          <w:szCs w:val="20"/>
          <w:color w:val="auto"/>
        </w:rPr>
        <w:t>conditon; (b) provide the Company a period of thirty (30) days to remedy the conditon; and (c) terminate your Employment for Good</w:t>
      </w:r>
    </w:p>
    <w:p>
      <w:pPr>
        <w:spacing w:after="0" w:line="238" w:lineRule="auto"/>
        <w:rPr>
          <w:sz w:val="20"/>
          <w:szCs w:val="20"/>
          <w:color w:val="auto"/>
        </w:rPr>
      </w:pPr>
      <w:r>
        <w:rPr>
          <w:rFonts w:ascii="Calibri" w:cs="Calibri" w:eastAsia="Calibri" w:hAnsi="Calibri"/>
          <w:sz w:val="20"/>
          <w:szCs w:val="20"/>
          <w:color w:val="auto"/>
        </w:rPr>
        <w:t>Reason within sixty (60) days following the expiraton of the Company’s period to remedy if the Company fails to remedy the conditon.</w:t>
      </w:r>
    </w:p>
    <w:p>
      <w:pPr>
        <w:spacing w:after="0" w:line="252" w:lineRule="exact"/>
        <w:rPr>
          <w:sz w:val="20"/>
          <w:szCs w:val="20"/>
          <w:color w:val="auto"/>
        </w:rPr>
      </w:pPr>
    </w:p>
    <w:p>
      <w:pPr>
        <w:ind w:right="2720"/>
        <w:spacing w:after="0" w:line="237" w:lineRule="auto"/>
        <w:rPr>
          <w:sz w:val="20"/>
          <w:szCs w:val="20"/>
          <w:color w:val="auto"/>
        </w:rPr>
      </w:pPr>
      <w:r>
        <w:rPr>
          <w:rFonts w:ascii="Calibri" w:cs="Calibri" w:eastAsia="Calibri" w:hAnsi="Calibri"/>
          <w:sz w:val="20"/>
          <w:szCs w:val="20"/>
          <w:color w:val="auto"/>
        </w:rPr>
        <w:t>For purposes of this Certfcate, “Disability” means that you meet one of the following requirements: (1) you are unable to engage in any substantal gainful actvity by reason of any medically determinable physical or mental impairment that can be expected to result in death or can be expected to last for a contnuous period of not less than twelve (12) months or (2) you are, by reason of any medically determinable physical or mental impairment that can be expected to result in death or can be expected to last for a contnuous period of not less than twelve (12) months, receiving income replacement benefts for a period of not less than three months under a disability plan of the Company.</w:t>
      </w:r>
    </w:p>
    <w:p>
      <w:pPr>
        <w:spacing w:after="0" w:line="256" w:lineRule="exact"/>
        <w:rPr>
          <w:sz w:val="20"/>
          <w:szCs w:val="20"/>
          <w:color w:val="auto"/>
        </w:rPr>
      </w:pPr>
    </w:p>
    <w:p>
      <w:pPr>
        <w:jc w:val="both"/>
        <w:ind w:right="2880"/>
        <w:spacing w:after="0" w:line="236" w:lineRule="auto"/>
        <w:rPr>
          <w:sz w:val="20"/>
          <w:szCs w:val="20"/>
          <w:color w:val="auto"/>
        </w:rPr>
      </w:pPr>
      <w:r>
        <w:rPr>
          <w:rFonts w:ascii="Calibri" w:cs="Calibri" w:eastAsia="Calibri" w:hAnsi="Calibri"/>
          <w:sz w:val="20"/>
          <w:szCs w:val="20"/>
          <w:color w:val="auto"/>
        </w:rPr>
        <w:t>For purposes of this Certfcate, “Retrement” means your atainment of age sixty (60) and completon of ten (10) years of contnuous Employment with the Company, provided that you have also given the Company six (6) months’ advance notce of your intent to retre.</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Delivery of Shares.</w:t>
      </w:r>
    </w:p>
    <w:p>
      <w:pPr>
        <w:spacing w:after="0" w:line="215" w:lineRule="exact"/>
        <w:rPr>
          <w:sz w:val="20"/>
          <w:szCs w:val="20"/>
          <w:color w:val="auto"/>
        </w:rPr>
      </w:pPr>
    </w:p>
    <w:p>
      <w:pPr>
        <w:ind w:left="1140" w:hanging="758"/>
        <w:spacing w:after="0"/>
        <w:tabs>
          <w:tab w:leader="none" w:pos="1140" w:val="left"/>
        </w:tabs>
        <w:numPr>
          <w:ilvl w:val="0"/>
          <w:numId w:val="49"/>
        </w:numPr>
        <w:rPr>
          <w:rFonts w:ascii="Calibri" w:cs="Calibri" w:eastAsia="Calibri" w:hAnsi="Calibri"/>
          <w:sz w:val="20"/>
          <w:szCs w:val="20"/>
          <w:color w:val="auto"/>
        </w:rPr>
      </w:pPr>
      <w:r>
        <w:rPr>
          <w:rFonts w:ascii="Calibri" w:cs="Calibri" w:eastAsia="Calibri" w:hAnsi="Calibri"/>
          <w:sz w:val="20"/>
          <w:szCs w:val="20"/>
          <w:color w:val="auto"/>
        </w:rPr>
        <w:t>General Rule. Except as set forth in subsectons (ii) through (iv) below, the</w:t>
      </w:r>
    </w:p>
    <w:p>
      <w:pPr>
        <w:spacing w:after="0" w:line="8" w:lineRule="exact"/>
        <w:rPr>
          <w:rFonts w:ascii="Calibri" w:cs="Calibri" w:eastAsia="Calibri" w:hAnsi="Calibri"/>
          <w:sz w:val="20"/>
          <w:szCs w:val="20"/>
          <w:color w:val="auto"/>
        </w:rPr>
      </w:pPr>
    </w:p>
    <w:p>
      <w:pPr>
        <w:ind w:left="1140" w:right="6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Company shall within sixty (60) days following the vestng of your Award (afer giving efect to any accelerated vestng under “Vestng of your Award” above) deliver the Shares with respect to such vested Award to you (or, in the event of your death, to the person to whom this Award has passed by will or the laws of descent and distributon).</w:t>
      </w:r>
    </w:p>
    <w:p>
      <w:pPr>
        <w:spacing w:after="0" w:line="224" w:lineRule="exact"/>
        <w:rPr>
          <w:rFonts w:ascii="Calibri" w:cs="Calibri" w:eastAsia="Calibri" w:hAnsi="Calibri"/>
          <w:sz w:val="20"/>
          <w:szCs w:val="20"/>
          <w:color w:val="auto"/>
        </w:rPr>
      </w:pPr>
    </w:p>
    <w:p>
      <w:pPr>
        <w:ind w:left="1140" w:hanging="758"/>
        <w:spacing w:after="0" w:line="236" w:lineRule="auto"/>
        <w:tabs>
          <w:tab w:leader="none" w:pos="758" w:val="left"/>
        </w:tabs>
        <w:numPr>
          <w:ilvl w:val="0"/>
          <w:numId w:val="49"/>
        </w:numPr>
        <w:rPr>
          <w:rFonts w:ascii="Calibri" w:cs="Calibri" w:eastAsia="Calibri" w:hAnsi="Calibri"/>
          <w:sz w:val="20"/>
          <w:szCs w:val="20"/>
          <w:color w:val="auto"/>
        </w:rPr>
      </w:pPr>
      <w:r>
        <w:rPr>
          <w:rFonts w:ascii="Calibri" w:cs="Calibri" w:eastAsia="Calibri" w:hAnsi="Calibri"/>
          <w:sz w:val="20"/>
          <w:szCs w:val="20"/>
          <w:color w:val="auto"/>
        </w:rPr>
        <w:t>Retrement. Notwithstanding subsecton (i) above, to the extent that you have satsfed the conditons for Retrement, the Company shall deliver the Shares with respect to your vested Award as soon as practcable following the date that your Employment ceases as a result of your Retrement.</w:t>
      </w:r>
    </w:p>
    <w:p>
      <w:pPr>
        <w:jc w:val="center"/>
        <w:ind w:right="-19"/>
        <w:spacing w:after="0"/>
        <w:rPr>
          <w:sz w:val="20"/>
          <w:szCs w:val="20"/>
          <w:color w:val="auto"/>
        </w:rPr>
      </w:pPr>
      <w:r>
        <w:rPr>
          <w:rFonts w:ascii="Calibri" w:cs="Calibri" w:eastAsia="Calibri" w:hAnsi="Calibri"/>
          <w:sz w:val="20"/>
          <w:szCs w:val="20"/>
          <w:color w:val="auto"/>
        </w:rPr>
        <w:t>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5" w:name="page106"/>
    <w:bookmarkEnd w:id="105"/>
    <w:p>
      <w:pPr>
        <w:ind w:left="1140" w:right="180" w:hanging="758"/>
        <w:spacing w:after="0" w:line="237" w:lineRule="auto"/>
        <w:tabs>
          <w:tab w:leader="none" w:pos="758" w:val="left"/>
        </w:tabs>
        <w:numPr>
          <w:ilvl w:val="0"/>
          <w:numId w:val="50"/>
        </w:numPr>
        <w:rPr>
          <w:rFonts w:ascii="Calibri" w:cs="Calibri" w:eastAsia="Calibri" w:hAnsi="Calibri"/>
          <w:sz w:val="20"/>
          <w:szCs w:val="20"/>
          <w:color w:val="auto"/>
        </w:rPr>
      </w:pPr>
      <w:r>
        <w:rPr>
          <w:rFonts w:ascii="Calibri" w:cs="Calibri" w:eastAsia="Calibri" w:hAnsi="Calibri"/>
          <w:sz w:val="20"/>
          <w:szCs w:val="20"/>
          <w:color w:val="auto"/>
        </w:rPr>
        <w:t>Change in Control. Notwithstanding subsectons (i) or (ii) above, or anything in Secton 7 of the Plan to the contrary, in the event that the Scheduled Vestng Date is accelerated in connecton with a Change in Control and your Award is subject to Secton 409A as a result of you having satsfed the conditons for Retrement, the Company shall deliver the Shares with respect to your vested Award as soon as practcable following the earlier of your terminaton of Employment and the Scheduled Vestng Date.</w:t>
      </w:r>
    </w:p>
    <w:p>
      <w:pPr>
        <w:spacing w:after="0" w:line="239" w:lineRule="exact"/>
        <w:rPr>
          <w:rFonts w:ascii="Calibri" w:cs="Calibri" w:eastAsia="Calibri" w:hAnsi="Calibri"/>
          <w:sz w:val="20"/>
          <w:szCs w:val="20"/>
          <w:color w:val="auto"/>
        </w:rPr>
      </w:pPr>
    </w:p>
    <w:p>
      <w:pPr>
        <w:ind w:left="1140" w:right="80" w:hanging="758"/>
        <w:spacing w:after="0" w:line="236" w:lineRule="auto"/>
        <w:tabs>
          <w:tab w:leader="none" w:pos="758" w:val="left"/>
        </w:tabs>
        <w:numPr>
          <w:ilvl w:val="0"/>
          <w:numId w:val="50"/>
        </w:numPr>
        <w:rPr>
          <w:rFonts w:ascii="Calibri" w:cs="Calibri" w:eastAsia="Calibri" w:hAnsi="Calibri"/>
          <w:sz w:val="20"/>
          <w:szCs w:val="20"/>
          <w:color w:val="auto"/>
        </w:rPr>
      </w:pPr>
      <w:r>
        <w:rPr>
          <w:rFonts w:ascii="Calibri" w:cs="Calibri" w:eastAsia="Calibri" w:hAnsi="Calibri"/>
          <w:sz w:val="20"/>
          <w:szCs w:val="20"/>
          <w:color w:val="auto"/>
        </w:rPr>
        <w:t>Required Delay. Notwithstanding anything in subsectons (i)-(iii) to the contrary, the setlement date with respect to any Award that is subject to Secton 409A shall be subject to a delay of six months and one day (or untl death if earlier) if such setlement is due to your separaton from Employment and you are a “specifed employee” as determined in accordance with Secton 409A and Company policy.</w:t>
      </w:r>
    </w:p>
    <w:p>
      <w:pPr>
        <w:spacing w:after="0" w:line="268" w:lineRule="exact"/>
        <w:rPr>
          <w:sz w:val="20"/>
          <w:szCs w:val="20"/>
          <w:color w:val="auto"/>
        </w:rPr>
      </w:pPr>
    </w:p>
    <w:p>
      <w:pPr>
        <w:ind w:right="240"/>
        <w:spacing w:after="0" w:line="236" w:lineRule="auto"/>
        <w:rPr>
          <w:sz w:val="20"/>
          <w:szCs w:val="20"/>
          <w:color w:val="auto"/>
        </w:rPr>
      </w:pPr>
      <w:r>
        <w:rPr>
          <w:rFonts w:ascii="Calibri" w:cs="Calibri" w:eastAsia="Calibri" w:hAnsi="Calibri"/>
          <w:sz w:val="20"/>
          <w:szCs w:val="20"/>
          <w:color w:val="auto"/>
        </w:rPr>
        <w:t>No Shares will be issued pursuant to this Award unless and untl all legal requirements applicable to the issuance or transfer of such Shares have been complied with to the satsfacton of the Administrator and you have made arrangements to pay to the Company any applicable withholding taxes due upon the vestng and/or setlement of your Award, as provided for below.</w:t>
      </w:r>
    </w:p>
    <w:p>
      <w:pPr>
        <w:spacing w:after="0" w:line="225" w:lineRule="exact"/>
        <w:rPr>
          <w:sz w:val="20"/>
          <w:szCs w:val="20"/>
          <w:color w:val="auto"/>
        </w:rPr>
      </w:pPr>
    </w:p>
    <w:p>
      <w:pPr>
        <w:ind w:right="80"/>
        <w:spacing w:after="0" w:line="237" w:lineRule="auto"/>
        <w:rPr>
          <w:sz w:val="20"/>
          <w:szCs w:val="20"/>
          <w:color w:val="auto"/>
        </w:rPr>
      </w:pPr>
      <w:r>
        <w:rPr>
          <w:rFonts w:ascii="Calibri" w:cs="Calibri" w:eastAsia="Calibri" w:hAnsi="Calibri"/>
          <w:sz w:val="20"/>
          <w:szCs w:val="20"/>
          <w:b w:val="1"/>
          <w:bCs w:val="1"/>
          <w:color w:val="auto"/>
        </w:rPr>
        <w:t xml:space="preserve">Rights as a Shareholder; Dividends. </w:t>
      </w:r>
      <w:r>
        <w:rPr>
          <w:rFonts w:ascii="Calibri" w:cs="Calibri" w:eastAsia="Calibri" w:hAnsi="Calibri"/>
          <w:sz w:val="20"/>
          <w:szCs w:val="20"/>
          <w:color w:val="auto"/>
        </w:rPr>
        <w:t>This Award shall not be interpreted to bestow upon you any equity interest or ownership in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 or any Afliate prior to the date on which the Company delivers Shares to you. You are not enttled to vote any Shares by reason of the grantng of this Award. You shall have the rights of a shareholder only as to those Shares, if any, that are actually delivered under this Award at the tme such Shares are delivered. You will be enttled to receive dividend equivalents to the extent provided for in this Certfcate.</w:t>
      </w:r>
    </w:p>
    <w:p>
      <w:pPr>
        <w:spacing w:after="0" w:line="226"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b w:val="1"/>
          <w:bCs w:val="1"/>
          <w:color w:val="auto"/>
        </w:rPr>
        <w:t xml:space="preserve">Certain Tax Maters. </w:t>
      </w:r>
      <w:r>
        <w:rPr>
          <w:rFonts w:ascii="Calibri" w:cs="Calibri" w:eastAsia="Calibri" w:hAnsi="Calibri"/>
          <w:sz w:val="20"/>
          <w:szCs w:val="20"/>
          <w:color w:val="auto"/>
        </w:rPr>
        <w:t>You are responsible for understanding the general tax consequences of this Award and for seeking advice from</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your own tax and fnancial advisors with respect to the tax consequences of this Award to the extent you require or desire such advice.</w:t>
      </w:r>
    </w:p>
    <w:p>
      <w:pPr>
        <w:spacing w:after="0" w:line="226" w:lineRule="exact"/>
        <w:rPr>
          <w:sz w:val="20"/>
          <w:szCs w:val="20"/>
          <w:color w:val="auto"/>
        </w:rPr>
      </w:pPr>
    </w:p>
    <w:p>
      <w:pPr>
        <w:spacing w:after="0"/>
        <w:rPr>
          <w:sz w:val="20"/>
          <w:szCs w:val="20"/>
          <w:color w:val="auto"/>
        </w:rPr>
      </w:pPr>
      <w:r>
        <w:rPr>
          <w:rFonts w:ascii="Calibri" w:cs="Calibri" w:eastAsia="Calibri" w:hAnsi="Calibri"/>
          <w:sz w:val="20"/>
          <w:szCs w:val="20"/>
          <w:color w:val="auto"/>
        </w:rPr>
        <w:t>You must pay to the Company any applicable withholding taxes due upon the vestng and/or setlement of your Award (including, for the avoidance of doubt, any dividend equivalents payable to you in respect of this Award). To satsfy federal, state and local withholding requirements arising in connecton with the vestng and/or setlement of this Award, the Company will automatcally withhold from the Shares otherwise deliverable to you under this Award (other than any dividend equivalents) that number of whole Shares having an aggregate fair market value not exceeding the minimum withholding amount applicable to the Shares so vestng and/or being setled. If you wish to satsfy your withholding requirements with a cash payment if such electon is permited under Secton 409A, as determined by</w:t>
      </w:r>
    </w:p>
    <w:p>
      <w:pPr>
        <w:spacing w:after="0" w:line="236" w:lineRule="exact"/>
        <w:rPr>
          <w:sz w:val="20"/>
          <w:szCs w:val="20"/>
          <w:color w:val="auto"/>
        </w:rPr>
      </w:pPr>
    </w:p>
    <w:p>
      <w:pPr>
        <w:ind w:right="80"/>
        <w:spacing w:after="0" w:line="237" w:lineRule="auto"/>
        <w:rPr>
          <w:sz w:val="20"/>
          <w:szCs w:val="20"/>
          <w:color w:val="auto"/>
        </w:rPr>
      </w:pPr>
      <w:r>
        <w:rPr>
          <w:rFonts w:ascii="Calibri" w:cs="Calibri" w:eastAsia="Calibri" w:hAnsi="Calibri"/>
          <w:sz w:val="20"/>
          <w:szCs w:val="20"/>
          <w:color w:val="auto"/>
        </w:rPr>
        <w:t xml:space="preserve">the Company in its discreton, you must make this electon through the Administrator and deposit the appropriate funds into your account at least ten (10) calendar days before the date this Award is scheduled to vest. If you wish to increase your tax withholding with respect to such taxes due upon the vestng and/or setlement of this Award </w:t>
      </w:r>
      <w:r>
        <w:rPr>
          <w:rFonts w:ascii="Calibri" w:cs="Calibri" w:eastAsia="Calibri" w:hAnsi="Calibri"/>
          <w:sz w:val="20"/>
          <w:szCs w:val="20"/>
          <w:color w:val="1F497D"/>
        </w:rPr>
        <w:t>(</w:t>
      </w:r>
      <w:r>
        <w:rPr>
          <w:rFonts w:ascii="Calibri" w:cs="Calibri" w:eastAsia="Calibri" w:hAnsi="Calibri"/>
          <w:sz w:val="20"/>
          <w:szCs w:val="20"/>
          <w:color w:val="auto"/>
        </w:rPr>
        <w:t>including by having additonal Shares withheld from your Award), you must contact the Corporate Compensaton Department to determine whether such increase is then permited or available to you.</w:t>
      </w:r>
    </w:p>
    <w:p>
      <w:pPr>
        <w:spacing w:after="0" w:line="226"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b w:val="1"/>
          <w:bCs w:val="1"/>
          <w:color w:val="auto"/>
        </w:rPr>
        <w:t xml:space="preserve">Nontransferability. </w:t>
      </w:r>
      <w:r>
        <w:rPr>
          <w:rFonts w:ascii="Calibri" w:cs="Calibri" w:eastAsia="Calibri" w:hAnsi="Calibri"/>
          <w:sz w:val="20"/>
          <w:szCs w:val="20"/>
          <w:color w:val="auto"/>
        </w:rPr>
        <w:t>Neither this Award nor any rights with respect thereto may be sold, assigned, transferred (other than by will or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laws of descent and distributon), pledged or otherwise encumbered, except as the Administrator may otherwise determine.</w:t>
      </w:r>
    </w:p>
    <w:p>
      <w:pPr>
        <w:spacing w:after="0" w:line="216"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8" w:right="359" w:bottom="1440" w:gutter="0" w:footer="0" w:header="0"/>
        </w:sectPr>
      </w:pPr>
    </w:p>
    <w:bookmarkStart w:id="106" w:name="page107"/>
    <w:bookmarkEnd w:id="106"/>
    <w:p>
      <w:pPr>
        <w:spacing w:after="0" w:line="237" w:lineRule="auto"/>
        <w:rPr>
          <w:sz w:val="20"/>
          <w:szCs w:val="20"/>
          <w:color w:val="auto"/>
        </w:rPr>
      </w:pPr>
      <w:r>
        <w:rPr>
          <w:rFonts w:ascii="Calibri" w:cs="Calibri" w:eastAsia="Calibri" w:hAnsi="Calibri"/>
          <w:sz w:val="20"/>
          <w:szCs w:val="20"/>
          <w:b w:val="1"/>
          <w:bCs w:val="1"/>
          <w:color w:val="auto"/>
        </w:rPr>
        <w:t xml:space="preserve">Efect on Employment Rights. </w:t>
      </w:r>
      <w:r>
        <w:rPr>
          <w:rFonts w:ascii="Calibri" w:cs="Calibri" w:eastAsia="Calibri" w:hAnsi="Calibri"/>
          <w:sz w:val="20"/>
          <w:szCs w:val="20"/>
          <w:color w:val="auto"/>
        </w:rPr>
        <w:t>This Award shall not confer upon you any right to contnue as an employee of the Company or any of its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subsidiaries or Afliates and shall not afect in any way the right of the Company or any subsidiary of the Company or Afliate to terminate your Employment at any tme. Further, any benefts you receive from the grant or vestng of your Award shall not be considered a component of your salary for any purpose, including, without limitaton, any salary-related calculatons for holiday, sick pay, terminaton payments, overtme or similar payments.</w:t>
      </w:r>
    </w:p>
    <w:p>
      <w:pPr>
        <w:spacing w:after="0" w:line="226"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b w:val="1"/>
          <w:bCs w:val="1"/>
          <w:color w:val="auto"/>
        </w:rPr>
        <w:t xml:space="preserve">Provisions of the 2017 Plan. </w:t>
      </w:r>
      <w:r>
        <w:rPr>
          <w:rFonts w:ascii="Calibri" w:cs="Calibri" w:eastAsia="Calibri" w:hAnsi="Calibri"/>
          <w:sz w:val="20"/>
          <w:szCs w:val="20"/>
          <w:color w:val="auto"/>
        </w:rPr>
        <w:t>The terms specifed in this Certfcate are governed by the terms of the 2017 Plan, a copy of which has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been provided to you. Informaton about the 2017 Plan is also included in the Prospectus for the 2017 Plan, a copy of which has also been provided to you. The Administrator has the exclusive authority to interpret the 2017 Plan and this Award. Any interpretaton of this Award by the Administrator and any decision made by it with respect to this Award are fnal and binding on all persons. To the extent there is a confict between the terms of this Certfcate, the 2017 Plan or any employment agreement between you and the Company or any of its Afliates, the 2017 Plan shall govern (except as it relates to terms expressly defned herein).</w:t>
      </w:r>
    </w:p>
    <w:p>
      <w:pPr>
        <w:spacing w:after="0" w:line="228" w:lineRule="exact"/>
        <w:rPr>
          <w:sz w:val="20"/>
          <w:szCs w:val="20"/>
          <w:color w:val="auto"/>
        </w:rPr>
      </w:pPr>
    </w:p>
    <w:p>
      <w:pPr>
        <w:jc w:val="both"/>
        <w:ind w:right="80"/>
        <w:spacing w:after="0" w:line="236" w:lineRule="auto"/>
        <w:rPr>
          <w:sz w:val="20"/>
          <w:szCs w:val="20"/>
          <w:color w:val="auto"/>
        </w:rPr>
      </w:pPr>
      <w:r>
        <w:rPr>
          <w:rFonts w:ascii="Calibri" w:cs="Calibri" w:eastAsia="Calibri" w:hAnsi="Calibri"/>
          <w:sz w:val="20"/>
          <w:szCs w:val="20"/>
          <w:b w:val="1"/>
          <w:bCs w:val="1"/>
          <w:color w:val="auto"/>
        </w:rPr>
        <w:t xml:space="preserve">Recoupment Policy. </w:t>
      </w:r>
      <w:r>
        <w:rPr>
          <w:rFonts w:ascii="Calibri" w:cs="Calibri" w:eastAsia="Calibri" w:hAnsi="Calibri"/>
          <w:sz w:val="20"/>
          <w:szCs w:val="20"/>
          <w:color w:val="auto"/>
        </w:rPr>
        <w:t>This Award and the Shares issued to you upon setlement of this Award are subject to the terms of the Company’s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Policy for Recoupment of Incentve Compensaton and Amended and Restated Policy for Recoupment of Compensaton, in each case as applicable and as either may be amended from tme to tme, and any additonal clawback policy subsequently adopted by the Company and, by acceptng this Award, you agree to each such policy.</w:t>
      </w:r>
    </w:p>
    <w:p>
      <w:pPr>
        <w:spacing w:after="0" w:line="255" w:lineRule="exact"/>
        <w:rPr>
          <w:sz w:val="20"/>
          <w:szCs w:val="20"/>
          <w:color w:val="auto"/>
        </w:rPr>
      </w:pPr>
    </w:p>
    <w:p>
      <w:pPr>
        <w:ind w:right="60"/>
        <w:spacing w:after="0" w:line="236" w:lineRule="auto"/>
        <w:rPr>
          <w:sz w:val="20"/>
          <w:szCs w:val="20"/>
          <w:color w:val="auto"/>
        </w:rPr>
      </w:pPr>
      <w:r>
        <w:rPr>
          <w:rFonts w:ascii="Calibri" w:cs="Calibri" w:eastAsia="Calibri" w:hAnsi="Calibri"/>
          <w:sz w:val="20"/>
          <w:szCs w:val="20"/>
          <w:b w:val="1"/>
          <w:bCs w:val="1"/>
          <w:color w:val="auto"/>
        </w:rPr>
        <w:t xml:space="preserve">Governing Law. </w:t>
      </w:r>
      <w:r>
        <w:rPr>
          <w:rFonts w:ascii="Calibri" w:cs="Calibri" w:eastAsia="Calibri" w:hAnsi="Calibri"/>
          <w:sz w:val="20"/>
          <w:szCs w:val="20"/>
          <w:color w:val="auto"/>
        </w:rPr>
        <w:t>Except as otherwise provided in the 2017 Plan, this Certfcate shall be governed and construed by and determined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accordance with the laws of The Commonwealth of Massachusets, without giving efect to any choice of law or confict of law provision or rule (whether of The Commonwealth of Massachusets or any other jurisdicton) that would cause the applicaton of the laws of any jurisdicton other than The Commonwealth of Massachusets.</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color w:val="auto"/>
        </w:rPr>
        <w:t>You hereby accept your Award subject to the terms set forth herein and in the 2017 Plan.</w:t>
      </w:r>
    </w:p>
    <w:p>
      <w:pPr>
        <w:spacing w:after="0" w:line="225" w:lineRule="exact"/>
        <w:rPr>
          <w:sz w:val="20"/>
          <w:szCs w:val="20"/>
          <w:color w:val="auto"/>
        </w:rPr>
      </w:pPr>
    </w:p>
    <w:p>
      <w:pPr>
        <w:ind w:right="60"/>
        <w:spacing w:after="0" w:line="237" w:lineRule="auto"/>
        <w:rPr>
          <w:sz w:val="20"/>
          <w:szCs w:val="20"/>
          <w:color w:val="auto"/>
        </w:rPr>
      </w:pPr>
      <w:r>
        <w:rPr>
          <w:rFonts w:ascii="Calibri" w:cs="Calibri" w:eastAsia="Calibri" w:hAnsi="Calibri"/>
          <w:sz w:val="20"/>
          <w:szCs w:val="20"/>
          <w:color w:val="auto"/>
        </w:rPr>
        <w:t>You and the Company hereby expressly agree that the use of electronic media to indicate confrmaton, signature, acceptance, agreement, and delivery shall be legally valid and have the same legal force and efect as if you and the Company executed this Certfcate in paper form. In additon, you understand that this Award is discretonary, and that eligibility for an Award under the 2017 Plan is established at the tme Awards are made. Therefore, your receiving this Award does not mean that you are guaranteed an Award in the future.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alibri" w:cs="Calibri" w:eastAsia="Calibri" w:hAnsi="Calibri"/>
          <w:sz w:val="20"/>
          <w:szCs w:val="20"/>
          <w:color w:val="auto"/>
        </w:rPr>
        <w:t>_____________________________________</w:t>
      </w:r>
    </w:p>
    <w:p>
      <w:pPr>
        <w:spacing w:after="0" w:line="238" w:lineRule="auto"/>
        <w:rPr>
          <w:sz w:val="20"/>
          <w:szCs w:val="20"/>
          <w:color w:val="auto"/>
        </w:rPr>
      </w:pPr>
      <w:r>
        <w:rPr>
          <w:rFonts w:ascii="Calibri" w:cs="Calibri" w:eastAsia="Calibri" w:hAnsi="Calibri"/>
          <w:sz w:val="20"/>
          <w:szCs w:val="20"/>
          <w:color w:val="auto"/>
        </w:rPr>
        <w:t>Sean D. Keohane</w:t>
      </w:r>
    </w:p>
    <w:p>
      <w:pPr>
        <w:spacing w:after="0"/>
        <w:rPr>
          <w:sz w:val="20"/>
          <w:szCs w:val="20"/>
          <w:color w:val="auto"/>
        </w:rPr>
      </w:pPr>
      <w:r>
        <w:rPr>
          <w:rFonts w:ascii="Calibri" w:cs="Calibri" w:eastAsia="Calibri" w:hAnsi="Calibri"/>
          <w:sz w:val="20"/>
          <w:szCs w:val="20"/>
          <w:color w:val="auto"/>
        </w:rPr>
        <w:t>President &amp; Chief Executve Ofcer</w:t>
      </w:r>
    </w:p>
    <w:p>
      <w:pPr>
        <w:spacing w:after="0" w:line="200" w:lineRule="exact"/>
        <w:rPr>
          <w:sz w:val="20"/>
          <w:szCs w:val="20"/>
          <w:color w:val="auto"/>
        </w:rPr>
      </w:pPr>
    </w:p>
    <w:p>
      <w:pPr>
        <w:spacing w:after="0" w:line="258" w:lineRule="exact"/>
        <w:rPr>
          <w:sz w:val="20"/>
          <w:szCs w:val="20"/>
          <w:color w:val="auto"/>
        </w:rPr>
      </w:pPr>
    </w:p>
    <w:p>
      <w:pPr>
        <w:spacing w:after="0"/>
        <w:tabs>
          <w:tab w:leader="none" w:pos="3660" w:val="left"/>
        </w:tabs>
        <w:rPr>
          <w:sz w:val="20"/>
          <w:szCs w:val="20"/>
          <w:color w:val="auto"/>
        </w:rPr>
      </w:pPr>
      <w:r>
        <w:rPr>
          <w:rFonts w:ascii="Calibri" w:cs="Calibri" w:eastAsia="Calibri" w:hAnsi="Calibri"/>
          <w:sz w:val="20"/>
          <w:szCs w:val="20"/>
          <w:b w:val="1"/>
          <w:bCs w:val="1"/>
          <w:color w:val="0070C0"/>
        </w:rPr>
        <w:t>[Signed Electronically]</w:t>
      </w:r>
      <w:r>
        <w:rPr>
          <w:sz w:val="20"/>
          <w:szCs w:val="20"/>
          <w:color w:val="auto"/>
        </w:rPr>
        <w:tab/>
      </w:r>
      <w:r>
        <w:rPr>
          <w:rFonts w:ascii="Calibri" w:cs="Calibri" w:eastAsia="Calibri" w:hAnsi="Calibri"/>
          <w:sz w:val="19"/>
          <w:szCs w:val="19"/>
          <w:b w:val="1"/>
          <w:bCs w:val="1"/>
          <w:color w:val="0070C0"/>
        </w:rPr>
        <w:t>[Acceptance Date]</w:t>
      </w:r>
    </w:p>
    <w:p>
      <w:pPr>
        <w:spacing w:after="0" w:line="238" w:lineRule="auto"/>
        <w:tabs>
          <w:tab w:leader="none" w:pos="4020" w:val="left"/>
        </w:tabs>
        <w:rPr>
          <w:sz w:val="20"/>
          <w:szCs w:val="20"/>
          <w:color w:val="auto"/>
        </w:rPr>
      </w:pPr>
      <w:r>
        <w:rPr>
          <w:rFonts w:ascii="Calibri" w:cs="Calibri" w:eastAsia="Calibri" w:hAnsi="Calibri"/>
          <w:sz w:val="20"/>
          <w:szCs w:val="20"/>
          <w:color w:val="auto"/>
        </w:rPr>
        <w:t>_____________________________________</w:t>
      </w:r>
      <w:r>
        <w:rPr>
          <w:sz w:val="20"/>
          <w:szCs w:val="20"/>
          <w:color w:val="auto"/>
        </w:rPr>
        <w:tab/>
      </w:r>
      <w:r>
        <w:rPr>
          <w:rFonts w:ascii="Calibri" w:cs="Calibri" w:eastAsia="Calibri" w:hAnsi="Calibri"/>
          <w:sz w:val="20"/>
          <w:szCs w:val="20"/>
          <w:color w:val="auto"/>
        </w:rPr>
        <w:t>________________________________</w:t>
      </w:r>
    </w:p>
    <w:p>
      <w:pPr>
        <w:spacing w:after="0"/>
        <w:tabs>
          <w:tab w:leader="none" w:pos="1820" w:val="left"/>
        </w:tabs>
        <w:rPr>
          <w:sz w:val="20"/>
          <w:szCs w:val="20"/>
          <w:color w:val="auto"/>
        </w:rPr>
      </w:pPr>
      <w:r>
        <w:rPr>
          <w:rFonts w:ascii="Calibri" w:cs="Calibri" w:eastAsia="Calibri" w:hAnsi="Calibri"/>
          <w:sz w:val="20"/>
          <w:szCs w:val="20"/>
          <w:color w:val="auto"/>
        </w:rPr>
        <w:t>Electronic Signature</w:t>
        <w:tab/>
        <w:t>Acceptance Date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07" w:name="page108"/>
    <w:bookmarkEnd w:id="107"/>
    <w:p>
      <w:pPr>
        <w:jc w:val="right"/>
        <w:spacing w:after="0"/>
        <w:rPr>
          <w:sz w:val="20"/>
          <w:szCs w:val="20"/>
          <w:color w:val="auto"/>
        </w:rPr>
      </w:pPr>
      <w:r>
        <w:rPr>
          <w:rFonts w:ascii="Calibri" w:cs="Calibri" w:eastAsia="Calibri" w:hAnsi="Calibri"/>
          <w:sz w:val="20"/>
          <w:szCs w:val="20"/>
          <w:b w:val="1"/>
          <w:bCs w:val="1"/>
          <w:color w:val="auto"/>
        </w:rPr>
        <w:t>Exhibit 10(j)</w:t>
      </w: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Cabot Corporaton</w:t>
      </w:r>
    </w:p>
    <w:p>
      <w:pPr>
        <w:jc w:val="center"/>
        <w:spacing w:after="0" w:line="238" w:lineRule="auto"/>
        <w:rPr>
          <w:sz w:val="20"/>
          <w:szCs w:val="20"/>
          <w:color w:val="auto"/>
        </w:rPr>
      </w:pPr>
      <w:r>
        <w:rPr>
          <w:rFonts w:ascii="Calibri" w:cs="Calibri" w:eastAsia="Calibri" w:hAnsi="Calibri"/>
          <w:sz w:val="20"/>
          <w:szCs w:val="20"/>
          <w:b w:val="1"/>
          <w:bCs w:val="1"/>
          <w:color w:val="auto"/>
        </w:rPr>
        <w:t>AMENDED AND RESTATED 2017 Long-Term Incentve Plan</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Performance-Based Restricted Stock Unit Award Certfcate</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4F81BD"/>
        </w:rPr>
        <w:t>[Partcipant Name]</w:t>
      </w:r>
    </w:p>
    <w:p>
      <w:pPr>
        <w:spacing w:after="0" w:line="252"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This Certfcate evidences the grant to you by Cabot Corporaton (the “Company”), subject to the terms provided herein and in the Amended and Restated 2017 Long-Term Incentve Plan (as amended from tme to tme, the “2017 Plan”), of the number of performance-based Restricted Stock Units set forth in the table below (such units referred to as the “PSUs” or your “Award”). The principal terms of your Award are described below. Except as otherwise expressly provided, all capitalized terms used that are not defned herein shall have the same meaning as in the 2017 Plan.</w:t>
      </w:r>
    </w:p>
    <w:p>
      <w:pPr>
        <w:spacing w:after="0" w:line="257" w:lineRule="exact"/>
        <w:rPr>
          <w:sz w:val="20"/>
          <w:szCs w:val="20"/>
          <w:color w:val="auto"/>
        </w:rPr>
      </w:pPr>
    </w:p>
    <w:tbl>
      <w:tblPr>
        <w:tblLayout w:type="fixed"/>
        <w:tblInd w:w="130" w:type="dxa"/>
        <w:tblCellMar>
          <w:top w:w="0" w:type="dxa"/>
          <w:left w:w="0" w:type="dxa"/>
          <w:bottom w:w="0" w:type="dxa"/>
          <w:right w:w="0" w:type="dxa"/>
        </w:tblCellMar>
      </w:tblPr>
      <w:tr>
        <w:trPr>
          <w:trHeight w:val="40"/>
        </w:trPr>
        <w:tc>
          <w:tcPr>
            <w:tcW w:w="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7320" w:type="dxa"/>
            <w:vAlign w:val="bottom"/>
            <w:tcBorders>
              <w:top w:val="single" w:sz="8" w:color="auto"/>
              <w:bottom w:val="single" w:sz="8" w:color="auto"/>
              <w:right w:val="single" w:sz="8" w:color="auto"/>
            </w:tcBorders>
          </w:tcPr>
          <w:p>
            <w:pPr>
              <w:spacing w:after="0"/>
              <w:rPr>
                <w:sz w:val="3"/>
                <w:szCs w:val="3"/>
                <w:color w:val="auto"/>
              </w:rPr>
            </w:pPr>
          </w:p>
        </w:tc>
        <w:tc>
          <w:tcPr>
            <w:tcW w:w="3740" w:type="dxa"/>
            <w:vAlign w:val="bottom"/>
            <w:tcBorders>
              <w:top w:val="single" w:sz="8" w:color="auto"/>
              <w:bottom w:val="single" w:sz="8" w:color="auto"/>
              <w:right w:val="single" w:sz="8" w:color="auto"/>
            </w:tcBorders>
          </w:tcPr>
          <w:p>
            <w:pPr>
              <w:spacing w:after="0"/>
              <w:rPr>
                <w:sz w:val="3"/>
                <w:szCs w:val="3"/>
                <w:color w:val="auto"/>
              </w:rPr>
            </w:pPr>
          </w:p>
        </w:tc>
      </w:tr>
      <w:tr>
        <w:trPr>
          <w:trHeight w:val="285"/>
        </w:trPr>
        <w:tc>
          <w:tcPr>
            <w:tcW w:w="6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100"/>
              <w:spacing w:after="0"/>
              <w:rPr>
                <w:sz w:val="20"/>
                <w:szCs w:val="20"/>
                <w:color w:val="auto"/>
              </w:rPr>
            </w:pPr>
            <w:r>
              <w:rPr>
                <w:rFonts w:ascii="Calibri" w:cs="Calibri" w:eastAsia="Calibri" w:hAnsi="Calibri"/>
                <w:sz w:val="20"/>
                <w:szCs w:val="20"/>
                <w:b w:val="1"/>
                <w:bCs w:val="1"/>
                <w:color w:val="auto"/>
              </w:rPr>
              <w:t>PSUs</w:t>
            </w:r>
          </w:p>
        </w:tc>
        <w:tc>
          <w:tcPr>
            <w:tcW w:w="374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b w:val="1"/>
                <w:bCs w:val="1"/>
                <w:color w:val="4F81BD"/>
              </w:rPr>
              <w:t>[Number of Shares Granted]</w:t>
            </w:r>
          </w:p>
        </w:tc>
      </w:tr>
      <w:tr>
        <w:trPr>
          <w:trHeight w:val="100"/>
        </w:trPr>
        <w:tc>
          <w:tcPr>
            <w:tcW w:w="6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r>
        <w:trPr>
          <w:trHeight w:val="298"/>
        </w:trPr>
        <w:tc>
          <w:tcPr>
            <w:tcW w:w="6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100"/>
              <w:spacing w:after="0"/>
              <w:rPr>
                <w:sz w:val="20"/>
                <w:szCs w:val="20"/>
                <w:color w:val="auto"/>
              </w:rPr>
            </w:pPr>
            <w:r>
              <w:rPr>
                <w:rFonts w:ascii="Calibri" w:cs="Calibri" w:eastAsia="Calibri" w:hAnsi="Calibri"/>
                <w:sz w:val="20"/>
                <w:szCs w:val="20"/>
                <w:b w:val="1"/>
                <w:bCs w:val="1"/>
                <w:color w:val="auto"/>
              </w:rPr>
              <w:t>Date of Grant</w:t>
            </w:r>
          </w:p>
        </w:tc>
        <w:tc>
          <w:tcPr>
            <w:tcW w:w="374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b w:val="1"/>
                <w:bCs w:val="1"/>
                <w:color w:val="4F81BD"/>
              </w:rPr>
              <w:t>[Grant Date]</w:t>
            </w:r>
          </w:p>
        </w:tc>
      </w:tr>
      <w:tr>
        <w:trPr>
          <w:trHeight w:val="100"/>
        </w:trPr>
        <w:tc>
          <w:tcPr>
            <w:tcW w:w="6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40"/>
        <w:spacing w:after="0" w:line="238" w:lineRule="auto"/>
        <w:rPr>
          <w:sz w:val="20"/>
          <w:szCs w:val="20"/>
          <w:color w:val="auto"/>
        </w:rPr>
      </w:pPr>
      <w:r>
        <w:rPr>
          <w:rFonts w:ascii="Calibri" w:cs="Calibri" w:eastAsia="Calibri" w:hAnsi="Calibri"/>
          <w:sz w:val="20"/>
          <w:szCs w:val="20"/>
          <w:b w:val="1"/>
          <w:bCs w:val="1"/>
          <w:color w:val="auto"/>
        </w:rPr>
        <w:t xml:space="preserve">General terms of your Award. </w:t>
      </w:r>
      <w:r>
        <w:rPr>
          <w:rFonts w:ascii="Calibri" w:cs="Calibri" w:eastAsia="Calibri" w:hAnsi="Calibri"/>
          <w:sz w:val="20"/>
          <w:szCs w:val="20"/>
          <w:color w:val="auto"/>
        </w:rPr>
        <w:t>The PSUs give you the conditonal right to receive, without payment, upon the Compensaton Commitee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determining the Company’s achievement of the performance metrics outlined in </w:t>
      </w:r>
      <w:r>
        <w:rPr>
          <w:rFonts w:ascii="Calibri" w:cs="Calibri" w:eastAsia="Calibri" w:hAnsi="Calibri"/>
          <w:sz w:val="20"/>
          <w:szCs w:val="20"/>
          <w:u w:val="single" w:color="auto"/>
          <w:color w:val="auto"/>
        </w:rPr>
        <w:t>Appendix A</w:t>
      </w:r>
      <w:r>
        <w:rPr>
          <w:rFonts w:ascii="Calibri" w:cs="Calibri" w:eastAsia="Calibri" w:hAnsi="Calibri"/>
          <w:sz w:val="20"/>
          <w:szCs w:val="20"/>
          <w:color w:val="auto"/>
        </w:rPr>
        <w:t xml:space="preserve"> atached to this Certfcate and subject to the vestng and other conditons set forth in this Certfcate and in the 2017 Plan, (i) shares of Stock representng from 0% to 200% of the number of PSUs granted, with the actual number of shares to be delivered determined in accordance with the provisions of </w:t>
      </w:r>
      <w:r>
        <w:rPr>
          <w:rFonts w:ascii="Calibri" w:cs="Calibri" w:eastAsia="Calibri" w:hAnsi="Calibri"/>
          <w:sz w:val="20"/>
          <w:szCs w:val="20"/>
          <w:u w:val="single" w:color="auto"/>
          <w:color w:val="auto"/>
        </w:rPr>
        <w:t>Appendix A</w:t>
      </w:r>
      <w:r>
        <w:rPr>
          <w:rFonts w:ascii="Calibri" w:cs="Calibri" w:eastAsia="Calibri" w:hAnsi="Calibri"/>
          <w:sz w:val="20"/>
          <w:szCs w:val="20"/>
          <w:color w:val="auto"/>
        </w:rPr>
        <w:t xml:space="preserve"> and rounded to the nearest whole number, it being understood that the Compensaton Commitee has discreton to adjust the performance metrics outlined in </w:t>
      </w:r>
      <w:r>
        <w:rPr>
          <w:rFonts w:ascii="Calibri" w:cs="Calibri" w:eastAsia="Calibri" w:hAnsi="Calibri"/>
          <w:sz w:val="20"/>
          <w:szCs w:val="20"/>
          <w:u w:val="single" w:color="auto"/>
          <w:color w:val="auto"/>
        </w:rPr>
        <w:t>Appendix A</w:t>
      </w:r>
      <w:r>
        <w:rPr>
          <w:rFonts w:ascii="Calibri" w:cs="Calibri" w:eastAsia="Calibri" w:hAnsi="Calibri"/>
          <w:sz w:val="20"/>
          <w:szCs w:val="20"/>
          <w:color w:val="auto"/>
        </w:rPr>
        <w:t xml:space="preserve"> to account for, or to take into account in determining whether any performance metric set forth in </w:t>
      </w:r>
      <w:r>
        <w:rPr>
          <w:rFonts w:ascii="Calibri" w:cs="Calibri" w:eastAsia="Calibri" w:hAnsi="Calibri"/>
          <w:sz w:val="20"/>
          <w:szCs w:val="20"/>
          <w:u w:val="single" w:color="auto"/>
          <w:color w:val="auto"/>
        </w:rPr>
        <w:t>Appendix A</w:t>
      </w:r>
      <w:r>
        <w:rPr>
          <w:rFonts w:ascii="Calibri" w:cs="Calibri" w:eastAsia="Calibri" w:hAnsi="Calibri"/>
          <w:sz w:val="20"/>
          <w:szCs w:val="20"/>
          <w:color w:val="auto"/>
        </w:rPr>
        <w:t xml:space="preserve"> has been achieved, the occurrence of unantcipated events and circumstances during the performance period of this Award as the Compensaton Commitee deems necessary or advisable, and (ii) following the certfcaton by the Compensaton Commitee of the performance on which shares will be delivered for a performance period of this Award in accordance with the provisions of Appendix A, dividend equivalents payable in cash, to the extent dividends are paid on the outstanding shares of Stock, and equal in value to the dividends that would have been paid in respect of the Stock deliverable for such performance period had such Stock been issued to you on the date of the Compensaton Commitee’s certfcaton. Dividend equivalents will only by paid to you with respect to Shares underlying PSUs with respect to which the Compensaton Commitee has certfed performance and that have not vested as of the applicable Stock dividend record date. Any dividend equivalents payable to you will be paid through the Company’s payroll system on or as soon as administratvely possible afer the applicable Stock dividend payment date (but in no event more than sixty (60) days thereafer), subject to your contnued Employment through the date that such dividend equivalents are paid. For purposes of this Certfcate, “Employment” means only your employment relatonship with the Company and its Afliates and shall not include any other service relatonship with the Company and its Afliates.</w:t>
      </w:r>
    </w:p>
    <w:p>
      <w:pPr>
        <w:spacing w:after="0" w:line="259" w:lineRule="exact"/>
        <w:rPr>
          <w:sz w:val="20"/>
          <w:szCs w:val="20"/>
          <w:color w:val="auto"/>
        </w:rPr>
      </w:pPr>
    </w:p>
    <w:p>
      <w:pPr>
        <w:ind w:right="80"/>
        <w:spacing w:after="0" w:line="236" w:lineRule="auto"/>
        <w:rPr>
          <w:sz w:val="20"/>
          <w:szCs w:val="20"/>
          <w:color w:val="auto"/>
        </w:rPr>
      </w:pPr>
      <w:r>
        <w:rPr>
          <w:rFonts w:ascii="Calibri" w:cs="Calibri" w:eastAsia="Calibri" w:hAnsi="Calibri"/>
          <w:sz w:val="20"/>
          <w:szCs w:val="20"/>
          <w:b w:val="1"/>
          <w:bCs w:val="1"/>
          <w:color w:val="auto"/>
        </w:rPr>
        <w:t xml:space="preserve">Vestng of your Award. </w:t>
      </w:r>
      <w:r>
        <w:rPr>
          <w:rFonts w:ascii="Calibri" w:cs="Calibri" w:eastAsia="Calibri" w:hAnsi="Calibri"/>
          <w:sz w:val="20"/>
          <w:szCs w:val="20"/>
          <w:color w:val="auto"/>
        </w:rPr>
        <w:t>Except as otherwise provided in the Plan or in this Certfcate, and subject to the achievement of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performance metrics outlined in </w:t>
      </w:r>
      <w:r>
        <w:rPr>
          <w:rFonts w:ascii="Calibri" w:cs="Calibri" w:eastAsia="Calibri" w:hAnsi="Calibri"/>
          <w:sz w:val="20"/>
          <w:szCs w:val="20"/>
          <w:u w:val="single" w:color="auto"/>
          <w:color w:val="auto"/>
        </w:rPr>
        <w:t>Appendix A</w:t>
      </w:r>
      <w:r>
        <w:rPr>
          <w:rFonts w:ascii="Calibri" w:cs="Calibri" w:eastAsia="Calibri" w:hAnsi="Calibri"/>
          <w:sz w:val="20"/>
          <w:szCs w:val="20"/>
          <w:color w:val="auto"/>
        </w:rPr>
        <w:t>, your Award shall vest on the third anniversary of the date of grant (the “Scheduled Vestng Date”), unless it is earlier forfeited as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8" w:name="page109"/>
    <w:bookmarkEnd w:id="108"/>
    <w:p>
      <w:pPr>
        <w:ind w:right="260"/>
        <w:spacing w:after="0" w:line="234" w:lineRule="auto"/>
        <w:rPr>
          <w:sz w:val="20"/>
          <w:szCs w:val="20"/>
          <w:color w:val="auto"/>
        </w:rPr>
      </w:pPr>
      <w:r>
        <w:rPr>
          <w:rFonts w:ascii="Calibri" w:cs="Calibri" w:eastAsia="Calibri" w:hAnsi="Calibri"/>
          <w:sz w:val="20"/>
          <w:szCs w:val="20"/>
          <w:color w:val="auto"/>
        </w:rPr>
        <w:t>below, subject to your contnued Employment on the Scheduled Vestng Date. Additonal vestng provisions and the conditons under which your Award may be forfeited are explained below.</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color w:val="auto"/>
        </w:rPr>
        <w:t>If your Employment ends, the following rules will apply:</w:t>
      </w:r>
    </w:p>
    <w:p>
      <w:pPr>
        <w:spacing w:after="0" w:line="265" w:lineRule="exact"/>
        <w:rPr>
          <w:sz w:val="20"/>
          <w:szCs w:val="20"/>
          <w:color w:val="auto"/>
        </w:rPr>
      </w:pPr>
    </w:p>
    <w:p>
      <w:pPr>
        <w:ind w:left="760" w:right="640" w:hanging="378"/>
        <w:spacing w:after="0" w:line="234" w:lineRule="auto"/>
        <w:tabs>
          <w:tab w:leader="none" w:pos="760" w:val="left"/>
        </w:tabs>
        <w:numPr>
          <w:ilvl w:val="0"/>
          <w:numId w:val="51"/>
        </w:numPr>
        <w:rPr>
          <w:rFonts w:ascii="Times New Roman" w:cs="Times New Roman" w:eastAsia="Times New Roman" w:hAnsi="Times New Roman"/>
          <w:sz w:val="20"/>
          <w:szCs w:val="20"/>
          <w:color w:val="auto"/>
        </w:rPr>
      </w:pPr>
      <w:r>
        <w:rPr>
          <w:rFonts w:ascii="Calibri" w:cs="Calibri" w:eastAsia="Calibri" w:hAnsi="Calibri"/>
          <w:sz w:val="20"/>
          <w:szCs w:val="20"/>
          <w:color w:val="auto"/>
        </w:rPr>
        <w:t>Except as set forth below, if your Employment ceases for any reason you will forfeit your Award immediately upon such cessaton of Employment.</w:t>
      </w:r>
    </w:p>
    <w:p>
      <w:pPr>
        <w:spacing w:after="0" w:line="266" w:lineRule="exact"/>
        <w:rPr>
          <w:rFonts w:ascii="Times New Roman" w:cs="Times New Roman" w:eastAsia="Times New Roman" w:hAnsi="Times New Roman"/>
          <w:sz w:val="20"/>
          <w:szCs w:val="20"/>
          <w:color w:val="auto"/>
        </w:rPr>
      </w:pPr>
    </w:p>
    <w:p>
      <w:pPr>
        <w:ind w:left="760" w:right="40" w:hanging="378"/>
        <w:spacing w:after="0" w:line="236" w:lineRule="auto"/>
        <w:tabs>
          <w:tab w:leader="none" w:pos="760" w:val="left"/>
        </w:tabs>
        <w:numPr>
          <w:ilvl w:val="0"/>
          <w:numId w:val="51"/>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the event of your death or Disability during your Employment (including, for the avoidance of doubt, in the event of your death or Disability occurring afer you have given the Company notce of your intent to retre but prior to your actual cessaton of Employment as a result of your Retrement), the following rules will apply:</w:t>
      </w:r>
    </w:p>
    <w:p>
      <w:pPr>
        <w:spacing w:after="0" w:line="265" w:lineRule="exact"/>
        <w:rPr>
          <w:sz w:val="20"/>
          <w:szCs w:val="20"/>
          <w:color w:val="auto"/>
        </w:rPr>
      </w:pPr>
    </w:p>
    <w:p>
      <w:pPr>
        <w:ind w:left="1500" w:right="520" w:hanging="369"/>
        <w:spacing w:after="0" w:line="234" w:lineRule="auto"/>
        <w:tabs>
          <w:tab w:leader="none" w:pos="1500" w:val="left"/>
        </w:tabs>
        <w:numPr>
          <w:ilvl w:val="1"/>
          <w:numId w:val="5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any porton of your Award as to which at the tme your Employment ceases the performance criteria have been satsfed (other than the passage of tme necessary for vestng) will vest; and</w:t>
      </w:r>
    </w:p>
    <w:p>
      <w:pPr>
        <w:spacing w:after="0" w:line="23" w:lineRule="exact"/>
        <w:rPr>
          <w:rFonts w:ascii="Times New Roman" w:cs="Times New Roman" w:eastAsia="Times New Roman" w:hAnsi="Times New Roman"/>
          <w:sz w:val="20"/>
          <w:szCs w:val="20"/>
          <w:color w:val="auto"/>
        </w:rPr>
      </w:pPr>
    </w:p>
    <w:p>
      <w:pPr>
        <w:ind w:left="1500" w:right="60" w:hanging="369"/>
        <w:spacing w:after="0" w:line="234" w:lineRule="auto"/>
        <w:tabs>
          <w:tab w:leader="none" w:pos="1500" w:val="left"/>
        </w:tabs>
        <w:numPr>
          <w:ilvl w:val="1"/>
          <w:numId w:val="5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any porton of your Award which is conditoned upon satsfacton of performance criteria with respect to a current or future performance period that have not been satsfed at the tme your Employment ceases will terminate.</w:t>
      </w:r>
    </w:p>
    <w:p>
      <w:pPr>
        <w:spacing w:after="0" w:line="266" w:lineRule="exact"/>
        <w:rPr>
          <w:rFonts w:ascii="Times New Roman" w:cs="Times New Roman" w:eastAsia="Times New Roman" w:hAnsi="Times New Roman"/>
          <w:sz w:val="20"/>
          <w:szCs w:val="20"/>
          <w:color w:val="auto"/>
        </w:rPr>
      </w:pPr>
    </w:p>
    <w:p>
      <w:pPr>
        <w:ind w:left="760" w:hanging="378"/>
        <w:spacing w:after="0" w:line="236" w:lineRule="auto"/>
        <w:tabs>
          <w:tab w:leader="none" w:pos="760" w:val="left"/>
        </w:tabs>
        <w:numPr>
          <w:ilvl w:val="0"/>
          <w:numId w:val="52"/>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the event that your Employment is terminated by Cabot or its successor or any of their respectve subsidiaries other than for Cause or you resign for Good Reason, in each case, within two years following a Change in Control, the following rules will apply:</w:t>
      </w:r>
    </w:p>
    <w:p>
      <w:pPr>
        <w:spacing w:after="0" w:line="265" w:lineRule="exact"/>
        <w:rPr>
          <w:rFonts w:ascii="Times New Roman" w:cs="Times New Roman" w:eastAsia="Times New Roman" w:hAnsi="Times New Roman"/>
          <w:sz w:val="20"/>
          <w:szCs w:val="20"/>
          <w:color w:val="auto"/>
        </w:rPr>
      </w:pPr>
    </w:p>
    <w:p>
      <w:pPr>
        <w:ind w:left="1500" w:right="520" w:hanging="369"/>
        <w:spacing w:after="0" w:line="234" w:lineRule="auto"/>
        <w:tabs>
          <w:tab w:leader="none" w:pos="1500" w:val="left"/>
        </w:tabs>
        <w:numPr>
          <w:ilvl w:val="1"/>
          <w:numId w:val="5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any porton of your Award as to which at the tme your Employment ceases the performance criteria have been satsfed (other than the passage of tme necessary for vestng) will vest; and</w:t>
      </w:r>
    </w:p>
    <w:p>
      <w:pPr>
        <w:spacing w:after="0" w:line="23" w:lineRule="exact"/>
        <w:rPr>
          <w:rFonts w:ascii="Times New Roman" w:cs="Times New Roman" w:eastAsia="Times New Roman" w:hAnsi="Times New Roman"/>
          <w:sz w:val="20"/>
          <w:szCs w:val="20"/>
          <w:color w:val="auto"/>
        </w:rPr>
      </w:pPr>
    </w:p>
    <w:p>
      <w:pPr>
        <w:ind w:left="1500" w:right="60" w:hanging="369"/>
        <w:spacing w:after="0" w:line="236" w:lineRule="auto"/>
        <w:tabs>
          <w:tab w:leader="none" w:pos="1500" w:val="left"/>
        </w:tabs>
        <w:numPr>
          <w:ilvl w:val="1"/>
          <w:numId w:val="5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any porton of your Award which is conditoned upon satsfacton of performance criteria with respect to a current or future performance period that have not been satsfed at the tme your Employment ceases will vest as if target performance had been achieved.</w:t>
      </w:r>
    </w:p>
    <w:p>
      <w:pPr>
        <w:spacing w:after="0" w:line="265" w:lineRule="exact"/>
        <w:rPr>
          <w:rFonts w:ascii="Times New Roman" w:cs="Times New Roman" w:eastAsia="Times New Roman" w:hAnsi="Times New Roman"/>
          <w:sz w:val="20"/>
          <w:szCs w:val="20"/>
          <w:color w:val="auto"/>
        </w:rPr>
      </w:pPr>
    </w:p>
    <w:p>
      <w:pPr>
        <w:ind w:left="760" w:right="2840" w:hanging="378"/>
        <w:spacing w:after="0" w:line="234" w:lineRule="auto"/>
        <w:tabs>
          <w:tab w:leader="none" w:pos="760" w:val="left"/>
        </w:tabs>
        <w:numPr>
          <w:ilvl w:val="0"/>
          <w:numId w:val="52"/>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the event that your Employment ceases as a result of your Retrement, the following rules will apply:</w:t>
      </w:r>
    </w:p>
    <w:p>
      <w:pPr>
        <w:spacing w:after="0" w:line="252" w:lineRule="exact"/>
        <w:rPr>
          <w:rFonts w:ascii="Times New Roman" w:cs="Times New Roman" w:eastAsia="Times New Roman" w:hAnsi="Times New Roman"/>
          <w:sz w:val="20"/>
          <w:szCs w:val="20"/>
          <w:color w:val="auto"/>
        </w:rPr>
      </w:pPr>
    </w:p>
    <w:p>
      <w:pPr>
        <w:ind w:left="1500" w:right="2220" w:hanging="369"/>
        <w:spacing w:after="0" w:line="234" w:lineRule="auto"/>
        <w:tabs>
          <w:tab w:leader="none" w:pos="1500" w:val="left"/>
        </w:tabs>
        <w:numPr>
          <w:ilvl w:val="1"/>
          <w:numId w:val="5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any porton of your Award as to which at the tme of your Retrement the performance criteria have been satsfed (other than the passage of tme necessary for vestng) will vest;</w:t>
      </w:r>
    </w:p>
    <w:p>
      <w:pPr>
        <w:spacing w:after="0" w:line="23" w:lineRule="exact"/>
        <w:rPr>
          <w:rFonts w:ascii="Times New Roman" w:cs="Times New Roman" w:eastAsia="Times New Roman" w:hAnsi="Times New Roman"/>
          <w:sz w:val="20"/>
          <w:szCs w:val="20"/>
          <w:color w:val="auto"/>
        </w:rPr>
      </w:pPr>
    </w:p>
    <w:p>
      <w:pPr>
        <w:ind w:left="1500" w:right="2420" w:hanging="369"/>
        <w:spacing w:after="0" w:line="237" w:lineRule="auto"/>
        <w:tabs>
          <w:tab w:leader="none" w:pos="1500" w:val="left"/>
        </w:tabs>
        <w:numPr>
          <w:ilvl w:val="1"/>
          <w:numId w:val="5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any porton of your Award which is conditoned upon satsfacton of performance criteria with respect to a current performance period that has not been satsfed at the tme of your Retrement will vest based on the Company’s actual achievement of the performance metrics, as determined by the Compensaton Commitee, associated with that porton of the Award and then prorated based on the number of full months during the one-year performance period that you have remained in Employment; and</w:t>
      </w:r>
    </w:p>
    <w:p>
      <w:pPr>
        <w:spacing w:after="0" w:line="25" w:lineRule="exact"/>
        <w:rPr>
          <w:rFonts w:ascii="Times New Roman" w:cs="Times New Roman" w:eastAsia="Times New Roman" w:hAnsi="Times New Roman"/>
          <w:sz w:val="20"/>
          <w:szCs w:val="20"/>
          <w:color w:val="auto"/>
        </w:rPr>
      </w:pPr>
    </w:p>
    <w:p>
      <w:pPr>
        <w:ind w:left="1500" w:right="2760" w:hanging="369"/>
        <w:spacing w:after="0" w:line="236" w:lineRule="auto"/>
        <w:tabs>
          <w:tab w:leader="none" w:pos="1500" w:val="left"/>
        </w:tabs>
        <w:numPr>
          <w:ilvl w:val="1"/>
          <w:numId w:val="5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any porton of your Award which is conditoned upon satsfacton of performance criteria with respect to a future performance period that has not commenced at the tme of your Retrement will terminate.</w:t>
      </w:r>
    </w:p>
    <w:p>
      <w:pPr>
        <w:spacing w:after="0" w:line="215"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58" w:right="419" w:bottom="1440" w:gutter="0" w:footer="0" w:header="0"/>
        </w:sectPr>
      </w:pPr>
    </w:p>
    <w:bookmarkStart w:id="109" w:name="page110"/>
    <w:bookmarkEnd w:id="109"/>
    <w:p>
      <w:pPr>
        <w:ind w:left="760" w:right="120" w:hanging="378"/>
        <w:spacing w:after="0" w:line="236" w:lineRule="auto"/>
        <w:tabs>
          <w:tab w:leader="none" w:pos="760" w:val="left"/>
        </w:tabs>
        <w:numPr>
          <w:ilvl w:val="0"/>
          <w:numId w:val="53"/>
        </w:numPr>
        <w:rPr>
          <w:rFonts w:ascii="Times New Roman" w:cs="Times New Roman" w:eastAsia="Times New Roman" w:hAnsi="Times New Roman"/>
          <w:sz w:val="20"/>
          <w:szCs w:val="20"/>
          <w:color w:val="auto"/>
        </w:rPr>
      </w:pPr>
      <w:r>
        <w:rPr>
          <w:rFonts w:ascii="Calibri" w:cs="Calibri" w:eastAsia="Calibri" w:hAnsi="Calibri"/>
          <w:sz w:val="20"/>
          <w:szCs w:val="20"/>
          <w:color w:val="auto"/>
        </w:rPr>
        <w:t>Notwithstanding anything to the contrary, if your Employment is terminated for Cause or is terminated under circumstances that in the sole discreton of the Administrator would have consttuted grounds for your Employment to have been terminated for Cause, you will forfeit your Award immediately upon such terminaton of Employment.</w:t>
      </w:r>
    </w:p>
    <w:p>
      <w:pPr>
        <w:spacing w:after="0" w:line="252" w:lineRule="exact"/>
        <w:rPr>
          <w:sz w:val="20"/>
          <w:szCs w:val="20"/>
          <w:color w:val="auto"/>
        </w:rPr>
      </w:pPr>
    </w:p>
    <w:p>
      <w:pPr>
        <w:ind w:right="60"/>
        <w:spacing w:after="0" w:line="238" w:lineRule="auto"/>
        <w:rPr>
          <w:sz w:val="20"/>
          <w:szCs w:val="20"/>
          <w:color w:val="auto"/>
        </w:rPr>
      </w:pPr>
      <w:r>
        <w:rPr>
          <w:rFonts w:ascii="Calibri" w:cs="Calibri" w:eastAsia="Calibri" w:hAnsi="Calibri"/>
          <w:sz w:val="20"/>
          <w:szCs w:val="20"/>
          <w:color w:val="auto"/>
        </w:rPr>
        <w:t>For purposes of this Certfcate, “Cause” means (i) your willful and contnued failure to perform substantally your reasonably assigned dutes with the Company or any successor entty or any of their respectve Afliates (other than any such failure resultng from your physical or mental incapacity or any such actual, alleged or antcipated failure afer you issue a notce of terminaton for Good Reason) afer a writen demand for substantal performance is delivered to you by the Company which demand specifcally identfes the manner in which the Company believes you have not substantally performed your dutes; (ii) your willfully engaging in conduct which is demonstrably and materially injurious to the Company, monetarily or otherwise; (iii) your commission of a felony or a crime involving moral turpitude; (iv) your commission of thef, fraud, embezzlement, material breach of trust or any material act of dishonesty involving the Company or any of its subsidiaries; (v) a signifcant violaton by you of the code of conduct of the Company or its subsidiaries, of any material policy of the Company or its subsidiaries, or of any statutory or common law duty of loyalty to the Company or its subsidiaries; or (vi) a material breach by you of the terms of any agreement between the Company or its subsidiaries and you. For purposes of this defniton (i) no act, or failure to act, on your part shall be deemed “willful” unless done, or omited to be done, by you not in good faith and without reasonable belief that your actons or omission was in the best interest of the Company and (ii) your good faith errors in judgment shall not consttute Cause or be considered in any determinaton of whether Cause exists.</w:t>
      </w:r>
    </w:p>
    <w:p>
      <w:pPr>
        <w:spacing w:after="0" w:line="255" w:lineRule="exact"/>
        <w:rPr>
          <w:sz w:val="20"/>
          <w:szCs w:val="20"/>
          <w:color w:val="auto"/>
        </w:rPr>
      </w:pPr>
    </w:p>
    <w:p>
      <w:pPr>
        <w:ind w:right="180"/>
        <w:spacing w:after="0" w:line="234" w:lineRule="auto"/>
        <w:rPr>
          <w:sz w:val="20"/>
          <w:szCs w:val="20"/>
          <w:color w:val="auto"/>
        </w:rPr>
      </w:pPr>
      <w:r>
        <w:rPr>
          <w:rFonts w:ascii="Calibri" w:cs="Calibri" w:eastAsia="Calibri" w:hAnsi="Calibri"/>
          <w:sz w:val="20"/>
          <w:szCs w:val="20"/>
          <w:color w:val="auto"/>
        </w:rPr>
        <w:t>For purposes of this Certfcate, “Good Reason” means the occurrence afer a Change in Control, without your prior writen consent, of any of the following events or conditons:</w:t>
      </w:r>
    </w:p>
    <w:p>
      <w:pPr>
        <w:spacing w:after="0" w:line="253" w:lineRule="exact"/>
        <w:rPr>
          <w:sz w:val="20"/>
          <w:szCs w:val="20"/>
          <w:color w:val="auto"/>
        </w:rPr>
      </w:pPr>
    </w:p>
    <w:p>
      <w:pPr>
        <w:ind w:left="1500" w:hanging="690"/>
        <w:spacing w:after="0" w:line="237" w:lineRule="auto"/>
        <w:tabs>
          <w:tab w:leader="none" w:pos="1171" w:val="left"/>
        </w:tabs>
        <w:numPr>
          <w:ilvl w:val="0"/>
          <w:numId w:val="54"/>
        </w:numPr>
        <w:rPr>
          <w:rFonts w:ascii="Calibri" w:cs="Calibri" w:eastAsia="Calibri" w:hAnsi="Calibri"/>
          <w:sz w:val="20"/>
          <w:szCs w:val="20"/>
          <w:color w:val="auto"/>
        </w:rPr>
      </w:pPr>
      <w:r>
        <w:rPr>
          <w:rFonts w:ascii="Calibri" w:cs="Calibri" w:eastAsia="Calibri" w:hAnsi="Calibri"/>
          <w:sz w:val="20"/>
          <w:szCs w:val="20"/>
          <w:color w:val="auto"/>
        </w:rPr>
        <w:t>a change in your status, ttle, positon or responsibilites (including reportng responsibilites) which represents a material adverse change from your status, ttle, positon or responsibilites as in efect immediately prior thereto; the assignment to you of any dutes or responsibilites which are materially inconsistent with your status, ttle, positon or responsibilites; or your removal from or the failure to reappoint or reelect you to any of such ofces or positons, except in connecton with the terminaton of your Employment for Disability, Cause, as a result of your death or by you other than for Good Reason;</w:t>
      </w:r>
    </w:p>
    <w:p>
      <w:pPr>
        <w:spacing w:after="0" w:line="254" w:lineRule="exact"/>
        <w:rPr>
          <w:rFonts w:ascii="Calibri" w:cs="Calibri" w:eastAsia="Calibri" w:hAnsi="Calibri"/>
          <w:sz w:val="20"/>
          <w:szCs w:val="20"/>
          <w:color w:val="auto"/>
        </w:rPr>
      </w:pPr>
    </w:p>
    <w:p>
      <w:pPr>
        <w:ind w:left="1500" w:right="680" w:hanging="690"/>
        <w:spacing w:after="0" w:line="234" w:lineRule="auto"/>
        <w:tabs>
          <w:tab w:leader="none" w:pos="1171" w:val="left"/>
        </w:tabs>
        <w:numPr>
          <w:ilvl w:val="0"/>
          <w:numId w:val="54"/>
        </w:numPr>
        <w:rPr>
          <w:rFonts w:ascii="Calibri" w:cs="Calibri" w:eastAsia="Calibri" w:hAnsi="Calibri"/>
          <w:sz w:val="20"/>
          <w:szCs w:val="20"/>
          <w:color w:val="auto"/>
        </w:rPr>
      </w:pPr>
      <w:r>
        <w:rPr>
          <w:rFonts w:ascii="Calibri" w:cs="Calibri" w:eastAsia="Calibri" w:hAnsi="Calibri"/>
          <w:sz w:val="20"/>
          <w:szCs w:val="20"/>
          <w:color w:val="auto"/>
        </w:rPr>
        <w:t>a reducton in the rate of your annual base salary or target annual cash bonus, or a material reducton in your total compensaton;</w:t>
      </w:r>
    </w:p>
    <w:p>
      <w:pPr>
        <w:spacing w:after="0" w:line="252" w:lineRule="exact"/>
        <w:rPr>
          <w:rFonts w:ascii="Calibri" w:cs="Calibri" w:eastAsia="Calibri" w:hAnsi="Calibri"/>
          <w:sz w:val="20"/>
          <w:szCs w:val="20"/>
          <w:color w:val="auto"/>
        </w:rPr>
      </w:pPr>
    </w:p>
    <w:p>
      <w:pPr>
        <w:ind w:left="1500" w:right="80" w:hanging="690"/>
        <w:spacing w:after="0" w:line="237" w:lineRule="auto"/>
        <w:tabs>
          <w:tab w:leader="none" w:pos="1171" w:val="left"/>
        </w:tabs>
        <w:numPr>
          <w:ilvl w:val="0"/>
          <w:numId w:val="54"/>
        </w:numPr>
        <w:rPr>
          <w:rFonts w:ascii="Calibri" w:cs="Calibri" w:eastAsia="Calibri" w:hAnsi="Calibri"/>
          <w:sz w:val="20"/>
          <w:szCs w:val="20"/>
          <w:color w:val="auto"/>
        </w:rPr>
      </w:pPr>
      <w:r>
        <w:rPr>
          <w:rFonts w:ascii="Calibri" w:cs="Calibri" w:eastAsia="Calibri" w:hAnsi="Calibri"/>
          <w:sz w:val="20"/>
          <w:szCs w:val="20"/>
          <w:color w:val="auto"/>
        </w:rPr>
        <w:t>the relocaton of the ofces at which you are principally employed to a locaton more than twenty-fve (25) miles from the locaton of such ofce immediately prior to the Change in Control, or the Company’s requiring you to be based at a locaton more than twenty-fve (25) miles from such ofce, except to the extent you were not previously assigned to a principal locaton and except for required travel on the Company’s business to an extent substantally consistent with your business travel obligatons at the tme of the Change in Control;</w:t>
      </w:r>
    </w:p>
    <w:p>
      <w:pPr>
        <w:spacing w:after="0" w:line="21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10" w:name="page111"/>
    <w:bookmarkEnd w:id="110"/>
    <w:p>
      <w:pPr>
        <w:ind w:left="1500" w:hanging="690"/>
        <w:spacing w:after="0" w:line="237" w:lineRule="auto"/>
        <w:tabs>
          <w:tab w:leader="none" w:pos="1171" w:val="left"/>
        </w:tabs>
        <w:numPr>
          <w:ilvl w:val="0"/>
          <w:numId w:val="55"/>
        </w:numPr>
        <w:rPr>
          <w:rFonts w:ascii="Calibri" w:cs="Calibri" w:eastAsia="Calibri" w:hAnsi="Calibri"/>
          <w:sz w:val="20"/>
          <w:szCs w:val="20"/>
          <w:color w:val="auto"/>
        </w:rPr>
      </w:pPr>
      <w:r>
        <w:rPr>
          <w:rFonts w:ascii="Calibri" w:cs="Calibri" w:eastAsia="Calibri" w:hAnsi="Calibri"/>
          <w:sz w:val="20"/>
          <w:szCs w:val="20"/>
          <w:color w:val="auto"/>
        </w:rPr>
        <w:t>the failure by the Company to pay to you any porton of your then current base salary or annual cash bonus or any other compensaton, or to pay to you any porton of an installment of deferred compensaton under any deferred compensaton program of the Company in which you partcipated, in each case, within fourteen (14) days of the date such compensaton is due and payable in accordance with the terms of the applicable agreement or plan or applicable law; or</w:t>
      </w:r>
    </w:p>
    <w:p>
      <w:pPr>
        <w:spacing w:after="0" w:line="252" w:lineRule="exact"/>
        <w:rPr>
          <w:rFonts w:ascii="Calibri" w:cs="Calibri" w:eastAsia="Calibri" w:hAnsi="Calibri"/>
          <w:sz w:val="20"/>
          <w:szCs w:val="20"/>
          <w:color w:val="auto"/>
        </w:rPr>
      </w:pPr>
    </w:p>
    <w:p>
      <w:pPr>
        <w:ind w:left="1500" w:right="680" w:hanging="690"/>
        <w:spacing w:after="0" w:line="234" w:lineRule="auto"/>
        <w:tabs>
          <w:tab w:leader="none" w:pos="1171" w:val="left"/>
        </w:tabs>
        <w:numPr>
          <w:ilvl w:val="0"/>
          <w:numId w:val="55"/>
        </w:numPr>
        <w:rPr>
          <w:rFonts w:ascii="Calibri" w:cs="Calibri" w:eastAsia="Calibri" w:hAnsi="Calibri"/>
          <w:sz w:val="20"/>
          <w:szCs w:val="20"/>
          <w:color w:val="auto"/>
        </w:rPr>
      </w:pPr>
      <w:r>
        <w:rPr>
          <w:rFonts w:ascii="Calibri" w:cs="Calibri" w:eastAsia="Calibri" w:hAnsi="Calibri"/>
          <w:sz w:val="20"/>
          <w:szCs w:val="20"/>
          <w:color w:val="auto"/>
        </w:rPr>
        <w:t>any material reducton in the retrement or welfare benefts or other material beneft or compensaton plan made available to you or any materially adverse change in the terms on which those benefts are made available.</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In order for a terminaton for Good Reason to be efectve, you must (a) provide notce to the Company specifying in reasonable detail</w:t>
      </w:r>
    </w:p>
    <w:p>
      <w:pPr>
        <w:spacing w:after="0" w:line="238" w:lineRule="auto"/>
        <w:rPr>
          <w:sz w:val="20"/>
          <w:szCs w:val="20"/>
          <w:color w:val="auto"/>
        </w:rPr>
      </w:pPr>
      <w:r>
        <w:rPr>
          <w:rFonts w:ascii="Calibri" w:cs="Calibri" w:eastAsia="Calibri" w:hAnsi="Calibri"/>
          <w:sz w:val="20"/>
          <w:szCs w:val="20"/>
          <w:color w:val="auto"/>
        </w:rPr>
        <w:t>the conditon giving rise to the Good Reason no later than the one-hundred and eighteth (180th) day following the occurrence of that</w:t>
      </w:r>
    </w:p>
    <w:p>
      <w:pPr>
        <w:spacing w:after="0"/>
        <w:rPr>
          <w:sz w:val="20"/>
          <w:szCs w:val="20"/>
          <w:color w:val="auto"/>
        </w:rPr>
      </w:pPr>
      <w:r>
        <w:rPr>
          <w:rFonts w:ascii="Calibri" w:cs="Calibri" w:eastAsia="Calibri" w:hAnsi="Calibri"/>
          <w:sz w:val="20"/>
          <w:szCs w:val="20"/>
          <w:color w:val="auto"/>
        </w:rPr>
        <w:t>conditon; (b) provide the Company a period of thirty (30) days to remedy the conditon; and (c) terminate your Employment for Good</w:t>
      </w:r>
    </w:p>
    <w:p>
      <w:pPr>
        <w:spacing w:after="0" w:line="238" w:lineRule="auto"/>
        <w:rPr>
          <w:sz w:val="20"/>
          <w:szCs w:val="20"/>
          <w:color w:val="auto"/>
        </w:rPr>
      </w:pPr>
      <w:r>
        <w:rPr>
          <w:rFonts w:ascii="Calibri" w:cs="Calibri" w:eastAsia="Calibri" w:hAnsi="Calibri"/>
          <w:sz w:val="20"/>
          <w:szCs w:val="20"/>
          <w:color w:val="auto"/>
        </w:rPr>
        <w:t>Reason within sixty (60) days following the expiraton of the Company’s period to remedy if the Company fails to remedy the conditon.</w:t>
      </w:r>
    </w:p>
    <w:p>
      <w:pPr>
        <w:spacing w:after="0" w:line="252" w:lineRule="exact"/>
        <w:rPr>
          <w:sz w:val="20"/>
          <w:szCs w:val="20"/>
          <w:color w:val="auto"/>
        </w:rPr>
      </w:pPr>
    </w:p>
    <w:p>
      <w:pPr>
        <w:ind w:right="2680"/>
        <w:spacing w:after="0" w:line="237" w:lineRule="auto"/>
        <w:rPr>
          <w:sz w:val="20"/>
          <w:szCs w:val="20"/>
          <w:color w:val="auto"/>
        </w:rPr>
      </w:pPr>
      <w:r>
        <w:rPr>
          <w:rFonts w:ascii="Calibri" w:cs="Calibri" w:eastAsia="Calibri" w:hAnsi="Calibri"/>
          <w:sz w:val="20"/>
          <w:szCs w:val="20"/>
          <w:color w:val="auto"/>
        </w:rPr>
        <w:t>For purposes of this Certfcate, “Disability” means that you meet one of the following requirements: (1) you are unable to engage in any substantal gainful actvity by reason of any medically determinable physical or mental impairment that can be expected to result in death or can be expected to last for a contnuous period of not less than 12 months or (2) you are, by reason of any medically determinable physical or mental impairment that can be expected to result in death or can be expected to last for a contnuous period of not less than 12 months, receiving income replacement benefts for a period of not less than three months under a disability plan of the Company.</w:t>
      </w:r>
    </w:p>
    <w:p>
      <w:pPr>
        <w:spacing w:after="0" w:line="256" w:lineRule="exact"/>
        <w:rPr>
          <w:sz w:val="20"/>
          <w:szCs w:val="20"/>
          <w:color w:val="auto"/>
        </w:rPr>
      </w:pPr>
    </w:p>
    <w:p>
      <w:pPr>
        <w:jc w:val="both"/>
        <w:ind w:right="2840"/>
        <w:spacing w:after="0" w:line="236" w:lineRule="auto"/>
        <w:rPr>
          <w:sz w:val="20"/>
          <w:szCs w:val="20"/>
          <w:color w:val="auto"/>
        </w:rPr>
      </w:pPr>
      <w:r>
        <w:rPr>
          <w:rFonts w:ascii="Calibri" w:cs="Calibri" w:eastAsia="Calibri" w:hAnsi="Calibri"/>
          <w:sz w:val="20"/>
          <w:szCs w:val="20"/>
          <w:color w:val="auto"/>
        </w:rPr>
        <w:t>For purposes of this Certfcate, “Retrement” means your atainment of age sixty (60) and completon of ten (10) years of contnuous Employment with the Company, provided that you have also given the Company six (6) months’ advance notce of your intent to retre.</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Delivery of Shares.</w:t>
      </w:r>
    </w:p>
    <w:p>
      <w:pPr>
        <w:spacing w:after="0" w:line="225" w:lineRule="exact"/>
        <w:rPr>
          <w:sz w:val="20"/>
          <w:szCs w:val="20"/>
          <w:color w:val="auto"/>
        </w:rPr>
      </w:pPr>
    </w:p>
    <w:p>
      <w:pPr>
        <w:ind w:left="1140" w:right="140" w:hanging="758"/>
        <w:spacing w:after="0" w:line="236" w:lineRule="auto"/>
        <w:tabs>
          <w:tab w:leader="none" w:pos="1140" w:val="left"/>
        </w:tabs>
        <w:numPr>
          <w:ilvl w:val="0"/>
          <w:numId w:val="56"/>
        </w:numPr>
        <w:rPr>
          <w:rFonts w:ascii="Calibri" w:cs="Calibri" w:eastAsia="Calibri" w:hAnsi="Calibri"/>
          <w:sz w:val="20"/>
          <w:szCs w:val="20"/>
          <w:color w:val="auto"/>
        </w:rPr>
      </w:pPr>
      <w:r>
        <w:rPr>
          <w:rFonts w:ascii="Calibri" w:cs="Calibri" w:eastAsia="Calibri" w:hAnsi="Calibri"/>
          <w:sz w:val="20"/>
          <w:szCs w:val="20"/>
          <w:color w:val="auto"/>
        </w:rPr>
        <w:t>General Rule. Except as set forth in subsectons (ii) through (iv) below, the Company shall, within sixty (60) days following the vestng of your Award (afer giving efect to any accelerated vestng under “Vestng of your Award” above) deliver the Shares with respect to such vested Award to you (or, in the event of your death, to the person to whom this Award has passed by will or the laws of descent and distributon).</w:t>
      </w:r>
    </w:p>
    <w:p>
      <w:pPr>
        <w:spacing w:after="0" w:line="227" w:lineRule="exact"/>
        <w:rPr>
          <w:rFonts w:ascii="Calibri" w:cs="Calibri" w:eastAsia="Calibri" w:hAnsi="Calibri"/>
          <w:sz w:val="20"/>
          <w:szCs w:val="20"/>
          <w:color w:val="auto"/>
        </w:rPr>
      </w:pPr>
    </w:p>
    <w:p>
      <w:pPr>
        <w:ind w:left="1140" w:right="100" w:hanging="758"/>
        <w:spacing w:after="0" w:line="237" w:lineRule="auto"/>
        <w:tabs>
          <w:tab w:leader="none" w:pos="1140" w:val="left"/>
        </w:tabs>
        <w:numPr>
          <w:ilvl w:val="0"/>
          <w:numId w:val="56"/>
        </w:numPr>
        <w:rPr>
          <w:rFonts w:ascii="Calibri" w:cs="Calibri" w:eastAsia="Calibri" w:hAnsi="Calibri"/>
          <w:sz w:val="20"/>
          <w:szCs w:val="20"/>
          <w:color w:val="auto"/>
        </w:rPr>
      </w:pPr>
      <w:r>
        <w:rPr>
          <w:rFonts w:ascii="Calibri" w:cs="Calibri" w:eastAsia="Calibri" w:hAnsi="Calibri"/>
          <w:sz w:val="20"/>
          <w:szCs w:val="20"/>
          <w:color w:val="auto"/>
        </w:rPr>
        <w:t>Retrement. Notwithstanding subsecton (i) above, to the extent that you have satsfed the conditons for Retrement, the Company shall deliver the Shares with respect to your vested Award as soon as practcable following the date that your Employment ceases as a result of your Retrement (or, if later, as it relates to any porton of the Award, the date that the Compensaton Commitee has determined the achievement of the performance metrics applicable to your Award (or porton thereof)).</w:t>
      </w:r>
    </w:p>
    <w:p>
      <w:pPr>
        <w:spacing w:after="0" w:line="239" w:lineRule="exact"/>
        <w:rPr>
          <w:rFonts w:ascii="Calibri" w:cs="Calibri" w:eastAsia="Calibri" w:hAnsi="Calibri"/>
          <w:sz w:val="20"/>
          <w:szCs w:val="20"/>
          <w:color w:val="auto"/>
        </w:rPr>
      </w:pPr>
    </w:p>
    <w:p>
      <w:pPr>
        <w:ind w:left="1140" w:right="80" w:hanging="758"/>
        <w:spacing w:after="0" w:line="236" w:lineRule="auto"/>
        <w:tabs>
          <w:tab w:leader="none" w:pos="1140" w:val="left"/>
        </w:tabs>
        <w:numPr>
          <w:ilvl w:val="0"/>
          <w:numId w:val="56"/>
        </w:numPr>
        <w:rPr>
          <w:rFonts w:ascii="Calibri" w:cs="Calibri" w:eastAsia="Calibri" w:hAnsi="Calibri"/>
          <w:sz w:val="20"/>
          <w:szCs w:val="20"/>
          <w:color w:val="auto"/>
        </w:rPr>
      </w:pPr>
      <w:r>
        <w:rPr>
          <w:rFonts w:ascii="Calibri" w:cs="Calibri" w:eastAsia="Calibri" w:hAnsi="Calibri"/>
          <w:sz w:val="20"/>
          <w:szCs w:val="20"/>
          <w:color w:val="auto"/>
        </w:rPr>
        <w:t>Change in Control. Notwithstanding subsectons (i) or (ii) above, or anything in Secton 7 of the Plan to the contrary, in the event that the Scheduled Vestng Date is accelerated in connecton with a Change in Control and your Award is subject to Secton 409A as a result of</w:t>
      </w:r>
    </w:p>
    <w:p>
      <w:pPr>
        <w:jc w:val="center"/>
        <w:ind w:right="-59"/>
        <w:spacing w:after="0"/>
        <w:rPr>
          <w:sz w:val="20"/>
          <w:szCs w:val="20"/>
          <w:color w:val="auto"/>
        </w:rPr>
      </w:pPr>
      <w:r>
        <w:rPr>
          <w:rFonts w:ascii="Calibri" w:cs="Calibri" w:eastAsia="Calibri" w:hAnsi="Calibri"/>
          <w:sz w:val="20"/>
          <w:szCs w:val="20"/>
          <w:color w:val="auto"/>
        </w:rPr>
        <w:t>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111" w:name="page112"/>
    <w:bookmarkEnd w:id="111"/>
    <w:p>
      <w:pPr>
        <w:ind w:left="1140" w:right="360"/>
        <w:spacing w:after="0" w:line="234" w:lineRule="auto"/>
        <w:rPr>
          <w:sz w:val="20"/>
          <w:szCs w:val="20"/>
          <w:color w:val="auto"/>
        </w:rPr>
      </w:pPr>
      <w:r>
        <w:rPr>
          <w:rFonts w:ascii="Calibri" w:cs="Calibri" w:eastAsia="Calibri" w:hAnsi="Calibri"/>
          <w:sz w:val="20"/>
          <w:szCs w:val="20"/>
          <w:color w:val="auto"/>
        </w:rPr>
        <w:t>you having satsfed the conditons for Retrement, the Company shall deliver the Shares with respect to your vested Award as soon as practcable following the earlier of your terminaton of Employment and the Scheduled Vestng Date.</w:t>
      </w:r>
    </w:p>
    <w:p>
      <w:pPr>
        <w:spacing w:after="0" w:line="280" w:lineRule="exact"/>
        <w:rPr>
          <w:sz w:val="20"/>
          <w:szCs w:val="20"/>
          <w:color w:val="auto"/>
        </w:rPr>
      </w:pPr>
    </w:p>
    <w:p>
      <w:pPr>
        <w:ind w:left="1140" w:right="80" w:hanging="758"/>
        <w:spacing w:after="0" w:line="236" w:lineRule="auto"/>
        <w:tabs>
          <w:tab w:leader="none" w:pos="1140" w:val="left"/>
        </w:tabs>
        <w:numPr>
          <w:ilvl w:val="0"/>
          <w:numId w:val="57"/>
        </w:numPr>
        <w:rPr>
          <w:rFonts w:ascii="Calibri" w:cs="Calibri" w:eastAsia="Calibri" w:hAnsi="Calibri"/>
          <w:sz w:val="20"/>
          <w:szCs w:val="20"/>
          <w:color w:val="auto"/>
        </w:rPr>
      </w:pPr>
      <w:r>
        <w:rPr>
          <w:rFonts w:ascii="Calibri" w:cs="Calibri" w:eastAsia="Calibri" w:hAnsi="Calibri"/>
          <w:sz w:val="20"/>
          <w:szCs w:val="20"/>
          <w:color w:val="auto"/>
        </w:rPr>
        <w:t>Required Delay. Notwithstanding anything in subsectons (i)-(iii) to the contrary, the setlement date with respect to any Award that is subject to Secton 409A shall be subject to a delay of six months and one day (or untl death if earlier) if such setlement is due to your separaton from Employment and you are a “specifed employee” as determined in accordance with Secton 409A and Company policy.</w:t>
      </w:r>
    </w:p>
    <w:p>
      <w:pPr>
        <w:spacing w:after="0" w:line="282" w:lineRule="exact"/>
        <w:rPr>
          <w:sz w:val="20"/>
          <w:szCs w:val="20"/>
          <w:color w:val="auto"/>
        </w:rPr>
      </w:pPr>
    </w:p>
    <w:p>
      <w:pPr>
        <w:ind w:right="240"/>
        <w:spacing w:after="0" w:line="236" w:lineRule="auto"/>
        <w:rPr>
          <w:sz w:val="20"/>
          <w:szCs w:val="20"/>
          <w:color w:val="auto"/>
        </w:rPr>
      </w:pPr>
      <w:r>
        <w:rPr>
          <w:rFonts w:ascii="Calibri" w:cs="Calibri" w:eastAsia="Calibri" w:hAnsi="Calibri"/>
          <w:sz w:val="20"/>
          <w:szCs w:val="20"/>
          <w:color w:val="auto"/>
        </w:rPr>
        <w:t>No Shares will be issued pursuant to this Award unless and untl all legal requirements applicable to the issuance or transfer of such Shares have been complied with to the satsfacton of the Administrator and you have made arrangements to pay to the Company any applicable withholding taxes due upon the vestng and/or setlement of your Award, as provided for below.</w:t>
      </w:r>
    </w:p>
    <w:p>
      <w:pPr>
        <w:spacing w:after="0" w:line="225" w:lineRule="exact"/>
        <w:rPr>
          <w:sz w:val="20"/>
          <w:szCs w:val="20"/>
          <w:color w:val="auto"/>
        </w:rPr>
      </w:pPr>
    </w:p>
    <w:p>
      <w:pPr>
        <w:ind w:right="80"/>
        <w:spacing w:after="0" w:line="237" w:lineRule="auto"/>
        <w:rPr>
          <w:sz w:val="20"/>
          <w:szCs w:val="20"/>
          <w:color w:val="auto"/>
        </w:rPr>
      </w:pPr>
      <w:r>
        <w:rPr>
          <w:rFonts w:ascii="Calibri" w:cs="Calibri" w:eastAsia="Calibri" w:hAnsi="Calibri"/>
          <w:sz w:val="20"/>
          <w:szCs w:val="20"/>
          <w:b w:val="1"/>
          <w:bCs w:val="1"/>
          <w:color w:val="auto"/>
        </w:rPr>
        <w:t xml:space="preserve">Rights as a Shareholder; Dividends. </w:t>
      </w:r>
      <w:r>
        <w:rPr>
          <w:rFonts w:ascii="Calibri" w:cs="Calibri" w:eastAsia="Calibri" w:hAnsi="Calibri"/>
          <w:sz w:val="20"/>
          <w:szCs w:val="20"/>
          <w:color w:val="auto"/>
        </w:rPr>
        <w:t>This Award shall not be interpreted to bestow upon you any equity interest or ownership in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 or any Afliate prior to the date on which the Company delivers Shares to you. You are not enttled to vote any Shares by reason of the grantng of this Award. You shall have the rights of a shareholder only as to those Shares, if any, that are actually delivered under this Award at the tme such Shares are delivered. You will be enttled to receive dividend equivalents to the extent provided for in this Certfcate.</w:t>
      </w:r>
    </w:p>
    <w:p>
      <w:pPr>
        <w:spacing w:after="0" w:line="226"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b w:val="1"/>
          <w:bCs w:val="1"/>
          <w:color w:val="auto"/>
        </w:rPr>
        <w:t xml:space="preserve">Certain Tax Maters. </w:t>
      </w:r>
      <w:r>
        <w:rPr>
          <w:rFonts w:ascii="Calibri" w:cs="Calibri" w:eastAsia="Calibri" w:hAnsi="Calibri"/>
          <w:sz w:val="20"/>
          <w:szCs w:val="20"/>
          <w:color w:val="auto"/>
        </w:rPr>
        <w:t>You are responsible for understanding the general tax consequences of this Award and for seeking advice from</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your own tax and fnancial advisors with respect to the tax consequences of this Award to the extent you require or desire such advice.</w:t>
      </w:r>
    </w:p>
    <w:p>
      <w:pPr>
        <w:spacing w:after="0" w:line="226" w:lineRule="exact"/>
        <w:rPr>
          <w:sz w:val="20"/>
          <w:szCs w:val="20"/>
          <w:color w:val="auto"/>
        </w:rPr>
      </w:pPr>
    </w:p>
    <w:p>
      <w:pPr>
        <w:spacing w:after="0"/>
        <w:rPr>
          <w:sz w:val="20"/>
          <w:szCs w:val="20"/>
          <w:color w:val="auto"/>
        </w:rPr>
      </w:pPr>
      <w:r>
        <w:rPr>
          <w:rFonts w:ascii="Calibri" w:cs="Calibri" w:eastAsia="Calibri" w:hAnsi="Calibri"/>
          <w:sz w:val="20"/>
          <w:szCs w:val="20"/>
          <w:color w:val="auto"/>
        </w:rPr>
        <w:t>You must pay to the Company any applicable withholding taxes due upon the vestng and/or setlement of your Award (including, for the avoidance of doubt, any dividend equivalents payable to you in respect of this Award). To satsfy federal, state and local withholding requirements arising in connecton with the vestng and/or setlement of this Award, the Company will automatcally withhold from the Shares otherwise deliverable to you under this Award (other than any dividend equivalents) that number of whole Shares having an aggregate fair market value not exceeding the minimum withholding amount applicable to the Shares so vestng and/or being setled. If you wish to satsfy your withholding requirements with a cash payment, if such electon is permited under Secton 409A, as determined by</w:t>
      </w:r>
    </w:p>
    <w:p>
      <w:pPr>
        <w:spacing w:after="0" w:line="236" w:lineRule="exact"/>
        <w:rPr>
          <w:sz w:val="20"/>
          <w:szCs w:val="20"/>
          <w:color w:val="auto"/>
        </w:rPr>
      </w:pPr>
    </w:p>
    <w:p>
      <w:pPr>
        <w:ind w:right="80"/>
        <w:spacing w:after="0" w:line="237" w:lineRule="auto"/>
        <w:rPr>
          <w:sz w:val="20"/>
          <w:szCs w:val="20"/>
          <w:color w:val="auto"/>
        </w:rPr>
      </w:pPr>
      <w:r>
        <w:rPr>
          <w:rFonts w:ascii="Calibri" w:cs="Calibri" w:eastAsia="Calibri" w:hAnsi="Calibri"/>
          <w:sz w:val="20"/>
          <w:szCs w:val="20"/>
          <w:color w:val="auto"/>
        </w:rPr>
        <w:t>the Company in its discreton, you must make this electon through the Administrator and deposit the appropriate funds into your account at least ten (10) calendar days before the date this Award is scheduled to vest. If you wish to increase your tax withholding with respect to such taxes due upon the vestng and/or setlement of this Award (including by having additonal Shares withheld from your Award), you must contact the Corporate Compensaton Department to determine whether such increase is then permited or available to you.</w:t>
      </w:r>
    </w:p>
    <w:p>
      <w:pPr>
        <w:spacing w:after="0" w:line="226"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b w:val="1"/>
          <w:bCs w:val="1"/>
          <w:color w:val="auto"/>
        </w:rPr>
        <w:t xml:space="preserve">Nontransferability. </w:t>
      </w:r>
      <w:r>
        <w:rPr>
          <w:rFonts w:ascii="Calibri" w:cs="Calibri" w:eastAsia="Calibri" w:hAnsi="Calibri"/>
          <w:sz w:val="20"/>
          <w:szCs w:val="20"/>
          <w:color w:val="auto"/>
        </w:rPr>
        <w:t>Neither this Award nor any rights with respect thereto may be sold, assigned, transferred (other than by will or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laws of descent and distributon), pledged or otherwise encumbered, except as the Administrator may otherwise determine.</w:t>
      </w:r>
    </w:p>
    <w:p>
      <w:pPr>
        <w:spacing w:after="0" w:line="226" w:lineRule="exact"/>
        <w:rPr>
          <w:sz w:val="20"/>
          <w:szCs w:val="20"/>
          <w:color w:val="auto"/>
        </w:rPr>
      </w:pPr>
    </w:p>
    <w:p>
      <w:pPr>
        <w:ind w:right="160"/>
        <w:spacing w:after="0" w:line="236" w:lineRule="auto"/>
        <w:rPr>
          <w:sz w:val="20"/>
          <w:szCs w:val="20"/>
          <w:color w:val="auto"/>
        </w:rPr>
      </w:pPr>
      <w:r>
        <w:rPr>
          <w:rFonts w:ascii="Calibri" w:cs="Calibri" w:eastAsia="Calibri" w:hAnsi="Calibri"/>
          <w:sz w:val="20"/>
          <w:szCs w:val="20"/>
          <w:b w:val="1"/>
          <w:bCs w:val="1"/>
          <w:color w:val="auto"/>
        </w:rPr>
        <w:t xml:space="preserve">Efect on Employment Rights. </w:t>
      </w:r>
      <w:r>
        <w:rPr>
          <w:rFonts w:ascii="Calibri" w:cs="Calibri" w:eastAsia="Calibri" w:hAnsi="Calibri"/>
          <w:sz w:val="20"/>
          <w:szCs w:val="20"/>
          <w:color w:val="auto"/>
        </w:rPr>
        <w:t>This Award shall not confer upon you any right to contnue as an employee of the Company or any of its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subsidiaries or Afliates and shall not afect in any way the right of the Company or any subsidiary of the Company or Afliate to terminate your Employment at any</w:t>
      </w:r>
    </w:p>
    <w:p>
      <w:pPr>
        <w:spacing w:after="0" w:line="215"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2" w:right="359" w:bottom="1440" w:gutter="0" w:footer="0" w:header="0"/>
        </w:sectPr>
      </w:pPr>
    </w:p>
    <w:bookmarkStart w:id="112" w:name="page113"/>
    <w:bookmarkEnd w:id="112"/>
    <w:p>
      <w:pPr>
        <w:spacing w:after="0" w:line="236" w:lineRule="auto"/>
        <w:rPr>
          <w:sz w:val="20"/>
          <w:szCs w:val="20"/>
          <w:color w:val="auto"/>
        </w:rPr>
      </w:pPr>
      <w:r>
        <w:rPr>
          <w:rFonts w:ascii="Calibri" w:cs="Calibri" w:eastAsia="Calibri" w:hAnsi="Calibri"/>
          <w:sz w:val="20"/>
          <w:szCs w:val="20"/>
          <w:color w:val="auto"/>
        </w:rPr>
        <w:t>tme. Further, any benefts you receive from the grant or vestng of your Award shall not be considered a component of your salary for any purpose, including, without limitaton, any salary-related calculatons for holiday, sick pay, terminaton payments, overtme or similar payments.</w:t>
      </w:r>
    </w:p>
    <w:p>
      <w:pPr>
        <w:spacing w:after="0" w:line="225"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b w:val="1"/>
          <w:bCs w:val="1"/>
          <w:color w:val="auto"/>
        </w:rPr>
        <w:t xml:space="preserve">Provisions of the 2017 Plan. </w:t>
      </w:r>
      <w:r>
        <w:rPr>
          <w:rFonts w:ascii="Calibri" w:cs="Calibri" w:eastAsia="Calibri" w:hAnsi="Calibri"/>
          <w:sz w:val="20"/>
          <w:szCs w:val="20"/>
          <w:color w:val="auto"/>
        </w:rPr>
        <w:t>The terms specifed in this Certfcate are governed by the terms of the 2017 Plan, a copy of which has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been provided to you. Informaton about the 2017 Plan is also included in the Prospectus for the 2017 Plan, a copy of which has also been provided to you. The Administrator has the exclusive authority to interpret the 2017 Plan and this Award, including whether and to what extent the performance metrics outlined in </w:t>
      </w:r>
      <w:r>
        <w:rPr>
          <w:rFonts w:ascii="Calibri" w:cs="Calibri" w:eastAsia="Calibri" w:hAnsi="Calibri"/>
          <w:sz w:val="20"/>
          <w:szCs w:val="20"/>
          <w:u w:val="single" w:color="auto"/>
          <w:color w:val="auto"/>
        </w:rPr>
        <w:t>Appendix A</w:t>
      </w:r>
      <w:r>
        <w:rPr>
          <w:rFonts w:ascii="Calibri" w:cs="Calibri" w:eastAsia="Calibri" w:hAnsi="Calibri"/>
          <w:sz w:val="20"/>
          <w:szCs w:val="20"/>
          <w:color w:val="auto"/>
        </w:rPr>
        <w:t xml:space="preserve"> have been achieved. Any interpretaton of this Award by the Administrator and any decision made by it with respect to this Award are fnal and binding on all persons. To the extent there is a confict between the terms of this Certfcate, the 2017 Plan or any employment agreement between you and the Company or any of its Afliates, the 2017 Plan shall govern (except as it relates to terms expressly defned herein).</w:t>
      </w:r>
    </w:p>
    <w:p>
      <w:pPr>
        <w:spacing w:after="0" w:line="229" w:lineRule="exact"/>
        <w:rPr>
          <w:sz w:val="20"/>
          <w:szCs w:val="20"/>
          <w:color w:val="auto"/>
        </w:rPr>
      </w:pPr>
    </w:p>
    <w:p>
      <w:pPr>
        <w:jc w:val="both"/>
        <w:ind w:right="80"/>
        <w:spacing w:after="0" w:line="236" w:lineRule="auto"/>
        <w:rPr>
          <w:sz w:val="20"/>
          <w:szCs w:val="20"/>
          <w:color w:val="auto"/>
        </w:rPr>
      </w:pPr>
      <w:r>
        <w:rPr>
          <w:rFonts w:ascii="Calibri" w:cs="Calibri" w:eastAsia="Calibri" w:hAnsi="Calibri"/>
          <w:sz w:val="20"/>
          <w:szCs w:val="20"/>
          <w:b w:val="1"/>
          <w:bCs w:val="1"/>
          <w:color w:val="auto"/>
        </w:rPr>
        <w:t xml:space="preserve">Recoupment Policy. </w:t>
      </w:r>
      <w:r>
        <w:rPr>
          <w:rFonts w:ascii="Calibri" w:cs="Calibri" w:eastAsia="Calibri" w:hAnsi="Calibri"/>
          <w:sz w:val="20"/>
          <w:szCs w:val="20"/>
          <w:color w:val="auto"/>
        </w:rPr>
        <w:t>This Award and the Shares issued to you upon setlement of this Award are subject to the terms of the Company’s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Policy for Recoupment of Incentve Compensaton and Amended and Restated Policy for Recoupment of Compensaton, in each case as applicable and as either may be amended from tme to tme, and any additonal clawback policy subsequently adopted by the Company and, by acceptng this Award, you agree to each such policy.</w:t>
      </w:r>
    </w:p>
    <w:p>
      <w:pPr>
        <w:spacing w:after="0" w:line="255" w:lineRule="exact"/>
        <w:rPr>
          <w:sz w:val="20"/>
          <w:szCs w:val="20"/>
          <w:color w:val="auto"/>
        </w:rPr>
      </w:pPr>
    </w:p>
    <w:p>
      <w:pPr>
        <w:ind w:right="400"/>
        <w:spacing w:after="0" w:line="236" w:lineRule="auto"/>
        <w:rPr>
          <w:sz w:val="20"/>
          <w:szCs w:val="20"/>
          <w:color w:val="auto"/>
        </w:rPr>
      </w:pPr>
      <w:r>
        <w:rPr>
          <w:rFonts w:ascii="Calibri" w:cs="Calibri" w:eastAsia="Calibri" w:hAnsi="Calibri"/>
          <w:sz w:val="20"/>
          <w:szCs w:val="20"/>
          <w:b w:val="1"/>
          <w:bCs w:val="1"/>
          <w:color w:val="auto"/>
        </w:rPr>
        <w:t xml:space="preserve">Amendments. </w:t>
      </w:r>
      <w:r>
        <w:rPr>
          <w:rFonts w:ascii="Calibri" w:cs="Calibri" w:eastAsia="Calibri" w:hAnsi="Calibri"/>
          <w:sz w:val="20"/>
          <w:szCs w:val="20"/>
          <w:color w:val="auto"/>
        </w:rPr>
        <w:t>No amendment of any provision of this Certfcate (other than an adjustment in the performance metrics set forth in</w:t>
      </w:r>
      <w:r>
        <w:rPr>
          <w:rFonts w:ascii="Calibri" w:cs="Calibri" w:eastAsia="Calibri" w:hAnsi="Calibri"/>
          <w:sz w:val="20"/>
          <w:szCs w:val="20"/>
          <w:b w:val="1"/>
          <w:bCs w:val="1"/>
          <w:color w:val="auto"/>
        </w:rPr>
        <w:t xml:space="preserve"> </w:t>
      </w:r>
      <w:r>
        <w:rPr>
          <w:rFonts w:ascii="Calibri" w:cs="Calibri" w:eastAsia="Calibri" w:hAnsi="Calibri"/>
          <w:sz w:val="20"/>
          <w:szCs w:val="20"/>
          <w:u w:val="single" w:color="auto"/>
          <w:color w:val="auto"/>
        </w:rPr>
        <w:t>Appendix A</w:t>
      </w:r>
      <w:r>
        <w:rPr>
          <w:rFonts w:ascii="Calibri" w:cs="Calibri" w:eastAsia="Calibri" w:hAnsi="Calibri"/>
          <w:sz w:val="20"/>
          <w:szCs w:val="20"/>
          <w:color w:val="auto"/>
        </w:rPr>
        <w:t xml:space="preserve"> made in accordance with the terms herein, which shall not be deemed an amendment of this Certfcate) shall be valid unless the same shall be in writng.</w:t>
      </w:r>
    </w:p>
    <w:p>
      <w:pPr>
        <w:spacing w:after="0" w:line="225" w:lineRule="exact"/>
        <w:rPr>
          <w:sz w:val="20"/>
          <w:szCs w:val="20"/>
          <w:color w:val="auto"/>
        </w:rPr>
      </w:pPr>
    </w:p>
    <w:p>
      <w:pPr>
        <w:ind w:right="60"/>
        <w:spacing w:after="0" w:line="236" w:lineRule="auto"/>
        <w:rPr>
          <w:sz w:val="20"/>
          <w:szCs w:val="20"/>
          <w:color w:val="auto"/>
        </w:rPr>
      </w:pPr>
      <w:r>
        <w:rPr>
          <w:rFonts w:ascii="Calibri" w:cs="Calibri" w:eastAsia="Calibri" w:hAnsi="Calibri"/>
          <w:sz w:val="20"/>
          <w:szCs w:val="20"/>
          <w:b w:val="1"/>
          <w:bCs w:val="1"/>
          <w:color w:val="auto"/>
        </w:rPr>
        <w:t xml:space="preserve">Governing Law. </w:t>
      </w:r>
      <w:r>
        <w:rPr>
          <w:rFonts w:ascii="Calibri" w:cs="Calibri" w:eastAsia="Calibri" w:hAnsi="Calibri"/>
          <w:sz w:val="20"/>
          <w:szCs w:val="20"/>
          <w:color w:val="auto"/>
        </w:rPr>
        <w:t>Except as otherwise provided in the 2017 Plan, this Certfcate shall be governed and construed by and determined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accordance with the laws of The Commonwealth of Massachusets, without giving efect to any choice of law or confict of law provision or rule (whether of The Commonwealth of Massachusets or any other jurisdicton) that would cause the applicaton of the laws of any jurisdicton other than The Commonwealth of Massachusets.</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color w:val="auto"/>
        </w:rPr>
        <w:t>You hereby accept your Award subject to the terms set forth herein and in the 2017 Plan.</w:t>
      </w:r>
    </w:p>
    <w:p>
      <w:pPr>
        <w:spacing w:after="0" w:line="225" w:lineRule="exact"/>
        <w:rPr>
          <w:sz w:val="20"/>
          <w:szCs w:val="20"/>
          <w:color w:val="auto"/>
        </w:rPr>
      </w:pPr>
    </w:p>
    <w:p>
      <w:pPr>
        <w:ind w:right="60"/>
        <w:spacing w:after="0" w:line="237" w:lineRule="auto"/>
        <w:rPr>
          <w:sz w:val="20"/>
          <w:szCs w:val="20"/>
          <w:color w:val="auto"/>
        </w:rPr>
      </w:pPr>
      <w:r>
        <w:rPr>
          <w:rFonts w:ascii="Calibri" w:cs="Calibri" w:eastAsia="Calibri" w:hAnsi="Calibri"/>
          <w:sz w:val="20"/>
          <w:szCs w:val="20"/>
          <w:color w:val="auto"/>
        </w:rPr>
        <w:t>You and the Company hereby expressly agree that the use of electronic media to indicate confrmaton, signature, acceptance, agreement, and delivery shall be legally valid and have the same legal force and efect as if you and the Company executed this Certfcate in paper form. In additon, you understand that this Award is discretonary, and that eligibility for an Award under the 2017 Plan is established at the tme Awards are made. Therefore, your receiving this Award does not mean that you are guaranteed an Award in the future.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alibri" w:cs="Calibri" w:eastAsia="Calibri" w:hAnsi="Calibri"/>
          <w:sz w:val="20"/>
          <w:szCs w:val="20"/>
          <w:color w:val="auto"/>
        </w:rPr>
        <w:t>_____________________________________</w:t>
      </w:r>
    </w:p>
    <w:p>
      <w:pPr>
        <w:spacing w:after="0" w:line="238" w:lineRule="auto"/>
        <w:rPr>
          <w:sz w:val="20"/>
          <w:szCs w:val="20"/>
          <w:color w:val="auto"/>
        </w:rPr>
      </w:pPr>
      <w:r>
        <w:rPr>
          <w:rFonts w:ascii="Calibri" w:cs="Calibri" w:eastAsia="Calibri" w:hAnsi="Calibri"/>
          <w:sz w:val="20"/>
          <w:szCs w:val="20"/>
          <w:color w:val="auto"/>
        </w:rPr>
        <w:t>Sean D. Keohane</w:t>
      </w:r>
    </w:p>
    <w:p>
      <w:pPr>
        <w:spacing w:after="0"/>
        <w:rPr>
          <w:sz w:val="20"/>
          <w:szCs w:val="20"/>
          <w:color w:val="auto"/>
        </w:rPr>
      </w:pPr>
      <w:r>
        <w:rPr>
          <w:rFonts w:ascii="Calibri" w:cs="Calibri" w:eastAsia="Calibri" w:hAnsi="Calibri"/>
          <w:sz w:val="20"/>
          <w:szCs w:val="20"/>
          <w:color w:val="auto"/>
        </w:rPr>
        <w:t>President &amp; Chief Executve Ofcer</w:t>
      </w:r>
    </w:p>
    <w:p>
      <w:pPr>
        <w:spacing w:after="0" w:line="200" w:lineRule="exact"/>
        <w:rPr>
          <w:sz w:val="20"/>
          <w:szCs w:val="20"/>
          <w:color w:val="auto"/>
        </w:rPr>
      </w:pPr>
    </w:p>
    <w:p>
      <w:pPr>
        <w:spacing w:after="0" w:line="285" w:lineRule="exact"/>
        <w:rPr>
          <w:sz w:val="20"/>
          <w:szCs w:val="20"/>
          <w:color w:val="auto"/>
        </w:rPr>
      </w:pPr>
    </w:p>
    <w:p>
      <w:pPr>
        <w:spacing w:after="0"/>
        <w:tabs>
          <w:tab w:leader="none" w:pos="3660" w:val="left"/>
        </w:tabs>
        <w:rPr>
          <w:sz w:val="20"/>
          <w:szCs w:val="20"/>
          <w:color w:val="auto"/>
        </w:rPr>
      </w:pPr>
      <w:r>
        <w:rPr>
          <w:rFonts w:ascii="Calibri" w:cs="Calibri" w:eastAsia="Calibri" w:hAnsi="Calibri"/>
          <w:sz w:val="20"/>
          <w:szCs w:val="20"/>
          <w:b w:val="1"/>
          <w:bCs w:val="1"/>
          <w:color w:val="0070C0"/>
        </w:rPr>
        <w:t>[Signed Electronically]</w:t>
      </w:r>
      <w:r>
        <w:rPr>
          <w:sz w:val="20"/>
          <w:szCs w:val="20"/>
          <w:color w:val="auto"/>
        </w:rPr>
        <w:tab/>
      </w:r>
      <w:r>
        <w:rPr>
          <w:rFonts w:ascii="Calibri" w:cs="Calibri" w:eastAsia="Calibri" w:hAnsi="Calibri"/>
          <w:sz w:val="19"/>
          <w:szCs w:val="19"/>
          <w:b w:val="1"/>
          <w:bCs w:val="1"/>
          <w:color w:val="0070C0"/>
        </w:rPr>
        <w:t>[Acceptance Date]</w:t>
      </w:r>
    </w:p>
    <w:p>
      <w:pPr>
        <w:spacing w:after="0" w:line="238" w:lineRule="auto"/>
        <w:tabs>
          <w:tab w:leader="none" w:pos="4020" w:val="left"/>
        </w:tabs>
        <w:rPr>
          <w:sz w:val="20"/>
          <w:szCs w:val="20"/>
          <w:color w:val="auto"/>
        </w:rPr>
      </w:pPr>
      <w:r>
        <w:rPr>
          <w:rFonts w:ascii="Calibri" w:cs="Calibri" w:eastAsia="Calibri" w:hAnsi="Calibri"/>
          <w:sz w:val="20"/>
          <w:szCs w:val="20"/>
          <w:color w:val="auto"/>
        </w:rPr>
        <w:t>_____________________________________</w:t>
      </w:r>
      <w:r>
        <w:rPr>
          <w:sz w:val="20"/>
          <w:szCs w:val="20"/>
          <w:color w:val="auto"/>
        </w:rPr>
        <w:tab/>
      </w:r>
      <w:r>
        <w:rPr>
          <w:rFonts w:ascii="Calibri" w:cs="Calibri" w:eastAsia="Calibri" w:hAnsi="Calibri"/>
          <w:sz w:val="20"/>
          <w:szCs w:val="20"/>
          <w:color w:val="auto"/>
        </w:rPr>
        <w:t>________________________________</w:t>
      </w:r>
    </w:p>
    <w:p>
      <w:pPr>
        <w:spacing w:after="0"/>
        <w:tabs>
          <w:tab w:leader="none" w:pos="1820" w:val="left"/>
        </w:tabs>
        <w:rPr>
          <w:sz w:val="20"/>
          <w:szCs w:val="20"/>
          <w:color w:val="auto"/>
        </w:rPr>
      </w:pPr>
      <w:r>
        <w:rPr>
          <w:rFonts w:ascii="Calibri" w:cs="Calibri" w:eastAsia="Calibri" w:hAnsi="Calibri"/>
          <w:sz w:val="20"/>
          <w:szCs w:val="20"/>
          <w:color w:val="auto"/>
        </w:rPr>
        <w:t>Electronic Signature</w:t>
        <w:tab/>
        <w:t>Acceptance Date</w:t>
      </w:r>
    </w:p>
    <w:p>
      <w:pPr>
        <w:jc w:val="center"/>
        <w:ind w:right="-19"/>
        <w:spacing w:after="0" w:line="238" w:lineRule="auto"/>
        <w:rPr>
          <w:sz w:val="20"/>
          <w:szCs w:val="20"/>
          <w:color w:val="auto"/>
        </w:rPr>
      </w:pPr>
      <w:r>
        <w:rPr>
          <w:rFonts w:ascii="Calibri" w:cs="Calibri" w:eastAsia="Calibri" w:hAnsi="Calibri"/>
          <w:sz w:val="20"/>
          <w:szCs w:val="20"/>
          <w:color w:val="auto"/>
        </w:rPr>
        <w:t>6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13" w:name="page114"/>
    <w:bookmarkEnd w:id="113"/>
    <w:p>
      <w:pPr>
        <w:jc w:val="right"/>
        <w:spacing w:after="0"/>
        <w:rPr>
          <w:sz w:val="20"/>
          <w:szCs w:val="20"/>
          <w:color w:val="auto"/>
        </w:rPr>
      </w:pPr>
      <w:r>
        <w:rPr>
          <w:rFonts w:ascii="Calibri" w:cs="Calibri" w:eastAsia="Calibri" w:hAnsi="Calibri"/>
          <w:sz w:val="20"/>
          <w:szCs w:val="20"/>
          <w:b w:val="1"/>
          <w:bCs w:val="1"/>
          <w:color w:val="auto"/>
        </w:rPr>
        <w:t>Exhibit 10(k)</w:t>
      </w: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CABOT CORPORATION</w:t>
      </w:r>
    </w:p>
    <w:p>
      <w:pPr>
        <w:jc w:val="center"/>
        <w:spacing w:after="0" w:line="238" w:lineRule="auto"/>
        <w:rPr>
          <w:sz w:val="20"/>
          <w:szCs w:val="20"/>
          <w:color w:val="auto"/>
        </w:rPr>
      </w:pPr>
      <w:r>
        <w:rPr>
          <w:rFonts w:ascii="Calibri" w:cs="Calibri" w:eastAsia="Calibri" w:hAnsi="Calibri"/>
          <w:sz w:val="20"/>
          <w:szCs w:val="20"/>
          <w:b w:val="1"/>
          <w:bCs w:val="1"/>
          <w:color w:val="auto"/>
        </w:rPr>
        <w:t>AMENDED AND RESTATED 2017 LONG-TERM INCENTIVE PLAN</w:t>
      </w: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Stock Opton Award Certfcate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4F81BD"/>
        </w:rPr>
        <w:t>[Partcipant Name]</w:t>
      </w:r>
    </w:p>
    <w:p>
      <w:pPr>
        <w:spacing w:after="0" w:line="252" w:lineRule="exact"/>
        <w:rPr>
          <w:sz w:val="20"/>
          <w:szCs w:val="20"/>
          <w:color w:val="auto"/>
        </w:rPr>
      </w:pPr>
    </w:p>
    <w:p>
      <w:pPr>
        <w:ind w:right="140"/>
        <w:spacing w:after="0" w:line="237" w:lineRule="auto"/>
        <w:rPr>
          <w:sz w:val="20"/>
          <w:szCs w:val="20"/>
          <w:color w:val="auto"/>
        </w:rPr>
      </w:pPr>
      <w:r>
        <w:rPr>
          <w:rFonts w:ascii="Calibri" w:cs="Calibri" w:eastAsia="Calibri" w:hAnsi="Calibri"/>
          <w:sz w:val="20"/>
          <w:szCs w:val="20"/>
          <w:color w:val="auto"/>
        </w:rPr>
        <w:t>This Certfcate evidences the grant to you by Cabot Corporaton (the “Company” or “Cabot”), subject to the terms provided herein and in the Amended and Restated 2017 Long-Term Incentve Plan (as amended from tme to tme, the “2017 Plan”), of stock optons to purchase the number of shares of common stock of Cabot set forth in the table below (such stock optons referred to as your “Award”). The principal terms of your Award are described below. Except as otherwise expressly provided, all capitalized terms used that are not defned herein shall have the same meaning as in the 2017 Plan.</w:t>
      </w:r>
    </w:p>
    <w:p>
      <w:pPr>
        <w:spacing w:after="0" w:line="257" w:lineRule="exact"/>
        <w:rPr>
          <w:sz w:val="20"/>
          <w:szCs w:val="20"/>
          <w:color w:val="auto"/>
        </w:rPr>
      </w:pPr>
    </w:p>
    <w:tbl>
      <w:tblPr>
        <w:tblLayout w:type="fixed"/>
        <w:tblInd w:w="130" w:type="dxa"/>
        <w:tblCellMar>
          <w:top w:w="0" w:type="dxa"/>
          <w:left w:w="0" w:type="dxa"/>
          <w:bottom w:w="0" w:type="dxa"/>
          <w:right w:w="0" w:type="dxa"/>
        </w:tblCellMar>
      </w:tblPr>
      <w:tr>
        <w:trPr>
          <w:trHeight w:val="40"/>
        </w:trPr>
        <w:tc>
          <w:tcPr>
            <w:tcW w:w="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6920" w:type="dxa"/>
            <w:vAlign w:val="bottom"/>
            <w:tcBorders>
              <w:top w:val="single" w:sz="8" w:color="auto"/>
              <w:bottom w:val="single" w:sz="8" w:color="auto"/>
              <w:right w:val="single" w:sz="8" w:color="auto"/>
            </w:tcBorders>
          </w:tcPr>
          <w:p>
            <w:pPr>
              <w:spacing w:after="0"/>
              <w:rPr>
                <w:sz w:val="3"/>
                <w:szCs w:val="3"/>
                <w:color w:val="auto"/>
              </w:rPr>
            </w:pPr>
          </w:p>
        </w:tc>
        <w:tc>
          <w:tcPr>
            <w:tcW w:w="4140" w:type="dxa"/>
            <w:vAlign w:val="bottom"/>
            <w:tcBorders>
              <w:top w:val="single" w:sz="8" w:color="auto"/>
              <w:bottom w:val="single" w:sz="8" w:color="auto"/>
              <w:right w:val="single" w:sz="8" w:color="auto"/>
            </w:tcBorders>
          </w:tcPr>
          <w:p>
            <w:pPr>
              <w:spacing w:after="0"/>
              <w:rPr>
                <w:sz w:val="3"/>
                <w:szCs w:val="3"/>
                <w:color w:val="auto"/>
              </w:rPr>
            </w:pPr>
          </w:p>
        </w:tc>
      </w:tr>
      <w:tr>
        <w:trPr>
          <w:trHeight w:val="285"/>
        </w:trPr>
        <w:tc>
          <w:tcPr>
            <w:tcW w:w="60" w:type="dxa"/>
            <w:vAlign w:val="bottom"/>
            <w:tcBorders>
              <w:left w:val="single" w:sz="8" w:color="auto"/>
              <w:right w:val="single" w:sz="8" w:color="auto"/>
            </w:tcBorders>
          </w:tcPr>
          <w:p>
            <w:pPr>
              <w:spacing w:after="0"/>
              <w:rPr>
                <w:sz w:val="24"/>
                <w:szCs w:val="24"/>
                <w:color w:val="auto"/>
              </w:rPr>
            </w:pPr>
          </w:p>
        </w:tc>
        <w:tc>
          <w:tcPr>
            <w:tcW w:w="6920" w:type="dxa"/>
            <w:vAlign w:val="bottom"/>
            <w:tcBorders>
              <w:right w:val="single" w:sz="8" w:color="auto"/>
            </w:tcBorders>
          </w:tcPr>
          <w:p>
            <w:pPr>
              <w:ind w:left="100"/>
              <w:spacing w:after="0"/>
              <w:rPr>
                <w:sz w:val="20"/>
                <w:szCs w:val="20"/>
                <w:color w:val="auto"/>
              </w:rPr>
            </w:pPr>
            <w:r>
              <w:rPr>
                <w:rFonts w:ascii="Calibri" w:cs="Calibri" w:eastAsia="Calibri" w:hAnsi="Calibri"/>
                <w:sz w:val="20"/>
                <w:szCs w:val="20"/>
                <w:color w:val="auto"/>
              </w:rPr>
              <w:t>Non-Qualifed Stock Opton</w:t>
            </w:r>
          </w:p>
        </w:tc>
        <w:tc>
          <w:tcPr>
            <w:tcW w:w="414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b w:val="1"/>
                <w:bCs w:val="1"/>
                <w:color w:val="4F81BD"/>
              </w:rPr>
              <w:t>[Number of Shares Granted]</w:t>
            </w:r>
          </w:p>
        </w:tc>
      </w:tr>
      <w:tr>
        <w:trPr>
          <w:trHeight w:val="100"/>
        </w:trPr>
        <w:tc>
          <w:tcPr>
            <w:tcW w:w="60" w:type="dxa"/>
            <w:vAlign w:val="bottom"/>
            <w:tcBorders>
              <w:left w:val="single" w:sz="8" w:color="auto"/>
              <w:bottom w:val="single" w:sz="8" w:color="auto"/>
              <w:right w:val="single" w:sz="8" w:color="auto"/>
            </w:tcBorders>
          </w:tcPr>
          <w:p>
            <w:pPr>
              <w:spacing w:after="0"/>
              <w:rPr>
                <w:sz w:val="8"/>
                <w:szCs w:val="8"/>
                <w:color w:val="auto"/>
              </w:rPr>
            </w:pPr>
          </w:p>
        </w:tc>
        <w:tc>
          <w:tcPr>
            <w:tcW w:w="6920" w:type="dxa"/>
            <w:vAlign w:val="bottom"/>
            <w:tcBorders>
              <w:bottom w:val="single" w:sz="8" w:color="auto"/>
              <w:right w:val="single" w:sz="8" w:color="auto"/>
            </w:tcBorders>
          </w:tcPr>
          <w:p>
            <w:pPr>
              <w:spacing w:after="0"/>
              <w:rPr>
                <w:sz w:val="8"/>
                <w:szCs w:val="8"/>
                <w:color w:val="auto"/>
              </w:rPr>
            </w:pPr>
          </w:p>
        </w:tc>
        <w:tc>
          <w:tcPr>
            <w:tcW w:w="4140" w:type="dxa"/>
            <w:vAlign w:val="bottom"/>
            <w:tcBorders>
              <w:bottom w:val="single" w:sz="8" w:color="auto"/>
              <w:right w:val="single" w:sz="8" w:color="auto"/>
            </w:tcBorders>
          </w:tcPr>
          <w:p>
            <w:pPr>
              <w:spacing w:after="0"/>
              <w:rPr>
                <w:sz w:val="8"/>
                <w:szCs w:val="8"/>
                <w:color w:val="auto"/>
              </w:rPr>
            </w:pPr>
          </w:p>
        </w:tc>
      </w:tr>
      <w:tr>
        <w:trPr>
          <w:trHeight w:val="298"/>
        </w:trPr>
        <w:tc>
          <w:tcPr>
            <w:tcW w:w="60" w:type="dxa"/>
            <w:vAlign w:val="bottom"/>
            <w:tcBorders>
              <w:left w:val="single" w:sz="8" w:color="auto"/>
              <w:right w:val="single" w:sz="8" w:color="auto"/>
            </w:tcBorders>
          </w:tcPr>
          <w:p>
            <w:pPr>
              <w:spacing w:after="0"/>
              <w:rPr>
                <w:sz w:val="24"/>
                <w:szCs w:val="24"/>
                <w:color w:val="auto"/>
              </w:rPr>
            </w:pPr>
          </w:p>
        </w:tc>
        <w:tc>
          <w:tcPr>
            <w:tcW w:w="6920" w:type="dxa"/>
            <w:vAlign w:val="bottom"/>
            <w:tcBorders>
              <w:right w:val="single" w:sz="8" w:color="auto"/>
            </w:tcBorders>
          </w:tcPr>
          <w:p>
            <w:pPr>
              <w:ind w:left="100"/>
              <w:spacing w:after="0"/>
              <w:rPr>
                <w:sz w:val="20"/>
                <w:szCs w:val="20"/>
                <w:color w:val="auto"/>
              </w:rPr>
            </w:pPr>
            <w:r>
              <w:rPr>
                <w:rFonts w:ascii="Calibri" w:cs="Calibri" w:eastAsia="Calibri" w:hAnsi="Calibri"/>
                <w:sz w:val="20"/>
                <w:szCs w:val="20"/>
                <w:color w:val="auto"/>
              </w:rPr>
              <w:t>Grant Date</w:t>
            </w:r>
          </w:p>
        </w:tc>
        <w:tc>
          <w:tcPr>
            <w:tcW w:w="414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b w:val="1"/>
                <w:bCs w:val="1"/>
                <w:color w:val="4F81BD"/>
              </w:rPr>
              <w:t>[Grant Date]</w:t>
            </w:r>
          </w:p>
        </w:tc>
      </w:tr>
      <w:tr>
        <w:trPr>
          <w:trHeight w:val="101"/>
        </w:trPr>
        <w:tc>
          <w:tcPr>
            <w:tcW w:w="60" w:type="dxa"/>
            <w:vAlign w:val="bottom"/>
            <w:tcBorders>
              <w:left w:val="single" w:sz="8" w:color="auto"/>
              <w:bottom w:val="single" w:sz="8" w:color="auto"/>
              <w:right w:val="single" w:sz="8" w:color="auto"/>
            </w:tcBorders>
          </w:tcPr>
          <w:p>
            <w:pPr>
              <w:spacing w:after="0"/>
              <w:rPr>
                <w:sz w:val="8"/>
                <w:szCs w:val="8"/>
                <w:color w:val="auto"/>
              </w:rPr>
            </w:pPr>
          </w:p>
        </w:tc>
        <w:tc>
          <w:tcPr>
            <w:tcW w:w="6920" w:type="dxa"/>
            <w:vAlign w:val="bottom"/>
            <w:tcBorders>
              <w:bottom w:val="single" w:sz="8" w:color="auto"/>
              <w:right w:val="single" w:sz="8" w:color="auto"/>
            </w:tcBorders>
          </w:tcPr>
          <w:p>
            <w:pPr>
              <w:spacing w:after="0"/>
              <w:rPr>
                <w:sz w:val="8"/>
                <w:szCs w:val="8"/>
                <w:color w:val="auto"/>
              </w:rPr>
            </w:pPr>
          </w:p>
        </w:tc>
        <w:tc>
          <w:tcPr>
            <w:tcW w:w="4140" w:type="dxa"/>
            <w:vAlign w:val="bottom"/>
            <w:tcBorders>
              <w:bottom w:val="single" w:sz="8" w:color="auto"/>
              <w:right w:val="single" w:sz="8" w:color="auto"/>
            </w:tcBorders>
          </w:tcPr>
          <w:p>
            <w:pPr>
              <w:spacing w:after="0"/>
              <w:rPr>
                <w:sz w:val="8"/>
                <w:szCs w:val="8"/>
                <w:color w:val="auto"/>
              </w:rPr>
            </w:pPr>
          </w:p>
        </w:tc>
      </w:tr>
      <w:tr>
        <w:trPr>
          <w:trHeight w:val="298"/>
        </w:trPr>
        <w:tc>
          <w:tcPr>
            <w:tcW w:w="60" w:type="dxa"/>
            <w:vAlign w:val="bottom"/>
            <w:tcBorders>
              <w:left w:val="single" w:sz="8" w:color="auto"/>
              <w:right w:val="single" w:sz="8" w:color="auto"/>
            </w:tcBorders>
          </w:tcPr>
          <w:p>
            <w:pPr>
              <w:spacing w:after="0"/>
              <w:rPr>
                <w:sz w:val="24"/>
                <w:szCs w:val="24"/>
                <w:color w:val="auto"/>
              </w:rPr>
            </w:pPr>
          </w:p>
        </w:tc>
        <w:tc>
          <w:tcPr>
            <w:tcW w:w="6920" w:type="dxa"/>
            <w:vAlign w:val="bottom"/>
            <w:tcBorders>
              <w:right w:val="single" w:sz="8" w:color="auto"/>
            </w:tcBorders>
          </w:tcPr>
          <w:p>
            <w:pPr>
              <w:ind w:left="100"/>
              <w:spacing w:after="0"/>
              <w:rPr>
                <w:sz w:val="20"/>
                <w:szCs w:val="20"/>
                <w:color w:val="auto"/>
              </w:rPr>
            </w:pPr>
            <w:r>
              <w:rPr>
                <w:rFonts w:ascii="Calibri" w:cs="Calibri" w:eastAsia="Calibri" w:hAnsi="Calibri"/>
                <w:sz w:val="20"/>
                <w:szCs w:val="20"/>
                <w:color w:val="auto"/>
              </w:rPr>
              <w:t>Exercise Price (Per Share)</w:t>
            </w:r>
          </w:p>
        </w:tc>
        <w:tc>
          <w:tcPr>
            <w:tcW w:w="414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b w:val="1"/>
                <w:bCs w:val="1"/>
                <w:color w:val="4F81BD"/>
                <w:w w:val="99"/>
              </w:rPr>
              <w:t>[Grant price]</w:t>
            </w:r>
          </w:p>
        </w:tc>
      </w:tr>
      <w:tr>
        <w:trPr>
          <w:trHeight w:val="100"/>
        </w:trPr>
        <w:tc>
          <w:tcPr>
            <w:tcW w:w="60" w:type="dxa"/>
            <w:vAlign w:val="bottom"/>
            <w:tcBorders>
              <w:left w:val="single" w:sz="8" w:color="auto"/>
              <w:bottom w:val="single" w:sz="8" w:color="auto"/>
              <w:right w:val="single" w:sz="8" w:color="auto"/>
            </w:tcBorders>
          </w:tcPr>
          <w:p>
            <w:pPr>
              <w:spacing w:after="0"/>
              <w:rPr>
                <w:sz w:val="8"/>
                <w:szCs w:val="8"/>
                <w:color w:val="auto"/>
              </w:rPr>
            </w:pPr>
          </w:p>
        </w:tc>
        <w:tc>
          <w:tcPr>
            <w:tcW w:w="6920" w:type="dxa"/>
            <w:vAlign w:val="bottom"/>
            <w:tcBorders>
              <w:bottom w:val="single" w:sz="8" w:color="auto"/>
              <w:right w:val="single" w:sz="8" w:color="auto"/>
            </w:tcBorders>
          </w:tcPr>
          <w:p>
            <w:pPr>
              <w:spacing w:after="0"/>
              <w:rPr>
                <w:sz w:val="8"/>
                <w:szCs w:val="8"/>
                <w:color w:val="auto"/>
              </w:rPr>
            </w:pPr>
          </w:p>
        </w:tc>
        <w:tc>
          <w:tcPr>
            <w:tcW w:w="4140" w:type="dxa"/>
            <w:vAlign w:val="bottom"/>
            <w:tcBorders>
              <w:bottom w:val="single" w:sz="8" w:color="auto"/>
              <w:right w:val="single" w:sz="8" w:color="auto"/>
            </w:tcBorders>
          </w:tcPr>
          <w:p>
            <w:pPr>
              <w:spacing w:after="0"/>
              <w:rPr>
                <w:sz w:val="8"/>
                <w:szCs w:val="8"/>
                <w:color w:val="auto"/>
              </w:rPr>
            </w:pPr>
          </w:p>
        </w:tc>
      </w:tr>
      <w:tr>
        <w:trPr>
          <w:trHeight w:val="298"/>
        </w:trPr>
        <w:tc>
          <w:tcPr>
            <w:tcW w:w="60" w:type="dxa"/>
            <w:vAlign w:val="bottom"/>
            <w:tcBorders>
              <w:left w:val="single" w:sz="8" w:color="auto"/>
              <w:right w:val="single" w:sz="8" w:color="auto"/>
            </w:tcBorders>
          </w:tcPr>
          <w:p>
            <w:pPr>
              <w:spacing w:after="0"/>
              <w:rPr>
                <w:sz w:val="24"/>
                <w:szCs w:val="24"/>
                <w:color w:val="auto"/>
              </w:rPr>
            </w:pPr>
          </w:p>
        </w:tc>
        <w:tc>
          <w:tcPr>
            <w:tcW w:w="6920" w:type="dxa"/>
            <w:vAlign w:val="bottom"/>
            <w:tcBorders>
              <w:right w:val="single" w:sz="8" w:color="auto"/>
            </w:tcBorders>
          </w:tcPr>
          <w:p>
            <w:pPr>
              <w:ind w:left="100"/>
              <w:spacing w:after="0"/>
              <w:rPr>
                <w:sz w:val="20"/>
                <w:szCs w:val="20"/>
                <w:color w:val="auto"/>
              </w:rPr>
            </w:pPr>
            <w:r>
              <w:rPr>
                <w:rFonts w:ascii="Calibri" w:cs="Calibri" w:eastAsia="Calibri" w:hAnsi="Calibri"/>
                <w:sz w:val="20"/>
                <w:szCs w:val="20"/>
                <w:color w:val="auto"/>
              </w:rPr>
              <w:t>Expiraton Date</w:t>
            </w:r>
          </w:p>
        </w:tc>
        <w:tc>
          <w:tcPr>
            <w:tcW w:w="4140" w:type="dxa"/>
            <w:vAlign w:val="bottom"/>
            <w:tcBorders>
              <w:right w:val="single" w:sz="8" w:color="auto"/>
            </w:tcBorders>
          </w:tcPr>
          <w:p>
            <w:pPr>
              <w:jc w:val="center"/>
              <w:spacing w:after="0"/>
              <w:rPr>
                <w:sz w:val="20"/>
                <w:szCs w:val="20"/>
                <w:color w:val="auto"/>
              </w:rPr>
            </w:pPr>
            <w:r>
              <w:rPr>
                <w:rFonts w:ascii="Calibri" w:cs="Calibri" w:eastAsia="Calibri" w:hAnsi="Calibri"/>
                <w:sz w:val="20"/>
                <w:szCs w:val="20"/>
                <w:b w:val="1"/>
                <w:bCs w:val="1"/>
                <w:color w:val="4F81BD"/>
              </w:rPr>
              <w:t>[Expiraton date]</w:t>
            </w:r>
          </w:p>
        </w:tc>
      </w:tr>
      <w:tr>
        <w:trPr>
          <w:trHeight w:val="100"/>
        </w:trPr>
        <w:tc>
          <w:tcPr>
            <w:tcW w:w="60" w:type="dxa"/>
            <w:vAlign w:val="bottom"/>
            <w:tcBorders>
              <w:left w:val="single" w:sz="8" w:color="auto"/>
              <w:bottom w:val="single" w:sz="8" w:color="auto"/>
              <w:right w:val="single" w:sz="8" w:color="auto"/>
            </w:tcBorders>
          </w:tcPr>
          <w:p>
            <w:pPr>
              <w:spacing w:after="0"/>
              <w:rPr>
                <w:sz w:val="8"/>
                <w:szCs w:val="8"/>
                <w:color w:val="auto"/>
              </w:rPr>
            </w:pPr>
          </w:p>
        </w:tc>
        <w:tc>
          <w:tcPr>
            <w:tcW w:w="6920" w:type="dxa"/>
            <w:vAlign w:val="bottom"/>
            <w:tcBorders>
              <w:bottom w:val="single" w:sz="8" w:color="auto"/>
              <w:right w:val="single" w:sz="8" w:color="auto"/>
            </w:tcBorders>
          </w:tcPr>
          <w:p>
            <w:pPr>
              <w:spacing w:after="0"/>
              <w:rPr>
                <w:sz w:val="8"/>
                <w:szCs w:val="8"/>
                <w:color w:val="auto"/>
              </w:rPr>
            </w:pPr>
          </w:p>
        </w:tc>
        <w:tc>
          <w:tcPr>
            <w:tcW w:w="4140" w:type="dxa"/>
            <w:vAlign w:val="bottom"/>
            <w:tcBorders>
              <w:bottom w:val="single" w:sz="8" w:color="auto"/>
              <w:right w:val="single" w:sz="8" w:color="auto"/>
            </w:tcBorders>
          </w:tcPr>
          <w:p>
            <w:pPr>
              <w:spacing w:after="0"/>
              <w:rPr>
                <w:sz w:val="8"/>
                <w:szCs w:val="8"/>
                <w:color w:val="auto"/>
              </w:rPr>
            </w:pP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92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right="20"/>
        <w:spacing w:after="0" w:line="236" w:lineRule="auto"/>
        <w:rPr>
          <w:sz w:val="20"/>
          <w:szCs w:val="20"/>
          <w:color w:val="auto"/>
        </w:rPr>
      </w:pPr>
      <w:r>
        <w:rPr>
          <w:rFonts w:ascii="Calibri" w:cs="Calibri" w:eastAsia="Calibri" w:hAnsi="Calibri"/>
          <w:sz w:val="20"/>
          <w:szCs w:val="20"/>
          <w:b w:val="1"/>
          <w:bCs w:val="1"/>
          <w:color w:val="auto"/>
        </w:rPr>
        <w:t>General Terms of your Stock Opton</w:t>
      </w:r>
      <w:r>
        <w:rPr>
          <w:rFonts w:ascii="Calibri" w:cs="Calibri" w:eastAsia="Calibri" w:hAnsi="Calibri"/>
          <w:sz w:val="20"/>
          <w:szCs w:val="20"/>
          <w:color w:val="auto"/>
        </w:rPr>
        <w:t>. Your stock opton gives you the right to purchase shares of Stock at the per share exercise price set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forth in the table above, subject to the vestng provisions set forth below. This stock opton is not intended to consttute an incentve stock opton under Secton 422 of the Code.</w:t>
      </w:r>
    </w:p>
    <w:p>
      <w:pPr>
        <w:spacing w:after="0" w:line="252" w:lineRule="exact"/>
        <w:rPr>
          <w:sz w:val="20"/>
          <w:szCs w:val="20"/>
          <w:color w:val="auto"/>
        </w:rPr>
      </w:pPr>
    </w:p>
    <w:p>
      <w:pPr>
        <w:ind w:right="20"/>
        <w:spacing w:after="0" w:line="238" w:lineRule="auto"/>
        <w:rPr>
          <w:sz w:val="20"/>
          <w:szCs w:val="20"/>
          <w:color w:val="auto"/>
        </w:rPr>
      </w:pPr>
      <w:r>
        <w:rPr>
          <w:rFonts w:ascii="Calibri" w:cs="Calibri" w:eastAsia="Calibri" w:hAnsi="Calibri"/>
          <w:sz w:val="20"/>
          <w:szCs w:val="20"/>
          <w:b w:val="1"/>
          <w:bCs w:val="1"/>
          <w:color w:val="auto"/>
        </w:rPr>
        <w:t xml:space="preserve">Vestng and Exercisability of your Stock Optons. </w:t>
      </w:r>
      <w:r>
        <w:rPr>
          <w:rFonts w:ascii="Calibri" w:cs="Calibri" w:eastAsia="Calibri" w:hAnsi="Calibri"/>
          <w:sz w:val="20"/>
          <w:szCs w:val="20"/>
          <w:color w:val="auto"/>
        </w:rPr>
        <w:t>No shares of Stock may be purchased under your Award and none of the stock optons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subject to your Award may be exercised untl the stock optons have vested as provided herein. Subject to your contnuing Employment through each applicable vestng date, your Award shall vest as follows: 30% of the stock optons subject to your Award will vest and become exercisable on the frst anniversary of the grant date, 30% of the stock optons subject to your Award will vest and become exercisable on the second anniversary of the grant date, and 40% of the stock optons subject to your Award will vest and become exercisable on the third anniversary of the grant date. Afer your stock opton vests, unless it is earlier terminated or forfeited as provided below, it is generally exercisable, in whole or in part, at any tme prior to its expiraton date. Your stock opton has a ten-year term. The conditons under which your award may be terminated or forfeited are explained below. For purposes of this Certfcate, “Employment” means only your employment relatonship with the Company and its Afliates and shall not include any other service relatonship with the Company and its Afliates. The exercise of your stock optons may involve the sale of Stock, and accordingly, </w:t>
      </w:r>
      <w:r>
        <w:rPr>
          <w:rFonts w:ascii="Calibri" w:cs="Calibri" w:eastAsia="Calibri" w:hAnsi="Calibri"/>
          <w:sz w:val="20"/>
          <w:szCs w:val="20"/>
          <w:b w:val="1"/>
          <w:bCs w:val="1"/>
          <w:color w:val="auto"/>
        </w:rPr>
        <w:t>there</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may be limitatons on when you can exercise your stock optons under Cabot’s Policy on Transactons in Securites, a copy of which is being provided to you with the Prospectus for the 2017 Plan.</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Circumstances that will lead to the terminaton or forfeiture of your stock optons before the scheduled expiraton date. </w:t>
      </w:r>
      <w:r>
        <w:rPr>
          <w:rFonts w:ascii="Calibri" w:cs="Calibri" w:eastAsia="Calibri" w:hAnsi="Calibri"/>
          <w:sz w:val="20"/>
          <w:szCs w:val="20"/>
          <w:color w:val="auto"/>
        </w:rPr>
        <w:t>If your</w:t>
      </w:r>
    </w:p>
    <w:p>
      <w:pPr>
        <w:spacing w:after="0" w:line="238" w:lineRule="auto"/>
        <w:rPr>
          <w:sz w:val="20"/>
          <w:szCs w:val="20"/>
          <w:color w:val="auto"/>
        </w:rPr>
      </w:pPr>
      <w:r>
        <w:rPr>
          <w:rFonts w:ascii="Calibri" w:cs="Calibri" w:eastAsia="Calibri" w:hAnsi="Calibri"/>
          <w:sz w:val="20"/>
          <w:szCs w:val="20"/>
          <w:color w:val="auto"/>
        </w:rPr>
        <w:t>Employment ends, the following rules will apply: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139794186_3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14" w:name="page115"/>
    <w:bookmarkEnd w:id="114"/>
    <w:p>
      <w:pPr>
        <w:ind w:left="820" w:right="20" w:hanging="377"/>
        <w:spacing w:after="0" w:line="237" w:lineRule="auto"/>
        <w:tabs>
          <w:tab w:leader="none" w:pos="820" w:val="left"/>
        </w:tabs>
        <w:numPr>
          <w:ilvl w:val="0"/>
          <w:numId w:val="58"/>
        </w:numPr>
        <w:rPr>
          <w:rFonts w:ascii="Times New Roman" w:cs="Times New Roman" w:eastAsia="Times New Roman" w:hAnsi="Times New Roman"/>
          <w:sz w:val="20"/>
          <w:szCs w:val="20"/>
          <w:color w:val="auto"/>
        </w:rPr>
      </w:pPr>
      <w:r>
        <w:rPr>
          <w:rFonts w:ascii="Calibri" w:cs="Calibri" w:eastAsia="Calibri" w:hAnsi="Calibri"/>
          <w:sz w:val="20"/>
          <w:szCs w:val="20"/>
          <w:color w:val="auto"/>
        </w:rPr>
        <w:t>Except as set forth below, all stock optons subject to your Award that are unvested immediately prior to the cessaton of your Employment for any reason will automatcally be forfeited immediately upon the cessaton of your Employment. Except as set forth below, all stock optons subject to your Award that are vested and outstanding immediately prior to the cessaton of your Employment will remain exercisable untl the earlier of (i) three months afer the date on which your Employment ends or (ii) the stated expiraton date, and shall thereafer automatcally terminate to the extent not exercised.</w:t>
      </w:r>
    </w:p>
    <w:p>
      <w:pPr>
        <w:spacing w:after="0" w:line="23" w:lineRule="exact"/>
        <w:rPr>
          <w:rFonts w:ascii="Times New Roman" w:cs="Times New Roman" w:eastAsia="Times New Roman" w:hAnsi="Times New Roman"/>
          <w:sz w:val="20"/>
          <w:szCs w:val="20"/>
          <w:color w:val="auto"/>
        </w:rPr>
      </w:pPr>
    </w:p>
    <w:p>
      <w:pPr>
        <w:ind w:left="820" w:right="40" w:hanging="377"/>
        <w:spacing w:after="0" w:line="237" w:lineRule="auto"/>
        <w:tabs>
          <w:tab w:leader="none" w:pos="820" w:val="left"/>
        </w:tabs>
        <w:numPr>
          <w:ilvl w:val="0"/>
          <w:numId w:val="58"/>
        </w:numPr>
        <w:rPr>
          <w:rFonts w:ascii="Times New Roman" w:cs="Times New Roman" w:eastAsia="Times New Roman" w:hAnsi="Times New Roman"/>
          <w:sz w:val="20"/>
          <w:szCs w:val="20"/>
          <w:color w:val="auto"/>
        </w:rPr>
      </w:pPr>
      <w:r>
        <w:rPr>
          <w:rFonts w:ascii="Calibri" w:cs="Calibri" w:eastAsia="Calibri" w:hAnsi="Calibri"/>
          <w:sz w:val="20"/>
          <w:szCs w:val="20"/>
          <w:color w:val="auto"/>
        </w:rPr>
        <w:t>If your Employment ceases because of your death or Disability [(including, for the avoidance of doubt, in the event of your death or Disability occurring afer you have given the Company notce of your intent to retre but prior to your actual cessaton of Employment as a result of your Retrement)], all stock optons subject to your Award that are not vested and that are outstanding immediately prior to your cessaton of Employment will become fully vested and exercisable and will remain exercisable untl the earlier of (i) three years following the date on which your Employment ends, or (ii) the stated expiraton date, and shall thereafer automatcally terminate to the extent not exercised.</w:t>
      </w:r>
    </w:p>
    <w:p>
      <w:pPr>
        <w:spacing w:after="0" w:line="25" w:lineRule="exact"/>
        <w:rPr>
          <w:rFonts w:ascii="Times New Roman" w:cs="Times New Roman" w:eastAsia="Times New Roman" w:hAnsi="Times New Roman"/>
          <w:sz w:val="20"/>
          <w:szCs w:val="20"/>
          <w:color w:val="auto"/>
        </w:rPr>
      </w:pPr>
    </w:p>
    <w:p>
      <w:pPr>
        <w:ind w:left="820" w:hanging="377"/>
        <w:spacing w:after="0" w:line="237" w:lineRule="auto"/>
        <w:tabs>
          <w:tab w:leader="none" w:pos="820" w:val="left"/>
        </w:tabs>
        <w:numPr>
          <w:ilvl w:val="0"/>
          <w:numId w:val="58"/>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the event that your Employment is terminated by Cabot or its successor or any of their respectve subsidiaries other than for Cause or you resign for Good Reason, in each case, within two years following a Change in Control, all stock optons subject to your Award that are not vested and that are outstanding immediately prior to such terminaton of Employment will become fully vested and exercisable and will remain exercisable untl the earlier of (i) three months following the date on which your Employment ends or (ii) the stated expiraton date, and shall thereafer automatcally terminate to the extent not exercised.</w:t>
      </w:r>
    </w:p>
    <w:p>
      <w:pPr>
        <w:spacing w:after="0" w:line="23" w:lineRule="exact"/>
        <w:rPr>
          <w:rFonts w:ascii="Times New Roman" w:cs="Times New Roman" w:eastAsia="Times New Roman" w:hAnsi="Times New Roman"/>
          <w:sz w:val="20"/>
          <w:szCs w:val="20"/>
          <w:color w:val="auto"/>
        </w:rPr>
      </w:pPr>
    </w:p>
    <w:p>
      <w:pPr>
        <w:ind w:left="820" w:right="60" w:hanging="377"/>
        <w:spacing w:after="0" w:line="237" w:lineRule="auto"/>
        <w:tabs>
          <w:tab w:leader="none" w:pos="820" w:val="left"/>
        </w:tabs>
        <w:numPr>
          <w:ilvl w:val="0"/>
          <w:numId w:val="58"/>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the event that your Employment ceases as a result of your Retrement, those stock optons subject to your Award that are not vested and that would otherwise have vested at the end of the fscal year in which your Retrement occurs shall vest on a pro rata basis based on the number of full months during such fscal year that you have remained in Employment. In additon, all vested and unexercised stock optons subject to your Award, including those stock optons that vest in accordance with the terms of the immediately preceding sentence, shall remain exercisable untl the earlier of (i) three years following the date on which your Employment ends as a result of your Retrement or (ii) the stated expiraton date, and shall thereafer automatcally terminate to the extent not exercised.</w:t>
      </w:r>
    </w:p>
    <w:p>
      <w:pPr>
        <w:spacing w:after="0" w:line="26" w:lineRule="exact"/>
        <w:rPr>
          <w:rFonts w:ascii="Times New Roman" w:cs="Times New Roman" w:eastAsia="Times New Roman" w:hAnsi="Times New Roman"/>
          <w:sz w:val="20"/>
          <w:szCs w:val="20"/>
          <w:color w:val="auto"/>
        </w:rPr>
      </w:pPr>
    </w:p>
    <w:p>
      <w:pPr>
        <w:ind w:left="820" w:right="40" w:hanging="377"/>
        <w:spacing w:after="0" w:line="236" w:lineRule="auto"/>
        <w:tabs>
          <w:tab w:leader="none" w:pos="820" w:val="left"/>
        </w:tabs>
        <w:numPr>
          <w:ilvl w:val="0"/>
          <w:numId w:val="58"/>
        </w:numPr>
        <w:rPr>
          <w:rFonts w:ascii="Times New Roman" w:cs="Times New Roman" w:eastAsia="Times New Roman" w:hAnsi="Times New Roman"/>
          <w:sz w:val="20"/>
          <w:szCs w:val="20"/>
          <w:color w:val="auto"/>
        </w:rPr>
      </w:pPr>
      <w:r>
        <w:rPr>
          <w:rFonts w:ascii="Calibri" w:cs="Calibri" w:eastAsia="Calibri" w:hAnsi="Calibri"/>
          <w:sz w:val="20"/>
          <w:szCs w:val="20"/>
          <w:color w:val="auto"/>
        </w:rPr>
        <w:t>Notwithstanding anything to the contrary, if your Employment is terminated for Cause or is terminated under circumstances that in the sole discreton of the Administrator would have consttuted grounds for your Employment to have been terminated for Cause, all of the stock optons subject to your Award (whether vested or unvested) will automatcally be forfeited immediately upon such terminaton of Employment.</w:t>
      </w:r>
    </w:p>
    <w:p>
      <w:pPr>
        <w:spacing w:after="0" w:line="255"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b w:val="1"/>
          <w:bCs w:val="1"/>
          <w:color w:val="auto"/>
        </w:rPr>
        <w:t xml:space="preserve">Exercising your Stock Optons. </w:t>
      </w:r>
      <w:r>
        <w:rPr>
          <w:rFonts w:ascii="Calibri" w:cs="Calibri" w:eastAsia="Calibri" w:hAnsi="Calibri"/>
          <w:sz w:val="20"/>
          <w:szCs w:val="20"/>
          <w:color w:val="auto"/>
        </w:rPr>
        <w:t>You may exercise your Award by delivering to the Company’s designated broker for stock opton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exercises (or to the Company in the event the Company does not have a designated broker for stock opton exercises) a notce of exercise, in the form provided, with payment of the exercise price and any withholding taxes due upon exercise. The date the Company’s designated broker (or the Company in the event the Company does not have a designated broker for stock opton exercises) receives your notce of exercise will be the exercise date. You may also choose to exercise your stock optons in a cashless exercise through the Company’s designated broker. A cashless exercise involves a sale of Cabot stock in the market, with the proceeds applied to the stock opton exercise price and any withholding taxes due. In a cashless exercise transacton, the exercise will be deemed to have occurred when the shares are sold by the broker.</w:t>
      </w:r>
    </w:p>
    <w:p>
      <w:pPr>
        <w:spacing w:after="0" w:line="22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 of 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139794186_3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2" w:right="359" w:bottom="1440" w:gutter="0" w:footer="0" w:header="0"/>
        </w:sectPr>
      </w:pPr>
    </w:p>
    <w:bookmarkStart w:id="115" w:name="page116"/>
    <w:bookmarkEnd w:id="115"/>
    <w:p>
      <w:pPr>
        <w:ind w:right="300"/>
        <w:spacing w:after="0" w:line="234" w:lineRule="auto"/>
        <w:rPr>
          <w:sz w:val="20"/>
          <w:szCs w:val="20"/>
          <w:color w:val="auto"/>
        </w:rPr>
      </w:pPr>
      <w:r>
        <w:rPr>
          <w:rFonts w:ascii="Calibri" w:cs="Calibri" w:eastAsia="Calibri" w:hAnsi="Calibri"/>
          <w:sz w:val="20"/>
          <w:szCs w:val="20"/>
          <w:b w:val="1"/>
          <w:bCs w:val="1"/>
          <w:color w:val="auto"/>
        </w:rPr>
        <w:t xml:space="preserve">Payment of the Exercise Price. </w:t>
      </w:r>
      <w:r>
        <w:rPr>
          <w:rFonts w:ascii="Calibri" w:cs="Calibri" w:eastAsia="Calibri" w:hAnsi="Calibri"/>
          <w:sz w:val="20"/>
          <w:szCs w:val="20"/>
          <w:color w:val="auto"/>
        </w:rPr>
        <w:t>You may pay for the shares you are purchasing upon the exercise of your stock opton in the following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ways:</w:t>
      </w:r>
    </w:p>
    <w:p>
      <w:pPr>
        <w:spacing w:after="0" w:line="266" w:lineRule="exact"/>
        <w:rPr>
          <w:sz w:val="20"/>
          <w:szCs w:val="20"/>
          <w:color w:val="auto"/>
        </w:rPr>
      </w:pPr>
    </w:p>
    <w:p>
      <w:pPr>
        <w:ind w:left="820" w:right="80" w:hanging="377"/>
        <w:spacing w:after="0" w:line="236" w:lineRule="auto"/>
        <w:tabs>
          <w:tab w:leader="none" w:pos="820" w:val="left"/>
        </w:tabs>
        <w:numPr>
          <w:ilvl w:val="0"/>
          <w:numId w:val="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cash, by depositng funds into your account at the Company’s designated broker prior to the exercise (or to the Company by wire transfer, certfed check or bank cashier’s check payable to the Company in the event the Company does not have a designated broker for stock optons exercises);</w:t>
      </w:r>
    </w:p>
    <w:p>
      <w:pPr>
        <w:spacing w:after="0" w:line="22" w:lineRule="exact"/>
        <w:rPr>
          <w:rFonts w:ascii="Times New Roman" w:cs="Times New Roman" w:eastAsia="Times New Roman" w:hAnsi="Times New Roman"/>
          <w:sz w:val="20"/>
          <w:szCs w:val="20"/>
          <w:color w:val="auto"/>
        </w:rPr>
      </w:pPr>
    </w:p>
    <w:p>
      <w:pPr>
        <w:ind w:left="820" w:right="120" w:hanging="377"/>
        <w:spacing w:after="0" w:line="234" w:lineRule="auto"/>
        <w:tabs>
          <w:tab w:leader="none" w:pos="820" w:val="left"/>
        </w:tabs>
        <w:numPr>
          <w:ilvl w:val="0"/>
          <w:numId w:val="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by cashless exercise through the Company’s designated broker for stock opton exercises, which shall account for, and include, any required tax withholding;</w:t>
      </w:r>
    </w:p>
    <w:p>
      <w:pPr>
        <w:spacing w:after="0" w:line="23" w:lineRule="exact"/>
        <w:rPr>
          <w:rFonts w:ascii="Times New Roman" w:cs="Times New Roman" w:eastAsia="Times New Roman" w:hAnsi="Times New Roman"/>
          <w:sz w:val="20"/>
          <w:szCs w:val="20"/>
          <w:color w:val="auto"/>
        </w:rPr>
      </w:pPr>
    </w:p>
    <w:p>
      <w:pPr>
        <w:ind w:left="820" w:right="60" w:hanging="377"/>
        <w:spacing w:after="0" w:line="236" w:lineRule="auto"/>
        <w:tabs>
          <w:tab w:leader="none" w:pos="820" w:val="left"/>
        </w:tabs>
        <w:numPr>
          <w:ilvl w:val="0"/>
          <w:numId w:val="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by withholding Stock from the total number of shares of Stock acquired upon exercise of your stock optons having a fair market value, on the exercise date, equal to the aggregate exercise price of the stock optons being exercised and any required tax withholding; or</w:t>
      </w:r>
    </w:p>
    <w:p>
      <w:pPr>
        <w:spacing w:after="0" w:line="12" w:lineRule="exact"/>
        <w:rPr>
          <w:rFonts w:ascii="Times New Roman" w:cs="Times New Roman" w:eastAsia="Times New Roman" w:hAnsi="Times New Roman"/>
          <w:sz w:val="20"/>
          <w:szCs w:val="20"/>
          <w:color w:val="auto"/>
        </w:rPr>
      </w:pPr>
    </w:p>
    <w:p>
      <w:pPr>
        <w:ind w:left="820" w:hanging="377"/>
        <w:spacing w:after="0"/>
        <w:tabs>
          <w:tab w:leader="none" w:pos="820" w:val="left"/>
        </w:tabs>
        <w:numPr>
          <w:ilvl w:val="0"/>
          <w:numId w:val="59"/>
        </w:numPr>
        <w:rPr>
          <w:rFonts w:ascii="Times New Roman" w:cs="Times New Roman" w:eastAsia="Times New Roman" w:hAnsi="Times New Roman"/>
          <w:sz w:val="20"/>
          <w:szCs w:val="20"/>
          <w:color w:val="auto"/>
        </w:rPr>
      </w:pPr>
      <w:r>
        <w:rPr>
          <w:rFonts w:ascii="Calibri" w:cs="Calibri" w:eastAsia="Calibri" w:hAnsi="Calibri"/>
          <w:sz w:val="20"/>
          <w:szCs w:val="20"/>
          <w:color w:val="auto"/>
        </w:rPr>
        <w:t>by any combinaton of the above permited forms of payment.</w:t>
      </w:r>
    </w:p>
    <w:p>
      <w:pPr>
        <w:spacing w:after="0" w:line="252" w:lineRule="exact"/>
        <w:rPr>
          <w:sz w:val="20"/>
          <w:szCs w:val="20"/>
          <w:color w:val="auto"/>
        </w:rPr>
      </w:pPr>
    </w:p>
    <w:p>
      <w:pPr>
        <w:ind w:right="60"/>
        <w:spacing w:after="0" w:line="238" w:lineRule="auto"/>
        <w:rPr>
          <w:sz w:val="20"/>
          <w:szCs w:val="20"/>
          <w:color w:val="auto"/>
        </w:rPr>
      </w:pPr>
      <w:r>
        <w:rPr>
          <w:rFonts w:ascii="Calibri" w:cs="Calibri" w:eastAsia="Calibri" w:hAnsi="Calibri"/>
          <w:sz w:val="20"/>
          <w:szCs w:val="20"/>
          <w:color w:val="auto"/>
        </w:rPr>
        <w:t>For purposes of this Certfcate, “Cause” means (i) your willful and contnued failure to perform substantally your reasonably assigned dutes with the Company or any successor entty or any of their respectve Afliates (other than any such failure resultng from your physical or mental incapacity or any such actual, alleged or antcipated failure afer you issue a notce of terminaton for Good Reason) afer a writen demand for substantal performance is delivered to you by the Company which demand specifcally identfes the manner in which the Company believes you have not substantally performed your dutes; (ii) your willfully engaging in conduct which is demonstrably and materially injurious to the Company, monetarily or otherwise; (iii) your commission of a felony or a crime involving moral turpitude; (iv) your commission of thef, fraud, embezzlement, material breach of trust or any material act of dishonesty involving the Company or any of its subsidiaries; (v) a signifcant violaton by you of the code of conduct of the Company or its subsidiaries, of any material policy of the Company or its subsidiaries, or of any statutory or common law duty of loyalty to the Company or its subsidiaries; or (vi) a material breach by you of the terms of any agreement between the Company or its subsidiaries and you. For purposes of this defniton (i) no act, or failure to act, on your part shall be deemed “willful” unless done, or omited to be done, by you not in good faith and without reasonable belief that your actons or omission was in the best interest of the Company and (ii) your good faith errors in judgment shall not consttute Cause or be considered in any determinaton of whether Cause exists.</w:t>
      </w:r>
    </w:p>
    <w:p>
      <w:pPr>
        <w:spacing w:after="0" w:line="255" w:lineRule="exact"/>
        <w:rPr>
          <w:sz w:val="20"/>
          <w:szCs w:val="20"/>
          <w:color w:val="auto"/>
        </w:rPr>
      </w:pPr>
    </w:p>
    <w:p>
      <w:pPr>
        <w:ind w:right="180"/>
        <w:spacing w:after="0" w:line="234" w:lineRule="auto"/>
        <w:rPr>
          <w:sz w:val="20"/>
          <w:szCs w:val="20"/>
          <w:color w:val="auto"/>
        </w:rPr>
      </w:pPr>
      <w:r>
        <w:rPr>
          <w:rFonts w:ascii="Calibri" w:cs="Calibri" w:eastAsia="Calibri" w:hAnsi="Calibri"/>
          <w:sz w:val="20"/>
          <w:szCs w:val="20"/>
          <w:color w:val="auto"/>
        </w:rPr>
        <w:t>For purposes of this Certfcate, “Good Reason” means the occurrence afer a Change in Control, without your prior writen consent, of any of the following events or conditons:</w:t>
      </w:r>
    </w:p>
    <w:p>
      <w:pPr>
        <w:spacing w:after="0" w:line="253" w:lineRule="exact"/>
        <w:rPr>
          <w:sz w:val="20"/>
          <w:szCs w:val="20"/>
          <w:color w:val="auto"/>
        </w:rPr>
      </w:pPr>
    </w:p>
    <w:p>
      <w:pPr>
        <w:ind w:left="1500" w:hanging="690"/>
        <w:spacing w:after="0" w:line="237" w:lineRule="auto"/>
        <w:tabs>
          <w:tab w:leader="none" w:pos="1171" w:val="left"/>
        </w:tabs>
        <w:numPr>
          <w:ilvl w:val="0"/>
          <w:numId w:val="60"/>
        </w:numPr>
        <w:rPr>
          <w:rFonts w:ascii="Calibri" w:cs="Calibri" w:eastAsia="Calibri" w:hAnsi="Calibri"/>
          <w:sz w:val="20"/>
          <w:szCs w:val="20"/>
          <w:color w:val="auto"/>
        </w:rPr>
      </w:pPr>
      <w:r>
        <w:rPr>
          <w:rFonts w:ascii="Calibri" w:cs="Calibri" w:eastAsia="Calibri" w:hAnsi="Calibri"/>
          <w:sz w:val="20"/>
          <w:szCs w:val="20"/>
          <w:color w:val="auto"/>
        </w:rPr>
        <w:t>a change in your status, ttle, positon or responsibilites (including reportng responsibilites) which represents a material adverse change from your status, ttle, positon or responsibilites as in efect immediately prior thereto; the assignment to you of any dutes or responsibilites which are materially inconsistent with your status, ttle, positon or responsibilites; or your removal from or the failure to reappoint or reelect you to any of such ofces or positons, except in connecton with the terminaton of your employment for Disability, Cause, as a result of your death or by you other than for Good Reason;</w:t>
      </w:r>
    </w:p>
    <w:p>
      <w:pPr>
        <w:spacing w:after="0" w:line="254" w:lineRule="exact"/>
        <w:rPr>
          <w:rFonts w:ascii="Calibri" w:cs="Calibri" w:eastAsia="Calibri" w:hAnsi="Calibri"/>
          <w:sz w:val="20"/>
          <w:szCs w:val="20"/>
          <w:color w:val="auto"/>
        </w:rPr>
      </w:pPr>
    </w:p>
    <w:p>
      <w:pPr>
        <w:ind w:left="1500" w:right="680" w:hanging="690"/>
        <w:spacing w:after="0" w:line="234" w:lineRule="auto"/>
        <w:tabs>
          <w:tab w:leader="none" w:pos="1171" w:val="left"/>
        </w:tabs>
        <w:numPr>
          <w:ilvl w:val="0"/>
          <w:numId w:val="60"/>
        </w:numPr>
        <w:rPr>
          <w:rFonts w:ascii="Calibri" w:cs="Calibri" w:eastAsia="Calibri" w:hAnsi="Calibri"/>
          <w:sz w:val="20"/>
          <w:szCs w:val="20"/>
          <w:color w:val="auto"/>
        </w:rPr>
      </w:pPr>
      <w:r>
        <w:rPr>
          <w:rFonts w:ascii="Calibri" w:cs="Calibri" w:eastAsia="Calibri" w:hAnsi="Calibri"/>
          <w:sz w:val="20"/>
          <w:szCs w:val="20"/>
          <w:color w:val="auto"/>
        </w:rPr>
        <w:t>a reducton in the rate of your annual base salary or target annual cash bonus, or a material reducton in your total compensaton;</w:t>
      </w:r>
    </w:p>
    <w:p>
      <w:pPr>
        <w:spacing w:after="0" w:line="21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 of 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139794186_3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6" w:name="page117"/>
    <w:bookmarkEnd w:id="116"/>
    <w:p>
      <w:pPr>
        <w:ind w:left="1500" w:right="40" w:hanging="690"/>
        <w:spacing w:after="0" w:line="237" w:lineRule="auto"/>
        <w:tabs>
          <w:tab w:leader="none" w:pos="1171"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the relocaton of the ofces at which you are principally employed to a locaton more than twenty-fve (25) miles from the locaton of such ofce immediately prior to the Change in Control, or the Company’s requiring you to be based at a locaton more than twenty-fve (25) miles from such ofce, except to the extent you were not previously assigned to a principal locaton and except for required travel on the Company’s business to an extent substantally consistent with your business travel obligatons at the tme of the Change in Control;</w:t>
      </w:r>
    </w:p>
    <w:p>
      <w:pPr>
        <w:spacing w:after="0" w:line="252" w:lineRule="exact"/>
        <w:rPr>
          <w:rFonts w:ascii="Calibri" w:cs="Calibri" w:eastAsia="Calibri" w:hAnsi="Calibri"/>
          <w:sz w:val="20"/>
          <w:szCs w:val="20"/>
          <w:color w:val="auto"/>
        </w:rPr>
      </w:pPr>
    </w:p>
    <w:p>
      <w:pPr>
        <w:ind w:left="1500" w:hanging="690"/>
        <w:spacing w:after="0" w:line="237" w:lineRule="auto"/>
        <w:tabs>
          <w:tab w:leader="none" w:pos="1171"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the failure by the Company to pay to you any porton of your then current base salary or annual cash bonus or any other compensaton, or to pay to you any porton of an installment of deferred compensaton under any deferred compensaton program of the Company in which you partcipated, in each case, within fourteen (14) days of the date such compensaton is due and payable in accordance with the terms of the applicable agreement or plan or applicable law; or</w:t>
      </w:r>
    </w:p>
    <w:p>
      <w:pPr>
        <w:spacing w:after="0" w:line="252" w:lineRule="exact"/>
        <w:rPr>
          <w:rFonts w:ascii="Calibri" w:cs="Calibri" w:eastAsia="Calibri" w:hAnsi="Calibri"/>
          <w:sz w:val="20"/>
          <w:szCs w:val="20"/>
          <w:color w:val="auto"/>
        </w:rPr>
      </w:pPr>
    </w:p>
    <w:p>
      <w:pPr>
        <w:ind w:left="1500" w:right="680" w:hanging="690"/>
        <w:spacing w:after="0" w:line="234" w:lineRule="auto"/>
        <w:tabs>
          <w:tab w:leader="none" w:pos="1171"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any material reducton in the retrement or welfare benefts or other material beneft or compensaton plan made available to you or any materially adverse change in the terms on which those benefts are made available.</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In order for a terminaton for Good Reason to be efectve, you must (a) provide notce to the Company specifying in reasonable detail</w:t>
      </w:r>
    </w:p>
    <w:p>
      <w:pPr>
        <w:spacing w:after="0" w:line="238" w:lineRule="auto"/>
        <w:rPr>
          <w:sz w:val="20"/>
          <w:szCs w:val="20"/>
          <w:color w:val="auto"/>
        </w:rPr>
      </w:pPr>
      <w:r>
        <w:rPr>
          <w:rFonts w:ascii="Calibri" w:cs="Calibri" w:eastAsia="Calibri" w:hAnsi="Calibri"/>
          <w:sz w:val="20"/>
          <w:szCs w:val="20"/>
          <w:color w:val="auto"/>
        </w:rPr>
        <w:t>the conditon giving rise to the Good Reason no later than the one-hundred and eighteth (180th) day following the occurrence of that</w:t>
      </w:r>
    </w:p>
    <w:p>
      <w:pPr>
        <w:spacing w:after="0"/>
        <w:rPr>
          <w:sz w:val="20"/>
          <w:szCs w:val="20"/>
          <w:color w:val="auto"/>
        </w:rPr>
      </w:pPr>
      <w:r>
        <w:rPr>
          <w:rFonts w:ascii="Calibri" w:cs="Calibri" w:eastAsia="Calibri" w:hAnsi="Calibri"/>
          <w:sz w:val="20"/>
          <w:szCs w:val="20"/>
          <w:color w:val="auto"/>
        </w:rPr>
        <w:t>conditon; (b) provide the Company a period of thirty (30) days to remedy the conditon; and (c) terminate your employment for Good</w:t>
      </w:r>
    </w:p>
    <w:p>
      <w:pPr>
        <w:spacing w:after="0" w:line="238" w:lineRule="auto"/>
        <w:rPr>
          <w:sz w:val="20"/>
          <w:szCs w:val="20"/>
          <w:color w:val="auto"/>
        </w:rPr>
      </w:pPr>
      <w:r>
        <w:rPr>
          <w:rFonts w:ascii="Calibri" w:cs="Calibri" w:eastAsia="Calibri" w:hAnsi="Calibri"/>
          <w:sz w:val="20"/>
          <w:szCs w:val="20"/>
          <w:color w:val="auto"/>
        </w:rPr>
        <w:t>Reason within sixty (60) days following the expiraton of the Company’s period to remedy if the Company fails to remedy the conditon.</w:t>
      </w:r>
    </w:p>
    <w:p>
      <w:pPr>
        <w:spacing w:after="0" w:line="252" w:lineRule="exact"/>
        <w:rPr>
          <w:sz w:val="20"/>
          <w:szCs w:val="20"/>
          <w:color w:val="auto"/>
        </w:rPr>
      </w:pPr>
    </w:p>
    <w:p>
      <w:pPr>
        <w:ind w:right="140"/>
        <w:spacing w:after="0" w:line="234" w:lineRule="auto"/>
        <w:rPr>
          <w:sz w:val="20"/>
          <w:szCs w:val="20"/>
          <w:color w:val="auto"/>
        </w:rPr>
      </w:pPr>
      <w:r>
        <w:rPr>
          <w:rFonts w:ascii="Calibri" w:cs="Calibri" w:eastAsia="Calibri" w:hAnsi="Calibri"/>
          <w:sz w:val="20"/>
          <w:szCs w:val="20"/>
          <w:color w:val="auto"/>
        </w:rPr>
        <w:t>For purposes of this Certfcate, “Retrement” means your atainment of age sixty (60) and completon of ten (10) years of contnuous Employment with the Company, provided that you have also given the Company six (6) months’ advance notce of your intent to retre.</w:t>
      </w:r>
    </w:p>
    <w:p>
      <w:pPr>
        <w:spacing w:after="0" w:line="253" w:lineRule="exact"/>
        <w:rPr>
          <w:sz w:val="20"/>
          <w:szCs w:val="20"/>
          <w:color w:val="auto"/>
        </w:rPr>
      </w:pPr>
    </w:p>
    <w:p>
      <w:pPr>
        <w:spacing w:after="0" w:line="237" w:lineRule="auto"/>
        <w:rPr>
          <w:sz w:val="20"/>
          <w:szCs w:val="20"/>
          <w:color w:val="auto"/>
        </w:rPr>
      </w:pPr>
      <w:r>
        <w:rPr>
          <w:rFonts w:ascii="Calibri" w:cs="Calibri" w:eastAsia="Calibri" w:hAnsi="Calibri"/>
          <w:sz w:val="20"/>
          <w:szCs w:val="20"/>
          <w:b w:val="1"/>
          <w:bCs w:val="1"/>
          <w:i w:val="1"/>
          <w:iCs w:val="1"/>
          <w:color w:val="auto"/>
        </w:rPr>
        <w:t xml:space="preserve">A cashless exercise involves the sale of Stock in the market, and, therefore, must be completed in accordance with Cabot’s Policy on Transactons in Securites. Please review the restrictons on trading contained in the Policy before making arrangements for a cashless exercise. </w:t>
      </w:r>
      <w:r>
        <w:rPr>
          <w:rFonts w:ascii="Calibri" w:cs="Calibri" w:eastAsia="Calibri" w:hAnsi="Calibri"/>
          <w:sz w:val="20"/>
          <w:szCs w:val="20"/>
          <w:color w:val="auto"/>
        </w:rPr>
        <w:t>Please note that the trading restrictons in Cabot’s Policy on Transactons in Securites do not apply to transactons with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Company, such as the exercise of a stock opton with your own funds or the surrender of shares in payment of the exercise price or in satsfacton of any tax withholding obligatons, provided you do not sell the shares acquired while in possession of material nonpublic informaton or, if applicable to you, during a corporate blackout period.</w:t>
      </w:r>
    </w:p>
    <w:p>
      <w:pPr>
        <w:spacing w:after="0" w:line="255" w:lineRule="exact"/>
        <w:rPr>
          <w:sz w:val="20"/>
          <w:szCs w:val="20"/>
          <w:color w:val="auto"/>
        </w:rPr>
      </w:pPr>
    </w:p>
    <w:p>
      <w:pPr>
        <w:ind w:right="620"/>
        <w:spacing w:after="0" w:line="236" w:lineRule="auto"/>
        <w:rPr>
          <w:sz w:val="20"/>
          <w:szCs w:val="20"/>
          <w:color w:val="auto"/>
        </w:rPr>
      </w:pPr>
      <w:r>
        <w:rPr>
          <w:rFonts w:ascii="Calibri" w:cs="Calibri" w:eastAsia="Calibri" w:hAnsi="Calibri"/>
          <w:sz w:val="20"/>
          <w:szCs w:val="20"/>
          <w:b w:val="1"/>
          <w:bCs w:val="1"/>
          <w:color w:val="auto"/>
        </w:rPr>
        <w:t>Tax consequences of your Stock Opton</w:t>
      </w:r>
      <w:r>
        <w:rPr>
          <w:rFonts w:ascii="Calibri" w:cs="Calibri" w:eastAsia="Calibri" w:hAnsi="Calibri"/>
          <w:sz w:val="20"/>
          <w:szCs w:val="20"/>
          <w:color w:val="auto"/>
        </w:rPr>
        <w:t>. You are responsible for understanding the general tax consequences of your Award.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Withholding taxes up to the required minimum statutory withholding will be deducted from the proceeds of your opton exercise transacton unless other payment arrangements have been made.</w:t>
      </w:r>
    </w:p>
    <w:p>
      <w:pPr>
        <w:spacing w:after="0" w:line="252" w:lineRule="exact"/>
        <w:rPr>
          <w:sz w:val="20"/>
          <w:szCs w:val="20"/>
          <w:color w:val="auto"/>
        </w:rPr>
      </w:pPr>
    </w:p>
    <w:p>
      <w:pPr>
        <w:ind w:right="160"/>
        <w:spacing w:after="0" w:line="236" w:lineRule="auto"/>
        <w:rPr>
          <w:sz w:val="20"/>
          <w:szCs w:val="20"/>
          <w:color w:val="auto"/>
        </w:rPr>
      </w:pPr>
      <w:r>
        <w:rPr>
          <w:rFonts w:ascii="Calibri" w:cs="Calibri" w:eastAsia="Calibri" w:hAnsi="Calibri"/>
          <w:sz w:val="20"/>
          <w:szCs w:val="20"/>
          <w:b w:val="1"/>
          <w:bCs w:val="1"/>
          <w:color w:val="auto"/>
        </w:rPr>
        <w:t>Efect on Employment Rights; Rights as a Stockholder</w:t>
      </w:r>
      <w:r>
        <w:rPr>
          <w:rFonts w:ascii="Calibri" w:cs="Calibri" w:eastAsia="Calibri" w:hAnsi="Calibri"/>
          <w:sz w:val="20"/>
          <w:szCs w:val="20"/>
          <w:color w:val="auto"/>
        </w:rPr>
        <w:t>. This Award does not confer upon you any right to contnue as an employee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Company or any of its subsidiaries or afliates and shall not afect in any way the right of the Company or any subsidiary or afliate of the Company to terminate your Employment at any tme. Further, you have no rights as a stockholder with respect to the shares of</w:t>
      </w:r>
    </w:p>
    <w:p>
      <w:pPr>
        <w:jc w:val="center"/>
        <w:ind w:right="-39"/>
        <w:spacing w:after="0"/>
        <w:rPr>
          <w:sz w:val="20"/>
          <w:szCs w:val="20"/>
          <w:color w:val="auto"/>
        </w:rPr>
      </w:pPr>
      <w:r>
        <w:rPr>
          <w:rFonts w:ascii="Calibri" w:cs="Calibri" w:eastAsia="Calibri" w:hAnsi="Calibri"/>
          <w:sz w:val="20"/>
          <w:szCs w:val="20"/>
          <w:color w:val="auto"/>
        </w:rPr>
        <w:t>4 of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139794186_3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117" w:name="page118"/>
    <w:bookmarkEnd w:id="117"/>
    <w:p>
      <w:pPr>
        <w:ind w:right="180"/>
        <w:spacing w:after="0" w:line="234" w:lineRule="auto"/>
        <w:rPr>
          <w:sz w:val="20"/>
          <w:szCs w:val="20"/>
          <w:color w:val="auto"/>
        </w:rPr>
      </w:pPr>
      <w:r>
        <w:rPr>
          <w:rFonts w:ascii="Calibri" w:cs="Calibri" w:eastAsia="Calibri" w:hAnsi="Calibri"/>
          <w:sz w:val="20"/>
          <w:szCs w:val="20"/>
          <w:color w:val="auto"/>
        </w:rPr>
        <w:t>Stock subject to this opton untl the proper exercise of the opton and the issuance of the shares with respect to which the opton has been exercised.</w:t>
      </w:r>
    </w:p>
    <w:p>
      <w:pPr>
        <w:spacing w:after="0" w:line="253" w:lineRule="exact"/>
        <w:rPr>
          <w:sz w:val="20"/>
          <w:szCs w:val="20"/>
          <w:color w:val="auto"/>
        </w:rPr>
      </w:pPr>
    </w:p>
    <w:p>
      <w:pPr>
        <w:spacing w:after="0" w:line="237" w:lineRule="auto"/>
        <w:rPr>
          <w:sz w:val="20"/>
          <w:szCs w:val="20"/>
          <w:color w:val="auto"/>
        </w:rPr>
      </w:pPr>
      <w:r>
        <w:rPr>
          <w:rFonts w:ascii="Calibri" w:cs="Calibri" w:eastAsia="Calibri" w:hAnsi="Calibri"/>
          <w:sz w:val="20"/>
          <w:szCs w:val="20"/>
          <w:b w:val="1"/>
          <w:bCs w:val="1"/>
          <w:color w:val="auto"/>
        </w:rPr>
        <w:t>Provisions of the 2017 Plan</w:t>
      </w:r>
      <w:r>
        <w:rPr>
          <w:rFonts w:ascii="Calibri" w:cs="Calibri" w:eastAsia="Calibri" w:hAnsi="Calibri"/>
          <w:sz w:val="20"/>
          <w:szCs w:val="20"/>
          <w:color w:val="auto"/>
        </w:rPr>
        <w:t>. The terms specifed in this Certfcate are governed by the terms of the 2017 Plan, a copy of which has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been provided to you. Informaton about the 2017 Plan is also included in the Prospectus for the 2017 Plan, a copy of which has also been provided to you. The Administrator has the exclusive authority to interpret the 2017 Plan and this Award. Any interpretaton of the Award by the Administrator and any decision made by it with respect to the Award are fnal and binding on all persons. To the extent there is a confict between the terms of this Certfcate and the 2017 Plan or any employment agreement between you and Cabot or any of its subsidiaries, the 2017 Plan shall govern (except as it relates to terms expressly defned herein).</w:t>
      </w:r>
    </w:p>
    <w:p>
      <w:pPr>
        <w:spacing w:after="0" w:line="255"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 xml:space="preserve">Recoupment Policy. </w:t>
      </w:r>
      <w:r>
        <w:rPr>
          <w:rFonts w:ascii="Calibri" w:cs="Calibri" w:eastAsia="Calibri" w:hAnsi="Calibri"/>
          <w:sz w:val="20"/>
          <w:szCs w:val="20"/>
          <w:color w:val="auto"/>
        </w:rPr>
        <w:t>This Award and the shares issued to you upon any exercise of the Award are subject to the terms of the Company’s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Policy for Recoupment of Incentve Compensaton and Amended and Restated Policy for Recoupment of Compensaton, in each case as applicable and as either may be amended from tme to tme, and any additonal clawback policy subsequently adopted by the Company and, by acceptng this Award, you agree to each such policy.</w:t>
      </w:r>
    </w:p>
    <w:p>
      <w:pPr>
        <w:spacing w:after="0" w:line="255" w:lineRule="exact"/>
        <w:rPr>
          <w:sz w:val="20"/>
          <w:szCs w:val="20"/>
          <w:color w:val="auto"/>
        </w:rPr>
      </w:pPr>
    </w:p>
    <w:p>
      <w:pPr>
        <w:ind w:right="20"/>
        <w:spacing w:after="0" w:line="236" w:lineRule="auto"/>
        <w:rPr>
          <w:sz w:val="20"/>
          <w:szCs w:val="20"/>
          <w:color w:val="auto"/>
        </w:rPr>
      </w:pPr>
      <w:r>
        <w:rPr>
          <w:rFonts w:ascii="Calibri" w:cs="Calibri" w:eastAsia="Calibri" w:hAnsi="Calibri"/>
          <w:sz w:val="20"/>
          <w:szCs w:val="20"/>
          <w:b w:val="1"/>
          <w:bCs w:val="1"/>
          <w:color w:val="auto"/>
        </w:rPr>
        <w:t xml:space="preserve">Governing Law. </w:t>
      </w:r>
      <w:r>
        <w:rPr>
          <w:rFonts w:ascii="Calibri" w:cs="Calibri" w:eastAsia="Calibri" w:hAnsi="Calibri"/>
          <w:sz w:val="20"/>
          <w:szCs w:val="20"/>
          <w:color w:val="auto"/>
        </w:rPr>
        <w:t>Except as otherwise provided in the 2017 Plan, this Certfcate shall be governed and construed by and determined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accordance with the laws of The Commonwealth of Massachusets, without giving efect to any choice of law or confict of law provision or rule (whether of The Commonwealth of Massachusets or any other jurisdicton) that would cause the applicaton of the laws of any jurisdicton other than The Commonwealth of Massachusets.</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color w:val="auto"/>
        </w:rPr>
        <w:t>You hereby accept your Award subject to the terms set forth herein and in the 2017 Plan.</w:t>
      </w:r>
    </w:p>
    <w:p>
      <w:pPr>
        <w:spacing w:after="0" w:line="252" w:lineRule="exact"/>
        <w:rPr>
          <w:sz w:val="20"/>
          <w:szCs w:val="20"/>
          <w:color w:val="auto"/>
        </w:rPr>
      </w:pPr>
    </w:p>
    <w:p>
      <w:pPr>
        <w:ind w:right="60"/>
        <w:spacing w:after="0" w:line="237" w:lineRule="auto"/>
        <w:rPr>
          <w:sz w:val="20"/>
          <w:szCs w:val="20"/>
          <w:color w:val="auto"/>
        </w:rPr>
      </w:pPr>
      <w:r>
        <w:rPr>
          <w:rFonts w:ascii="Calibri" w:cs="Calibri" w:eastAsia="Calibri" w:hAnsi="Calibri"/>
          <w:sz w:val="20"/>
          <w:szCs w:val="20"/>
          <w:color w:val="auto"/>
        </w:rPr>
        <w:t>You and the Company hereby expressly agree that the use of electronic media to indicate confrmaton, signature, acceptance, agreement, and delivery shall be legally valid and have the same legal force and efect as if you and the Company executed this Certfcate in paper form. In additon, you understand that this Award is discretonary, and that eligibility for an award under the 2017 Plan is established at the tme awards are made. Therefore, your receiving this Award does not mean that you are guaranteed an award in the future.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20"/>
          <w:szCs w:val="20"/>
          <w:color w:val="auto"/>
        </w:rPr>
        <w:t>_____________________________________</w:t>
      </w:r>
    </w:p>
    <w:p>
      <w:pPr>
        <w:spacing w:after="0" w:line="238" w:lineRule="auto"/>
        <w:rPr>
          <w:sz w:val="20"/>
          <w:szCs w:val="20"/>
          <w:color w:val="auto"/>
        </w:rPr>
      </w:pPr>
      <w:r>
        <w:rPr>
          <w:rFonts w:ascii="Calibri" w:cs="Calibri" w:eastAsia="Calibri" w:hAnsi="Calibri"/>
          <w:sz w:val="20"/>
          <w:szCs w:val="20"/>
          <w:b w:val="1"/>
          <w:bCs w:val="1"/>
          <w:color w:val="auto"/>
        </w:rPr>
        <w:t>Sean D. Keohane</w:t>
      </w:r>
    </w:p>
    <w:p>
      <w:pPr>
        <w:spacing w:after="0"/>
        <w:rPr>
          <w:sz w:val="20"/>
          <w:szCs w:val="20"/>
          <w:color w:val="auto"/>
        </w:rPr>
      </w:pPr>
      <w:r>
        <w:rPr>
          <w:rFonts w:ascii="Calibri" w:cs="Calibri" w:eastAsia="Calibri" w:hAnsi="Calibri"/>
          <w:sz w:val="20"/>
          <w:szCs w:val="20"/>
          <w:b w:val="1"/>
          <w:bCs w:val="1"/>
          <w:color w:val="auto"/>
        </w:rPr>
        <w:t>President &amp; Chief Executve Ofcer</w:t>
      </w:r>
    </w:p>
    <w:p>
      <w:pPr>
        <w:spacing w:after="0" w:line="242" w:lineRule="exact"/>
        <w:rPr>
          <w:sz w:val="20"/>
          <w:szCs w:val="20"/>
          <w:color w:val="auto"/>
        </w:rPr>
      </w:pPr>
    </w:p>
    <w:p>
      <w:pPr>
        <w:spacing w:after="0"/>
        <w:tabs>
          <w:tab w:leader="none" w:pos="3660" w:val="left"/>
        </w:tabs>
        <w:rPr>
          <w:sz w:val="20"/>
          <w:szCs w:val="20"/>
          <w:color w:val="auto"/>
        </w:rPr>
      </w:pPr>
      <w:r>
        <w:rPr>
          <w:rFonts w:ascii="Calibri" w:cs="Calibri" w:eastAsia="Calibri" w:hAnsi="Calibri"/>
          <w:sz w:val="20"/>
          <w:szCs w:val="20"/>
          <w:color w:val="0070C0"/>
        </w:rPr>
        <w:t>[Signed Electronically]</w:t>
      </w:r>
      <w:r>
        <w:rPr>
          <w:sz w:val="20"/>
          <w:szCs w:val="20"/>
          <w:color w:val="auto"/>
        </w:rPr>
        <w:tab/>
      </w:r>
      <w:r>
        <w:rPr>
          <w:rFonts w:ascii="Calibri" w:cs="Calibri" w:eastAsia="Calibri" w:hAnsi="Calibri"/>
          <w:sz w:val="20"/>
          <w:szCs w:val="20"/>
          <w:color w:val="0070C0"/>
        </w:rPr>
        <w:t>[Acceptance Date]</w:t>
      </w:r>
    </w:p>
    <w:p>
      <w:pPr>
        <w:spacing w:after="0" w:line="238" w:lineRule="auto"/>
        <w:tabs>
          <w:tab w:leader="none" w:pos="4020" w:val="left"/>
        </w:tabs>
        <w:rPr>
          <w:sz w:val="20"/>
          <w:szCs w:val="20"/>
          <w:color w:val="auto"/>
        </w:rPr>
      </w:pPr>
      <w:r>
        <w:rPr>
          <w:rFonts w:ascii="Calibri" w:cs="Calibri" w:eastAsia="Calibri" w:hAnsi="Calibri"/>
          <w:sz w:val="20"/>
          <w:szCs w:val="20"/>
          <w:b w:val="1"/>
          <w:bCs w:val="1"/>
          <w:color w:val="auto"/>
        </w:rPr>
        <w:t>_____________________________________</w:t>
      </w:r>
      <w:r>
        <w:rPr>
          <w:sz w:val="20"/>
          <w:szCs w:val="20"/>
          <w:color w:val="auto"/>
        </w:rPr>
        <w:tab/>
      </w:r>
      <w:r>
        <w:rPr>
          <w:rFonts w:ascii="Calibri" w:cs="Calibri" w:eastAsia="Calibri" w:hAnsi="Calibri"/>
          <w:sz w:val="20"/>
          <w:szCs w:val="20"/>
          <w:b w:val="1"/>
          <w:bCs w:val="1"/>
          <w:color w:val="auto"/>
        </w:rPr>
        <w:t>________________________________</w:t>
      </w:r>
    </w:p>
    <w:p>
      <w:pPr>
        <w:spacing w:after="0"/>
        <w:tabs>
          <w:tab w:leader="none" w:pos="1820" w:val="left"/>
        </w:tabs>
        <w:rPr>
          <w:sz w:val="20"/>
          <w:szCs w:val="20"/>
          <w:color w:val="auto"/>
        </w:rPr>
      </w:pPr>
      <w:r>
        <w:rPr>
          <w:rFonts w:ascii="Calibri" w:cs="Calibri" w:eastAsia="Calibri" w:hAnsi="Calibri"/>
          <w:sz w:val="20"/>
          <w:szCs w:val="20"/>
          <w:b w:val="1"/>
          <w:bCs w:val="1"/>
          <w:color w:val="auto"/>
        </w:rPr>
        <w:t>Electronic Signature</w:t>
        <w:tab/>
        <w:t>Acceptance Date</w:t>
      </w:r>
    </w:p>
    <w:p>
      <w:pPr>
        <w:spacing w:after="0" w:line="215"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5 of 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139794186_3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8" w:right="3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21</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Cabot Corporation (as of September 30, 2023)</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Arial" w:cs="Arial" w:eastAsia="Arial" w:hAnsi="Arial"/>
                <w:sz w:val="13"/>
                <w:szCs w:val="13"/>
                <w:b w:val="1"/>
                <w:bCs w:val="1"/>
                <w:color w:val="auto"/>
              </w:rPr>
              <w:t>Subsidiary</w:t>
            </w:r>
          </w:p>
        </w:tc>
        <w:tc>
          <w:tcPr>
            <w:tcW w:w="5600" w:type="dxa"/>
            <w:vAlign w:val="bottom"/>
            <w:gridSpan w:val="2"/>
          </w:tcPr>
          <w:p>
            <w:pPr>
              <w:ind w:left="140"/>
              <w:spacing w:after="0"/>
              <w:rPr>
                <w:sz w:val="20"/>
                <w:szCs w:val="20"/>
                <w:color w:val="auto"/>
              </w:rPr>
            </w:pPr>
            <w:r>
              <w:rPr>
                <w:rFonts w:ascii="Arial" w:cs="Arial" w:eastAsia="Arial" w:hAnsi="Arial"/>
                <w:sz w:val="13"/>
                <w:szCs w:val="13"/>
                <w:b w:val="1"/>
                <w:bCs w:val="1"/>
                <w:color w:val="auto"/>
              </w:rPr>
              <w:t>State/Jurisdiction of Incorporation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Cabot Argentina S.A.I.C.</w:t>
            </w:r>
          </w:p>
        </w:tc>
        <w:tc>
          <w:tcPr>
            <w:tcW w:w="140" w:type="dxa"/>
            <w:vAlign w:val="bottom"/>
          </w:tcPr>
          <w:p>
            <w:pPr>
              <w:spacing w:after="0"/>
              <w:rPr>
                <w:sz w:val="24"/>
                <w:szCs w:val="24"/>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Argentina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Australia Holdings Pty. Ltd.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Plastics Belgium S.A.</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Performance Materials Belgium S.P.R.L.</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Brasil Industria e Comércio Ltda.</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Canada Ltd.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Ontario, Canada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8755329 Canada, Inc.</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Quebec, Canada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Tech Blend Corporation</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Quebec, Canada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Plastics Canada LP</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Quebec, Canada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Plastics Hong Kong Limited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Shanghai Cabot Chemical Company Ltd.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Trading (Shanghai) Company Ltd.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(China) Limited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Advanced Battery Materials (Tianjin) Co., Ltd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Bluestar Chemical (Jiangxi) Co., Ltd.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Chemical (Tianjin) Co., Ltd.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Performance Materials (Shenzhen) Co., Ltd.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Performance Materials (Zhuhai) Co., Ltd.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Performance Products (Tianjin) Co., Ltd.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Risun Chemical (Xingtai) Co., Ltd.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HengYeCheng Performance Materials (Inner-Mongolia)</w:t>
            </w:r>
          </w:p>
        </w:tc>
        <w:tc>
          <w:tcPr>
            <w:tcW w:w="140" w:type="dxa"/>
            <w:vAlign w:val="bottom"/>
          </w:tcPr>
          <w:p>
            <w:pPr>
              <w:spacing w:after="0"/>
              <w:rPr>
                <w:sz w:val="24"/>
                <w:szCs w:val="24"/>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600" w:type="dxa"/>
            <w:vAlign w:val="bottom"/>
            <w:vMerge w:val="restart"/>
          </w:tcPr>
          <w:p>
            <w:pPr>
              <w:spacing w:after="0"/>
              <w:rPr>
                <w:sz w:val="20"/>
                <w:szCs w:val="20"/>
                <w:color w:val="auto"/>
              </w:rPr>
            </w:pPr>
            <w:r>
              <w:rPr>
                <w:rFonts w:ascii="Arial" w:cs="Arial" w:eastAsia="Arial" w:hAnsi="Arial"/>
                <w:sz w:val="18"/>
                <w:szCs w:val="18"/>
                <w:color w:val="auto"/>
              </w:rPr>
              <w:t>Company Limited</w:t>
            </w:r>
          </w:p>
        </w:tc>
        <w:tc>
          <w:tcPr>
            <w:tcW w:w="140" w:type="dxa"/>
            <w:vAlign w:val="bottom"/>
          </w:tcPr>
          <w:p>
            <w:pPr>
              <w:spacing w:after="0"/>
              <w:rPr>
                <w:sz w:val="11"/>
                <w:szCs w:val="11"/>
                <w:color w:val="auto"/>
              </w:rPr>
            </w:pPr>
          </w:p>
        </w:tc>
        <w:tc>
          <w:tcPr>
            <w:tcW w:w="54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Performance Materials (Xuzhou) Co., Ltd. (fka NSCC Carbon</w:t>
            </w:r>
          </w:p>
        </w:tc>
        <w:tc>
          <w:tcPr>
            <w:tcW w:w="140" w:type="dxa"/>
            <w:vAlign w:val="bottom"/>
          </w:tcPr>
          <w:p>
            <w:pPr>
              <w:spacing w:after="0"/>
              <w:rPr>
                <w:sz w:val="24"/>
                <w:szCs w:val="24"/>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600" w:type="dxa"/>
            <w:vAlign w:val="bottom"/>
            <w:vMerge w:val="restart"/>
          </w:tcPr>
          <w:p>
            <w:pPr>
              <w:spacing w:after="0"/>
              <w:rPr>
                <w:sz w:val="20"/>
                <w:szCs w:val="20"/>
                <w:color w:val="auto"/>
              </w:rPr>
            </w:pPr>
            <w:r>
              <w:rPr>
                <w:rFonts w:ascii="Arial" w:cs="Arial" w:eastAsia="Arial" w:hAnsi="Arial"/>
                <w:sz w:val="18"/>
                <w:szCs w:val="18"/>
                <w:color w:val="auto"/>
              </w:rPr>
              <w:t>(Jiangsu) Co., Ltd.)</w:t>
            </w:r>
          </w:p>
        </w:tc>
        <w:tc>
          <w:tcPr>
            <w:tcW w:w="140" w:type="dxa"/>
            <w:vAlign w:val="bottom"/>
          </w:tcPr>
          <w:p>
            <w:pPr>
              <w:spacing w:after="0"/>
              <w:rPr>
                <w:sz w:val="11"/>
                <w:szCs w:val="11"/>
                <w:color w:val="auto"/>
              </w:rPr>
            </w:pPr>
          </w:p>
        </w:tc>
        <w:tc>
          <w:tcPr>
            <w:tcW w:w="54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Colombiana S.A.</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Colombia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CS Cabot spol, s.r.o.</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Czech Republic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Czech Holding Company s.r.o.</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Czech Republic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France S.A.S.</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Carbone S.A.S.</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GmbH</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Holdings I GmbH</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Holdings II GmbH</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Aerogel GmbH</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Borders>
              <w:bottom w:val="single" w:sz="8" w:color="9A9A9A"/>
            </w:tcBorders>
          </w:tcPr>
          <w:p>
            <w:pPr>
              <w:spacing w:after="0"/>
              <w:rPr>
                <w:sz w:val="22"/>
                <w:szCs w:val="22"/>
                <w:color w:val="auto"/>
              </w:rPr>
            </w:pPr>
          </w:p>
        </w:tc>
        <w:tc>
          <w:tcPr>
            <w:tcW w:w="560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54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Arial" w:cs="Arial" w:eastAsia="Arial" w:hAnsi="Arial"/>
                <w:sz w:val="13"/>
                <w:szCs w:val="13"/>
                <w:b w:val="1"/>
                <w:bCs w:val="1"/>
                <w:color w:val="auto"/>
              </w:rPr>
              <w:t>Subsidiary</w:t>
            </w:r>
          </w:p>
        </w:tc>
        <w:tc>
          <w:tcPr>
            <w:tcW w:w="5600" w:type="dxa"/>
            <w:vAlign w:val="bottom"/>
            <w:gridSpan w:val="2"/>
          </w:tcPr>
          <w:p>
            <w:pPr>
              <w:ind w:left="140"/>
              <w:spacing w:after="0"/>
              <w:rPr>
                <w:sz w:val="20"/>
                <w:szCs w:val="20"/>
                <w:color w:val="auto"/>
              </w:rPr>
            </w:pPr>
            <w:r>
              <w:rPr>
                <w:rFonts w:ascii="Arial" w:cs="Arial" w:eastAsia="Arial" w:hAnsi="Arial"/>
                <w:sz w:val="13"/>
                <w:szCs w:val="13"/>
                <w:b w:val="1"/>
                <w:bCs w:val="1"/>
                <w:color w:val="auto"/>
              </w:rPr>
              <w:t>State/Jurisdiction of Incorporation</w:t>
            </w:r>
          </w:p>
        </w:tc>
        <w:tc>
          <w:tcPr>
            <w:tcW w:w="20" w:type="dxa"/>
            <w:vAlign w:val="bottom"/>
          </w:tcPr>
          <w:p>
            <w:pPr>
              <w:spacing w:after="0"/>
              <w:rPr>
                <w:sz w:val="15"/>
                <w:szCs w:val="15"/>
                <w:color w:val="auto"/>
              </w:rPr>
            </w:pPr>
          </w:p>
        </w:tc>
      </w:tr>
      <w:tr>
        <w:trPr>
          <w:trHeight w:val="349"/>
        </w:trPr>
        <w:tc>
          <w:tcPr>
            <w:tcW w:w="20" w:type="dxa"/>
            <w:vAlign w:val="bottom"/>
          </w:tcPr>
          <w:p>
            <w:pPr>
              <w:spacing w:after="0"/>
              <w:rPr>
                <w:sz w:val="24"/>
                <w:szCs w:val="24"/>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Cabot Battery Materials GmbH</w:t>
            </w:r>
          </w:p>
        </w:tc>
        <w:tc>
          <w:tcPr>
            <w:tcW w:w="140" w:type="dxa"/>
            <w:vAlign w:val="bottom"/>
          </w:tcPr>
          <w:p>
            <w:pPr>
              <w:spacing w:after="0"/>
              <w:rPr>
                <w:sz w:val="24"/>
                <w:szCs w:val="24"/>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India Limited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P.T. Cabot Indonesia</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PT Cabot Asia Pacific South</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Italiana S.p.A.</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Performance Materials Italy S.r.l</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Aizu Holdings G.K.</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Japan K.K.</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Supermetals K.K.</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Specialty Chemicals, Inc. G.K.</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Korea Y.H.</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Korea</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SIA Cabot Latvia</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Latvia</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Luxembourg Holdings S.à.r.l.</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Luxembourg Holdings II S.à.r.l.</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Luxembourg Investments S.à.r.l.</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Luxembourg TC S.à.r.l.</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NHUMO Holdings I S.à.r.l.</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Asia Sdn. Bhd.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Materials Research Sdn Bhd.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(Malaysia) Sdn. Bhd.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CMHC, Inc.</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Mauritius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Singapore Pte. Ltd.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NHUMO Holding S.A.P.I., de C.V.</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Specialty Chemicals Mexico S.A.P.I. de C.V.</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S.A.</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International GmbH</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Switzerland GmbH</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B.V.</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The Netherlands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Finance B.V.</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The Netherlands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Performance Materials Netherlands B.V.</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The Netherlands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Turkey Performans Malzemeleri Anonim Şirketi</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Turkey</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Black Rose Investments Limited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British Virgin Islands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Dragón Verde Investments Limited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British Virgin Islands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AHB Investments Limited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British Virgin Islands</w:t>
            </w:r>
          </w:p>
        </w:tc>
        <w:tc>
          <w:tcPr>
            <w:tcW w:w="2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Arial" w:cs="Arial" w:eastAsia="Arial" w:hAnsi="Arial"/>
                <w:sz w:val="13"/>
                <w:szCs w:val="13"/>
                <w:b w:val="1"/>
                <w:bCs w:val="1"/>
                <w:color w:val="auto"/>
              </w:rPr>
              <w:t>Subsidiary</w:t>
            </w:r>
          </w:p>
        </w:tc>
        <w:tc>
          <w:tcPr>
            <w:tcW w:w="5600" w:type="dxa"/>
            <w:vAlign w:val="bottom"/>
            <w:gridSpan w:val="2"/>
          </w:tcPr>
          <w:p>
            <w:pPr>
              <w:ind w:left="140"/>
              <w:spacing w:after="0"/>
              <w:rPr>
                <w:sz w:val="20"/>
                <w:szCs w:val="20"/>
                <w:color w:val="auto"/>
              </w:rPr>
            </w:pPr>
            <w:r>
              <w:rPr>
                <w:rFonts w:ascii="Arial" w:cs="Arial" w:eastAsia="Arial" w:hAnsi="Arial"/>
                <w:sz w:val="13"/>
                <w:szCs w:val="13"/>
                <w:b w:val="1"/>
                <w:bCs w:val="1"/>
                <w:color w:val="auto"/>
              </w:rPr>
              <w:t>State/Jurisdiction of Incorporation</w:t>
            </w:r>
          </w:p>
        </w:tc>
        <w:tc>
          <w:tcPr>
            <w:tcW w:w="20" w:type="dxa"/>
            <w:vAlign w:val="bottom"/>
          </w:tcPr>
          <w:p>
            <w:pPr>
              <w:spacing w:after="0"/>
              <w:rPr>
                <w:sz w:val="15"/>
                <w:szCs w:val="15"/>
                <w:color w:val="auto"/>
              </w:rPr>
            </w:pPr>
          </w:p>
        </w:tc>
      </w:tr>
      <w:tr>
        <w:trPr>
          <w:trHeight w:val="497"/>
        </w:trPr>
        <w:tc>
          <w:tcPr>
            <w:tcW w:w="20" w:type="dxa"/>
            <w:vAlign w:val="bottom"/>
          </w:tcPr>
          <w:p>
            <w:pPr>
              <w:spacing w:after="0"/>
              <w:rPr>
                <w:sz w:val="24"/>
                <w:szCs w:val="24"/>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HDF Investments Limited</w:t>
            </w:r>
          </w:p>
        </w:tc>
        <w:tc>
          <w:tcPr>
            <w:tcW w:w="140" w:type="dxa"/>
            <w:vAlign w:val="bottom"/>
          </w:tcPr>
          <w:p>
            <w:pPr>
              <w:spacing w:after="0"/>
              <w:rPr>
                <w:sz w:val="24"/>
                <w:szCs w:val="24"/>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British Virgin Islands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Ramaai Holdings Limited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British Virgin Islands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Performance Products FZE</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Dubai, United Arab Emirates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Botsel Limited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United Kingdom (England)</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Carbon Limited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United Kingdom (England)</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G.B. Limited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United Kingdom (England)</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Plastics Limited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United Kingdom (England)</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U.K. Limited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United Kingdom (England)</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UK Holdings Limited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United Kingdom (England)</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Performance Materials UK Limited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United Kingdom (England)</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Activated Carbon Holdings UK Limited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United Kingdom (England)</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Activated Carbon UK Limited</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United Kingdom (England)</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Applied NanoStructured Solutions, LLC</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Beyond Lotus LLC</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Asia Investments Corporation</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Ceramics, Inc.</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Corporation Foundation, Inc.</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Massachusetts, United States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CSC LLC</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Holdings LLC</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Insurance Co. Ltd. (Vermont)</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Vermont, United States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International Capital Corporation</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Specialty Chemicals, Inc.</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CDE Company</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Energy Transport Limited LLC</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Kawecki Chemicals, Inc.</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Cabot Activated Carbon LLC</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Delaware, United States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Northeast Boulevard, LLC</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Florida, United States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Representaciones 1, 2 y 3 C.A.</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Venezuela</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Valores Ramaai C.A.</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Venezuela</w:t>
            </w:r>
          </w:p>
        </w:tc>
        <w:tc>
          <w:tcPr>
            <w:tcW w:w="20" w:type="dxa"/>
            <w:vAlign w:val="bottom"/>
          </w:tcPr>
          <w:p>
            <w:pPr>
              <w:spacing w:after="0"/>
              <w:rPr>
                <w:sz w:val="24"/>
                <w:szCs w:val="24"/>
                <w:color w:val="auto"/>
              </w:rPr>
            </w:pPr>
          </w:p>
        </w:tc>
      </w:tr>
      <w:tr>
        <w:trPr>
          <w:trHeight w:val="665"/>
        </w:trPr>
        <w:tc>
          <w:tcPr>
            <w:tcW w:w="2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1" w:name="page122"/>
    <w:bookmarkEnd w:id="121"/>
    <w:p>
      <w:pPr>
        <w:jc w:val="right"/>
        <w:spacing w:after="0"/>
        <w:rPr>
          <w:sz w:val="20"/>
          <w:szCs w:val="20"/>
          <w:color w:val="auto"/>
        </w:rPr>
      </w:pPr>
      <w:r>
        <w:rPr>
          <w:rFonts w:ascii="Calibri" w:cs="Calibri" w:eastAsia="Calibri" w:hAnsi="Calibri"/>
          <w:sz w:val="18"/>
          <w:szCs w:val="18"/>
          <w:b w:val="1"/>
          <w:bCs w:val="1"/>
          <w:color w:val="auto"/>
        </w:rPr>
        <w:t>Exhibit 23</w:t>
      </w:r>
    </w:p>
    <w:p>
      <w:pPr>
        <w:spacing w:after="0" w:line="307"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auto"/>
        </w:rPr>
        <w:t>CONSENT OF INDEPENDENT REGISTERED PUBLIC ACCOUNTING FIRM</w:t>
      </w:r>
    </w:p>
    <w:p>
      <w:pPr>
        <w:spacing w:after="0" w:line="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consent to the incorporaton by reference in Registraton Statement Nos. 333- 177176, 333-96881, 333-134134, 333-158991, 333-161253, 333-181391, 333-204365, 333-216707 and 333-255782 each on Form S-8 and Registraton Statement No. 333-236374 on Form S-3 of our reports dated November 22, 2023, relatng to the fnancial statements of Cabot Corporaton, and the efectveness of Cabot Corporaton’s internal control over fnancial reportng, appearing in the Annual Report on Form 10-K of Cabot Corporaton for the year ended September 30, 2023.</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color w:val="auto"/>
        </w:rPr>
        <w:t>/s/ Deloite &amp; Touche LLP</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auto"/>
        </w:rPr>
        <w:t>Boston, Massachusets</w:t>
      </w:r>
    </w:p>
    <w:p>
      <w:pPr>
        <w:spacing w:after="0" w:line="235" w:lineRule="auto"/>
        <w:rPr>
          <w:sz w:val="20"/>
          <w:szCs w:val="20"/>
          <w:color w:val="auto"/>
        </w:rPr>
      </w:pPr>
      <w:r>
        <w:rPr>
          <w:rFonts w:ascii="Calibri" w:cs="Calibri" w:eastAsia="Calibri" w:hAnsi="Calibri"/>
          <w:sz w:val="18"/>
          <w:szCs w:val="18"/>
          <w:color w:val="auto"/>
        </w:rPr>
        <w:t>November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2" w:name="page123"/>
    <w:bookmarkEnd w:id="122"/>
    <w:p>
      <w:pPr>
        <w:jc w:val="right"/>
        <w:spacing w:after="0"/>
        <w:rPr>
          <w:sz w:val="20"/>
          <w:szCs w:val="20"/>
          <w:color w:val="auto"/>
        </w:rPr>
      </w:pPr>
      <w:r>
        <w:rPr>
          <w:rFonts w:ascii="Calibri" w:cs="Calibri" w:eastAsia="Calibri" w:hAnsi="Calibri"/>
          <w:sz w:val="18"/>
          <w:szCs w:val="18"/>
          <w:b w:val="1"/>
          <w:bCs w:val="1"/>
          <w:color w:val="auto"/>
        </w:rPr>
        <w:t>Exhibit 31(i)</w:t>
      </w:r>
    </w:p>
    <w:p>
      <w:pPr>
        <w:spacing w:after="0" w:line="6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Principal Executve Ofcer Certfcaton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color w:val="auto"/>
        </w:rPr>
        <w:t>I, Sean D. Keohane, certfy that:</w:t>
      </w:r>
    </w:p>
    <w:p>
      <w:pPr>
        <w:spacing w:after="0" w:line="64" w:lineRule="exact"/>
        <w:rPr>
          <w:sz w:val="20"/>
          <w:szCs w:val="20"/>
          <w:color w:val="auto"/>
        </w:rPr>
      </w:pPr>
    </w:p>
    <w:p>
      <w:pPr>
        <w:ind w:left="760" w:hanging="174"/>
        <w:spacing w:after="0"/>
        <w:tabs>
          <w:tab w:leader="none" w:pos="760"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I have reviewed this annual report on Form 10-K of Cabot Corporaton;</w:t>
      </w:r>
    </w:p>
    <w:p>
      <w:pPr>
        <w:spacing w:after="0" w:line="68" w:lineRule="exact"/>
        <w:rPr>
          <w:rFonts w:ascii="Calibri" w:cs="Calibri" w:eastAsia="Calibri" w:hAnsi="Calibri"/>
          <w:sz w:val="18"/>
          <w:szCs w:val="18"/>
          <w:color w:val="auto"/>
        </w:rPr>
      </w:pPr>
    </w:p>
    <w:p>
      <w:pPr>
        <w:ind w:right="20" w:firstLine="586"/>
        <w:spacing w:after="0" w:line="258" w:lineRule="auto"/>
        <w:tabs>
          <w:tab w:leader="none" w:pos="751" w:val="left"/>
        </w:tabs>
        <w:numPr>
          <w:ilvl w:val="0"/>
          <w:numId w:val="62"/>
        </w:numPr>
        <w:rPr>
          <w:rFonts w:ascii="Calibri" w:cs="Calibri" w:eastAsia="Calibri" w:hAnsi="Calibri"/>
          <w:sz w:val="17"/>
          <w:szCs w:val="17"/>
          <w:color w:val="auto"/>
        </w:rPr>
      </w:pPr>
      <w:r>
        <w:rPr>
          <w:rFonts w:ascii="Calibri" w:cs="Calibri" w:eastAsia="Calibri" w:hAnsi="Calibri"/>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Calibri" w:cs="Calibri" w:eastAsia="Calibri" w:hAnsi="Calibri"/>
          <w:sz w:val="17"/>
          <w:szCs w:val="17"/>
          <w:color w:val="auto"/>
        </w:rPr>
      </w:pPr>
    </w:p>
    <w:p>
      <w:pPr>
        <w:ind w:right="100" w:firstLine="586"/>
        <w:spacing w:after="0" w:line="235" w:lineRule="auto"/>
        <w:tabs>
          <w:tab w:leader="none" w:pos="751"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69" w:lineRule="exact"/>
        <w:rPr>
          <w:rFonts w:ascii="Calibri" w:cs="Calibri" w:eastAsia="Calibri" w:hAnsi="Calibri"/>
          <w:sz w:val="18"/>
          <w:szCs w:val="18"/>
          <w:color w:val="auto"/>
        </w:rPr>
      </w:pPr>
    </w:p>
    <w:p>
      <w:pPr>
        <w:jc w:val="both"/>
        <w:ind w:right="200" w:firstLine="586"/>
        <w:spacing w:after="0" w:line="235" w:lineRule="auto"/>
        <w:tabs>
          <w:tab w:leader="none" w:pos="751"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70" w:lineRule="exact"/>
        <w:rPr>
          <w:rFonts w:ascii="Calibri" w:cs="Calibri" w:eastAsia="Calibri" w:hAnsi="Calibri"/>
          <w:sz w:val="18"/>
          <w:szCs w:val="18"/>
          <w:color w:val="auto"/>
        </w:rPr>
      </w:pPr>
    </w:p>
    <w:p>
      <w:pPr>
        <w:ind w:left="600" w:right="440" w:firstLine="576"/>
        <w:spacing w:after="0" w:line="235" w:lineRule="auto"/>
        <w:tabs>
          <w:tab w:leader="none" w:pos="1361" w:val="left"/>
        </w:tabs>
        <w:numPr>
          <w:ilvl w:val="1"/>
          <w:numId w:val="62"/>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83" w:lineRule="exact"/>
        <w:rPr>
          <w:rFonts w:ascii="Calibri" w:cs="Calibri" w:eastAsia="Calibri" w:hAnsi="Calibri"/>
          <w:sz w:val="18"/>
          <w:szCs w:val="18"/>
          <w:color w:val="auto"/>
        </w:rPr>
      </w:pPr>
    </w:p>
    <w:p>
      <w:pPr>
        <w:jc w:val="both"/>
        <w:ind w:left="600" w:right="200" w:firstLine="576"/>
        <w:spacing w:after="0" w:line="235" w:lineRule="auto"/>
        <w:tabs>
          <w:tab w:leader="none" w:pos="1369" w:val="left"/>
        </w:tabs>
        <w:numPr>
          <w:ilvl w:val="1"/>
          <w:numId w:val="62"/>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70" w:lineRule="exact"/>
        <w:rPr>
          <w:rFonts w:ascii="Calibri" w:cs="Calibri" w:eastAsia="Calibri" w:hAnsi="Calibri"/>
          <w:sz w:val="18"/>
          <w:szCs w:val="18"/>
          <w:color w:val="auto"/>
        </w:rPr>
      </w:pPr>
    </w:p>
    <w:p>
      <w:pPr>
        <w:ind w:left="600" w:right="220" w:firstLine="576"/>
        <w:spacing w:after="0" w:line="235" w:lineRule="auto"/>
        <w:tabs>
          <w:tab w:leader="none" w:pos="1351" w:val="left"/>
        </w:tabs>
        <w:numPr>
          <w:ilvl w:val="1"/>
          <w:numId w:val="62"/>
        </w:numPr>
        <w:rPr>
          <w:rFonts w:ascii="Calibri" w:cs="Calibri" w:eastAsia="Calibri" w:hAnsi="Calibri"/>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69" w:lineRule="exact"/>
        <w:rPr>
          <w:rFonts w:ascii="Calibri" w:cs="Calibri" w:eastAsia="Calibri" w:hAnsi="Calibri"/>
          <w:sz w:val="18"/>
          <w:szCs w:val="18"/>
          <w:color w:val="auto"/>
        </w:rPr>
      </w:pPr>
    </w:p>
    <w:p>
      <w:pPr>
        <w:ind w:left="600" w:right="280" w:firstLine="576"/>
        <w:spacing w:after="0" w:line="235" w:lineRule="auto"/>
        <w:tabs>
          <w:tab w:leader="none" w:pos="1369" w:val="left"/>
        </w:tabs>
        <w:numPr>
          <w:ilvl w:val="1"/>
          <w:numId w:val="62"/>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83" w:lineRule="exact"/>
        <w:rPr>
          <w:rFonts w:ascii="Calibri" w:cs="Calibri" w:eastAsia="Calibri" w:hAnsi="Calibri"/>
          <w:sz w:val="18"/>
          <w:szCs w:val="18"/>
          <w:color w:val="auto"/>
        </w:rPr>
      </w:pPr>
    </w:p>
    <w:p>
      <w:pPr>
        <w:ind w:right="140" w:firstLine="586"/>
        <w:spacing w:after="0" w:line="235" w:lineRule="auto"/>
        <w:tabs>
          <w:tab w:leader="none" w:pos="751"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69" w:lineRule="exact"/>
        <w:rPr>
          <w:rFonts w:ascii="Calibri" w:cs="Calibri" w:eastAsia="Calibri" w:hAnsi="Calibri"/>
          <w:sz w:val="18"/>
          <w:szCs w:val="18"/>
          <w:color w:val="auto"/>
        </w:rPr>
      </w:pPr>
    </w:p>
    <w:p>
      <w:pPr>
        <w:ind w:left="600" w:right="620" w:firstLine="576"/>
        <w:spacing w:after="0" w:line="235" w:lineRule="auto"/>
        <w:tabs>
          <w:tab w:leader="none" w:pos="1361" w:val="left"/>
        </w:tabs>
        <w:numPr>
          <w:ilvl w:val="1"/>
          <w:numId w:val="62"/>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69" w:lineRule="exact"/>
        <w:rPr>
          <w:rFonts w:ascii="Calibri" w:cs="Calibri" w:eastAsia="Calibri" w:hAnsi="Calibri"/>
          <w:sz w:val="18"/>
          <w:szCs w:val="18"/>
          <w:color w:val="auto"/>
        </w:rPr>
      </w:pPr>
    </w:p>
    <w:p>
      <w:pPr>
        <w:ind w:left="600" w:right="200" w:firstLine="576"/>
        <w:spacing w:after="0" w:line="235" w:lineRule="auto"/>
        <w:tabs>
          <w:tab w:leader="none" w:pos="1369" w:val="left"/>
        </w:tabs>
        <w:numPr>
          <w:ilvl w:val="1"/>
          <w:numId w:val="62"/>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91" w:lineRule="exact"/>
        <w:rPr>
          <w:sz w:val="20"/>
          <w:szCs w:val="20"/>
          <w:color w:val="auto"/>
        </w:rPr>
      </w:pPr>
    </w:p>
    <w:p>
      <w:pPr>
        <w:ind w:left="20"/>
        <w:spacing w:after="0"/>
        <w:tabs>
          <w:tab w:leader="none" w:pos="7740" w:val="left"/>
          <w:tab w:leader="none" w:pos="8100" w:val="left"/>
        </w:tabs>
        <w:rPr>
          <w:sz w:val="20"/>
          <w:szCs w:val="20"/>
          <w:color w:val="auto"/>
        </w:rPr>
      </w:pPr>
      <w:r>
        <w:rPr>
          <w:rFonts w:ascii="Calibri" w:cs="Calibri" w:eastAsia="Calibri" w:hAnsi="Calibri"/>
          <w:sz w:val="18"/>
          <w:szCs w:val="18"/>
          <w:color w:val="auto"/>
        </w:rPr>
        <w:t>Date: November 22, 2023</w:t>
      </w:r>
      <w:r>
        <w:rPr>
          <w:sz w:val="20"/>
          <w:szCs w:val="20"/>
          <w:color w:val="auto"/>
        </w:rPr>
        <w:tab/>
      </w:r>
      <w:r>
        <w:rPr>
          <w:rFonts w:ascii="Calibri" w:cs="Calibri" w:eastAsia="Calibri" w:hAnsi="Calibri"/>
          <w:sz w:val="18"/>
          <w:szCs w:val="18"/>
          <w:color w:val="auto"/>
        </w:rPr>
        <w:t>/</w:t>
      </w:r>
      <w:r>
        <w:rPr>
          <w:rFonts w:ascii="Calibri" w:cs="Calibri" w:eastAsia="Calibri" w:hAnsi="Calibri"/>
          <w:sz w:val="13"/>
          <w:szCs w:val="13"/>
          <w:color w:val="auto"/>
        </w:rPr>
        <w:t>S</w:t>
      </w: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SEAN D.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23495</wp:posOffset>
            </wp:positionV>
            <wp:extent cx="336042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7" w:lineRule="exact"/>
        <w:rPr>
          <w:sz w:val="20"/>
          <w:szCs w:val="20"/>
          <w:color w:val="auto"/>
        </w:rPr>
      </w:pPr>
    </w:p>
    <w:p>
      <w:pPr>
        <w:jc w:val="center"/>
        <w:ind w:left="5920"/>
        <w:spacing w:after="0"/>
        <w:rPr>
          <w:sz w:val="20"/>
          <w:szCs w:val="20"/>
          <w:color w:val="auto"/>
        </w:rPr>
      </w:pPr>
      <w:r>
        <w:rPr>
          <w:rFonts w:ascii="Calibri" w:cs="Calibri" w:eastAsia="Calibri" w:hAnsi="Calibri"/>
          <w:sz w:val="18"/>
          <w:szCs w:val="18"/>
          <w:b w:val="1"/>
          <w:bCs w:val="1"/>
          <w:color w:val="auto"/>
        </w:rPr>
        <w:t>Sean D. Keohane</w:t>
      </w:r>
    </w:p>
    <w:p>
      <w:pPr>
        <w:jc w:val="center"/>
        <w:ind w:left="5920"/>
        <w:spacing w:after="0" w:line="235" w:lineRule="auto"/>
        <w:rPr>
          <w:sz w:val="20"/>
          <w:szCs w:val="20"/>
          <w:color w:val="auto"/>
        </w:rPr>
      </w:pPr>
      <w:r>
        <w:rPr>
          <w:rFonts w:ascii="Calibri" w:cs="Calibri" w:eastAsia="Calibri" w:hAnsi="Calibri"/>
          <w:sz w:val="18"/>
          <w:szCs w:val="18"/>
          <w:b w:val="1"/>
          <w:bCs w:val="1"/>
          <w:color w:val="auto"/>
        </w:rPr>
        <w:t>President and</w:t>
      </w:r>
    </w:p>
    <w:p>
      <w:pPr>
        <w:jc w:val="center"/>
        <w:ind w:left="5920"/>
        <w:spacing w:after="0" w:line="236" w:lineRule="auto"/>
        <w:rPr>
          <w:sz w:val="20"/>
          <w:szCs w:val="20"/>
          <w:color w:val="auto"/>
        </w:rPr>
      </w:pPr>
      <w:r>
        <w:rPr>
          <w:rFonts w:ascii="Calibri" w:cs="Calibri" w:eastAsia="Calibri" w:hAnsi="Calibri"/>
          <w:sz w:val="18"/>
          <w:szCs w:val="18"/>
          <w:b w:val="1"/>
          <w:bCs w:val="1"/>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3" w:name="page124"/>
    <w:bookmarkEnd w:id="123"/>
    <w:p>
      <w:pPr>
        <w:jc w:val="right"/>
        <w:spacing w:after="0"/>
        <w:rPr>
          <w:sz w:val="20"/>
          <w:szCs w:val="20"/>
          <w:color w:val="auto"/>
        </w:rPr>
      </w:pPr>
      <w:r>
        <w:rPr>
          <w:rFonts w:ascii="Calibri" w:cs="Calibri" w:eastAsia="Calibri" w:hAnsi="Calibri"/>
          <w:sz w:val="18"/>
          <w:szCs w:val="18"/>
          <w:b w:val="1"/>
          <w:bCs w:val="1"/>
          <w:color w:val="auto"/>
        </w:rPr>
        <w:t>Exhibit 31(ii)</w:t>
      </w:r>
    </w:p>
    <w:p>
      <w:pPr>
        <w:spacing w:after="0" w:line="6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Principal Financial Ofcer Certfcaton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color w:val="auto"/>
        </w:rPr>
        <w:t>I, Erica McLaughlin, certfy that:</w:t>
      </w:r>
    </w:p>
    <w:p>
      <w:pPr>
        <w:spacing w:after="0" w:line="64" w:lineRule="exact"/>
        <w:rPr>
          <w:sz w:val="20"/>
          <w:szCs w:val="20"/>
          <w:color w:val="auto"/>
        </w:rPr>
      </w:pPr>
    </w:p>
    <w:p>
      <w:pPr>
        <w:ind w:left="760" w:hanging="174"/>
        <w:spacing w:after="0"/>
        <w:tabs>
          <w:tab w:leader="none" w:pos="760" w:val="left"/>
        </w:tabs>
        <w:numPr>
          <w:ilvl w:val="0"/>
          <w:numId w:val="63"/>
        </w:numPr>
        <w:rPr>
          <w:rFonts w:ascii="Calibri" w:cs="Calibri" w:eastAsia="Calibri" w:hAnsi="Calibri"/>
          <w:sz w:val="18"/>
          <w:szCs w:val="18"/>
          <w:color w:val="auto"/>
        </w:rPr>
      </w:pPr>
      <w:r>
        <w:rPr>
          <w:rFonts w:ascii="Calibri" w:cs="Calibri" w:eastAsia="Calibri" w:hAnsi="Calibri"/>
          <w:sz w:val="18"/>
          <w:szCs w:val="18"/>
          <w:color w:val="auto"/>
        </w:rPr>
        <w:t>I have reviewed this annual report on Form 10-K of Cabot Corporaton;</w:t>
      </w:r>
    </w:p>
    <w:p>
      <w:pPr>
        <w:spacing w:after="0" w:line="68" w:lineRule="exact"/>
        <w:rPr>
          <w:rFonts w:ascii="Calibri" w:cs="Calibri" w:eastAsia="Calibri" w:hAnsi="Calibri"/>
          <w:sz w:val="18"/>
          <w:szCs w:val="18"/>
          <w:color w:val="auto"/>
        </w:rPr>
      </w:pPr>
    </w:p>
    <w:p>
      <w:pPr>
        <w:ind w:right="20" w:firstLine="586"/>
        <w:spacing w:after="0" w:line="258" w:lineRule="auto"/>
        <w:tabs>
          <w:tab w:leader="none" w:pos="751" w:val="left"/>
        </w:tabs>
        <w:numPr>
          <w:ilvl w:val="0"/>
          <w:numId w:val="63"/>
        </w:numPr>
        <w:rPr>
          <w:rFonts w:ascii="Calibri" w:cs="Calibri" w:eastAsia="Calibri" w:hAnsi="Calibri"/>
          <w:sz w:val="17"/>
          <w:szCs w:val="17"/>
          <w:color w:val="auto"/>
        </w:rPr>
      </w:pPr>
      <w:r>
        <w:rPr>
          <w:rFonts w:ascii="Calibri" w:cs="Calibri" w:eastAsia="Calibri" w:hAnsi="Calibri"/>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Calibri" w:cs="Calibri" w:eastAsia="Calibri" w:hAnsi="Calibri"/>
          <w:sz w:val="17"/>
          <w:szCs w:val="17"/>
          <w:color w:val="auto"/>
        </w:rPr>
      </w:pPr>
    </w:p>
    <w:p>
      <w:pPr>
        <w:ind w:right="100" w:firstLine="586"/>
        <w:spacing w:after="0" w:line="235" w:lineRule="auto"/>
        <w:tabs>
          <w:tab w:leader="none" w:pos="751" w:val="left"/>
        </w:tabs>
        <w:numPr>
          <w:ilvl w:val="0"/>
          <w:numId w:val="63"/>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69" w:lineRule="exact"/>
        <w:rPr>
          <w:rFonts w:ascii="Calibri" w:cs="Calibri" w:eastAsia="Calibri" w:hAnsi="Calibri"/>
          <w:sz w:val="18"/>
          <w:szCs w:val="18"/>
          <w:color w:val="auto"/>
        </w:rPr>
      </w:pPr>
    </w:p>
    <w:p>
      <w:pPr>
        <w:jc w:val="both"/>
        <w:ind w:right="200" w:firstLine="586"/>
        <w:spacing w:after="0" w:line="235" w:lineRule="auto"/>
        <w:tabs>
          <w:tab w:leader="none" w:pos="751" w:val="left"/>
        </w:tabs>
        <w:numPr>
          <w:ilvl w:val="0"/>
          <w:numId w:val="63"/>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70" w:lineRule="exact"/>
        <w:rPr>
          <w:rFonts w:ascii="Calibri" w:cs="Calibri" w:eastAsia="Calibri" w:hAnsi="Calibri"/>
          <w:sz w:val="18"/>
          <w:szCs w:val="18"/>
          <w:color w:val="auto"/>
        </w:rPr>
      </w:pPr>
    </w:p>
    <w:p>
      <w:pPr>
        <w:ind w:left="600" w:right="440" w:firstLine="576"/>
        <w:spacing w:after="0" w:line="235" w:lineRule="auto"/>
        <w:tabs>
          <w:tab w:leader="none" w:pos="1361" w:val="left"/>
        </w:tabs>
        <w:numPr>
          <w:ilvl w:val="1"/>
          <w:numId w:val="63"/>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83" w:lineRule="exact"/>
        <w:rPr>
          <w:rFonts w:ascii="Calibri" w:cs="Calibri" w:eastAsia="Calibri" w:hAnsi="Calibri"/>
          <w:sz w:val="18"/>
          <w:szCs w:val="18"/>
          <w:color w:val="auto"/>
        </w:rPr>
      </w:pPr>
    </w:p>
    <w:p>
      <w:pPr>
        <w:jc w:val="both"/>
        <w:ind w:left="600" w:right="200" w:firstLine="576"/>
        <w:spacing w:after="0" w:line="235" w:lineRule="auto"/>
        <w:tabs>
          <w:tab w:leader="none" w:pos="1369" w:val="left"/>
        </w:tabs>
        <w:numPr>
          <w:ilvl w:val="1"/>
          <w:numId w:val="63"/>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70" w:lineRule="exact"/>
        <w:rPr>
          <w:rFonts w:ascii="Calibri" w:cs="Calibri" w:eastAsia="Calibri" w:hAnsi="Calibri"/>
          <w:sz w:val="18"/>
          <w:szCs w:val="18"/>
          <w:color w:val="auto"/>
        </w:rPr>
      </w:pPr>
    </w:p>
    <w:p>
      <w:pPr>
        <w:ind w:left="600" w:right="220" w:firstLine="576"/>
        <w:spacing w:after="0" w:line="235" w:lineRule="auto"/>
        <w:tabs>
          <w:tab w:leader="none" w:pos="1351" w:val="left"/>
        </w:tabs>
        <w:numPr>
          <w:ilvl w:val="1"/>
          <w:numId w:val="63"/>
        </w:numPr>
        <w:rPr>
          <w:rFonts w:ascii="Calibri" w:cs="Calibri" w:eastAsia="Calibri" w:hAnsi="Calibri"/>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69" w:lineRule="exact"/>
        <w:rPr>
          <w:rFonts w:ascii="Calibri" w:cs="Calibri" w:eastAsia="Calibri" w:hAnsi="Calibri"/>
          <w:sz w:val="18"/>
          <w:szCs w:val="18"/>
          <w:color w:val="auto"/>
        </w:rPr>
      </w:pPr>
    </w:p>
    <w:p>
      <w:pPr>
        <w:ind w:left="600" w:right="280" w:firstLine="576"/>
        <w:spacing w:after="0" w:line="235" w:lineRule="auto"/>
        <w:tabs>
          <w:tab w:leader="none" w:pos="1369" w:val="left"/>
        </w:tabs>
        <w:numPr>
          <w:ilvl w:val="1"/>
          <w:numId w:val="63"/>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83" w:lineRule="exact"/>
        <w:rPr>
          <w:rFonts w:ascii="Calibri" w:cs="Calibri" w:eastAsia="Calibri" w:hAnsi="Calibri"/>
          <w:sz w:val="18"/>
          <w:szCs w:val="18"/>
          <w:color w:val="auto"/>
        </w:rPr>
      </w:pPr>
    </w:p>
    <w:p>
      <w:pPr>
        <w:ind w:right="140" w:firstLine="586"/>
        <w:spacing w:after="0" w:line="235" w:lineRule="auto"/>
        <w:tabs>
          <w:tab w:leader="none" w:pos="751" w:val="left"/>
        </w:tabs>
        <w:numPr>
          <w:ilvl w:val="0"/>
          <w:numId w:val="63"/>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69" w:lineRule="exact"/>
        <w:rPr>
          <w:rFonts w:ascii="Calibri" w:cs="Calibri" w:eastAsia="Calibri" w:hAnsi="Calibri"/>
          <w:sz w:val="18"/>
          <w:szCs w:val="18"/>
          <w:color w:val="auto"/>
        </w:rPr>
      </w:pPr>
    </w:p>
    <w:p>
      <w:pPr>
        <w:ind w:left="600" w:right="620" w:firstLine="576"/>
        <w:spacing w:after="0" w:line="235" w:lineRule="auto"/>
        <w:tabs>
          <w:tab w:leader="none" w:pos="1361" w:val="left"/>
        </w:tabs>
        <w:numPr>
          <w:ilvl w:val="1"/>
          <w:numId w:val="63"/>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69" w:lineRule="exact"/>
        <w:rPr>
          <w:rFonts w:ascii="Calibri" w:cs="Calibri" w:eastAsia="Calibri" w:hAnsi="Calibri"/>
          <w:sz w:val="18"/>
          <w:szCs w:val="18"/>
          <w:color w:val="auto"/>
        </w:rPr>
      </w:pPr>
    </w:p>
    <w:p>
      <w:pPr>
        <w:ind w:left="600" w:right="200" w:firstLine="576"/>
        <w:spacing w:after="0" w:line="235" w:lineRule="auto"/>
        <w:tabs>
          <w:tab w:leader="none" w:pos="1369" w:val="left"/>
        </w:tabs>
        <w:numPr>
          <w:ilvl w:val="1"/>
          <w:numId w:val="63"/>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91" w:lineRule="exact"/>
        <w:rPr>
          <w:sz w:val="20"/>
          <w:szCs w:val="20"/>
          <w:color w:val="auto"/>
        </w:rPr>
      </w:pPr>
    </w:p>
    <w:p>
      <w:pPr>
        <w:ind w:left="20"/>
        <w:spacing w:after="0"/>
        <w:tabs>
          <w:tab w:leader="none" w:pos="7560" w:val="left"/>
          <w:tab w:leader="none" w:pos="7920" w:val="left"/>
        </w:tabs>
        <w:rPr>
          <w:sz w:val="20"/>
          <w:szCs w:val="20"/>
          <w:color w:val="auto"/>
        </w:rPr>
      </w:pPr>
      <w:r>
        <w:rPr>
          <w:rFonts w:ascii="Calibri" w:cs="Calibri" w:eastAsia="Calibri" w:hAnsi="Calibri"/>
          <w:sz w:val="18"/>
          <w:szCs w:val="18"/>
          <w:color w:val="auto"/>
        </w:rPr>
        <w:t>Date: November 22, 2023</w:t>
      </w:r>
      <w:r>
        <w:rPr>
          <w:sz w:val="20"/>
          <w:szCs w:val="20"/>
          <w:color w:val="auto"/>
        </w:rPr>
        <w:tab/>
      </w:r>
      <w:r>
        <w:rPr>
          <w:rFonts w:ascii="Calibri" w:cs="Calibri" w:eastAsia="Calibri" w:hAnsi="Calibri"/>
          <w:sz w:val="18"/>
          <w:szCs w:val="18"/>
          <w:color w:val="auto"/>
        </w:rPr>
        <w:t>/s/</w:t>
      </w:r>
      <w:r>
        <w:rPr>
          <w:sz w:val="20"/>
          <w:szCs w:val="20"/>
          <w:color w:val="auto"/>
        </w:rPr>
        <w:tab/>
      </w:r>
      <w:r>
        <w:rPr>
          <w:rFonts w:ascii="Calibri" w:cs="Calibri" w:eastAsia="Calibri" w:hAnsi="Calibri"/>
          <w:sz w:val="17"/>
          <w:szCs w:val="17"/>
          <w:color w:val="auto"/>
        </w:rPr>
        <w:t>ERICA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23495</wp:posOffset>
            </wp:positionV>
            <wp:extent cx="349758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7" w:lineRule="exact"/>
        <w:rPr>
          <w:sz w:val="20"/>
          <w:szCs w:val="20"/>
          <w:color w:val="auto"/>
        </w:rPr>
      </w:pPr>
    </w:p>
    <w:p>
      <w:pPr>
        <w:jc w:val="center"/>
        <w:ind w:left="5720"/>
        <w:spacing w:after="0"/>
        <w:rPr>
          <w:sz w:val="20"/>
          <w:szCs w:val="20"/>
          <w:color w:val="auto"/>
        </w:rPr>
      </w:pPr>
      <w:r>
        <w:rPr>
          <w:rFonts w:ascii="Calibri" w:cs="Calibri" w:eastAsia="Calibri" w:hAnsi="Calibri"/>
          <w:sz w:val="18"/>
          <w:szCs w:val="18"/>
          <w:b w:val="1"/>
          <w:bCs w:val="1"/>
          <w:color w:val="auto"/>
        </w:rPr>
        <w:t>Erica McLaughlin</w:t>
      </w:r>
    </w:p>
    <w:p>
      <w:pPr>
        <w:jc w:val="center"/>
        <w:ind w:left="5720"/>
        <w:spacing w:after="0" w:line="235" w:lineRule="auto"/>
        <w:rPr>
          <w:sz w:val="20"/>
          <w:szCs w:val="20"/>
          <w:color w:val="auto"/>
        </w:rPr>
      </w:pPr>
      <w:r>
        <w:rPr>
          <w:rFonts w:ascii="Calibri" w:cs="Calibri" w:eastAsia="Calibri" w:hAnsi="Calibri"/>
          <w:sz w:val="18"/>
          <w:szCs w:val="18"/>
          <w:b w:val="1"/>
          <w:bCs w:val="1"/>
          <w:color w:val="auto"/>
        </w:rPr>
        <w:t>Executve Vice President and</w:t>
      </w:r>
    </w:p>
    <w:p>
      <w:pPr>
        <w:jc w:val="center"/>
        <w:ind w:left="5720"/>
        <w:spacing w:after="0" w:line="236"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4" w:name="page125"/>
    <w:bookmarkEnd w:id="124"/>
    <w:p>
      <w:pPr>
        <w:jc w:val="right"/>
        <w:spacing w:after="0"/>
        <w:rPr>
          <w:sz w:val="20"/>
          <w:szCs w:val="20"/>
          <w:color w:val="auto"/>
        </w:rPr>
      </w:pPr>
      <w:r>
        <w:rPr>
          <w:rFonts w:ascii="Calibri" w:cs="Calibri" w:eastAsia="Calibri" w:hAnsi="Calibri"/>
          <w:sz w:val="18"/>
          <w:szCs w:val="18"/>
          <w:b w:val="1"/>
          <w:bCs w:val="1"/>
          <w:color w:val="auto"/>
        </w:rPr>
        <w:t>Exhibit 32</w:t>
      </w:r>
    </w:p>
    <w:p>
      <w:pPr>
        <w:spacing w:after="0" w:line="6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Certfcatons Pursuant to 18 U.S.C. Secton 1350,</w:t>
      </w:r>
    </w:p>
    <w:p>
      <w:pPr>
        <w:jc w:val="center"/>
        <w:spacing w:after="0" w:line="235" w:lineRule="auto"/>
        <w:rPr>
          <w:sz w:val="20"/>
          <w:szCs w:val="20"/>
          <w:color w:val="auto"/>
        </w:rPr>
      </w:pPr>
      <w:r>
        <w:rPr>
          <w:rFonts w:ascii="Calibri" w:cs="Calibri" w:eastAsia="Calibri" w:hAnsi="Calibri"/>
          <w:sz w:val="18"/>
          <w:szCs w:val="18"/>
          <w:b w:val="1"/>
          <w:bCs w:val="1"/>
          <w:color w:val="auto"/>
        </w:rPr>
        <w:t>as Adopted Pursuant to Secton 906 of the</w:t>
      </w:r>
    </w:p>
    <w:p>
      <w:pPr>
        <w:jc w:val="center"/>
        <w:spacing w:after="0" w:line="236" w:lineRule="auto"/>
        <w:rPr>
          <w:sz w:val="20"/>
          <w:szCs w:val="20"/>
          <w:color w:val="auto"/>
        </w:rPr>
      </w:pPr>
      <w:r>
        <w:rPr>
          <w:rFonts w:ascii="Calibri" w:cs="Calibri" w:eastAsia="Calibri" w:hAnsi="Calibri"/>
          <w:sz w:val="18"/>
          <w:szCs w:val="18"/>
          <w:b w:val="1"/>
          <w:bCs w:val="1"/>
          <w:color w:val="auto"/>
        </w:rPr>
        <w:t>Sarbanes-Oxley Act of 2002</w:t>
      </w:r>
    </w:p>
    <w:p>
      <w:pPr>
        <w:spacing w:after="0" w:line="83" w:lineRule="exact"/>
        <w:rPr>
          <w:sz w:val="20"/>
          <w:szCs w:val="20"/>
          <w:color w:val="auto"/>
        </w:rPr>
      </w:pPr>
    </w:p>
    <w:p>
      <w:pPr>
        <w:ind w:right="220" w:firstLine="578"/>
        <w:spacing w:after="0" w:line="235" w:lineRule="auto"/>
        <w:rPr>
          <w:sz w:val="20"/>
          <w:szCs w:val="20"/>
          <w:color w:val="auto"/>
        </w:rPr>
      </w:pPr>
      <w:r>
        <w:rPr>
          <w:rFonts w:ascii="Calibri" w:cs="Calibri" w:eastAsia="Calibri" w:hAnsi="Calibri"/>
          <w:sz w:val="18"/>
          <w:szCs w:val="18"/>
          <w:color w:val="auto"/>
        </w:rPr>
        <w:t>In connecton with the fling of the Annual Report on Form 10-K for the year ended September 30, 2023 (the “Report”) by Cabot Corporaton (the “Company”), each of the undersigned hereby certfes pursuant to 18 U.S.C. Secton 1350, as adopted pursuant to Secton 906 of the Sarbanes-Oxley Act of 2002, that, to his knowledge:</w:t>
      </w:r>
    </w:p>
    <w:p>
      <w:pPr>
        <w:spacing w:after="0" w:line="79" w:lineRule="exact"/>
        <w:rPr>
          <w:sz w:val="20"/>
          <w:szCs w:val="20"/>
          <w:color w:val="auto"/>
        </w:rPr>
      </w:pPr>
    </w:p>
    <w:p>
      <w:pPr>
        <w:ind w:left="580" w:hanging="559"/>
        <w:spacing w:after="0"/>
        <w:tabs>
          <w:tab w:leader="none" w:pos="580" w:val="left"/>
        </w:tabs>
        <w:numPr>
          <w:ilvl w:val="0"/>
          <w:numId w:val="64"/>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 (a) or 15 (d) of the Securites Exchange Act of 1934, as amended; and</w:t>
      </w:r>
    </w:p>
    <w:p>
      <w:pPr>
        <w:spacing w:after="0" w:line="90" w:lineRule="exact"/>
        <w:rPr>
          <w:rFonts w:ascii="Calibri" w:cs="Calibri" w:eastAsia="Calibri" w:hAnsi="Calibri"/>
          <w:sz w:val="18"/>
          <w:szCs w:val="18"/>
          <w:color w:val="auto"/>
        </w:rPr>
      </w:pPr>
    </w:p>
    <w:p>
      <w:pPr>
        <w:ind w:left="580" w:hanging="559"/>
        <w:spacing w:after="0"/>
        <w:tabs>
          <w:tab w:leader="none" w:pos="580" w:val="left"/>
        </w:tabs>
        <w:numPr>
          <w:ilvl w:val="0"/>
          <w:numId w:val="64"/>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5720" w:type="dxa"/>
            <w:vAlign w:val="bottom"/>
          </w:tcPr>
          <w:p>
            <w:pPr>
              <w:spacing w:after="0"/>
              <w:rPr>
                <w:sz w:val="20"/>
                <w:szCs w:val="20"/>
                <w:color w:val="auto"/>
              </w:rPr>
            </w:pPr>
            <w:r>
              <w:rPr>
                <w:rFonts w:ascii="Calibri" w:cs="Calibri" w:eastAsia="Calibri" w:hAnsi="Calibri"/>
                <w:sz w:val="18"/>
                <w:szCs w:val="18"/>
                <w:color w:val="auto"/>
              </w:rPr>
              <w:t>November 22, 2023</w:t>
            </w:r>
          </w:p>
        </w:tc>
        <w:tc>
          <w:tcPr>
            <w:tcW w:w="2140" w:type="dxa"/>
            <w:vAlign w:val="bottom"/>
          </w:tcPr>
          <w:p>
            <w:pPr>
              <w:ind w:left="1920"/>
              <w:spacing w:after="0"/>
              <w:rPr>
                <w:sz w:val="20"/>
                <w:szCs w:val="20"/>
                <w:color w:val="auto"/>
              </w:rPr>
            </w:pPr>
            <w:r>
              <w:rPr>
                <w:rFonts w:ascii="Calibri" w:cs="Calibri" w:eastAsia="Calibri" w:hAnsi="Calibri"/>
                <w:sz w:val="18"/>
                <w:szCs w:val="18"/>
                <w:color w:val="auto"/>
                <w:w w:val="95"/>
              </w:rPr>
              <w:t>/s/</w:t>
            </w:r>
          </w:p>
        </w:tc>
        <w:tc>
          <w:tcPr>
            <w:tcW w:w="3360" w:type="dxa"/>
            <w:vAlign w:val="bottom"/>
          </w:tcPr>
          <w:p>
            <w:pPr>
              <w:jc w:val="center"/>
              <w:ind w:right="1690"/>
              <w:spacing w:after="0"/>
              <w:rPr>
                <w:sz w:val="20"/>
                <w:szCs w:val="20"/>
                <w:color w:val="auto"/>
              </w:rPr>
            </w:pPr>
            <w:r>
              <w:rPr>
                <w:rFonts w:ascii="Calibri" w:cs="Calibri" w:eastAsia="Calibri" w:hAnsi="Calibri"/>
                <w:sz w:val="18"/>
                <w:szCs w:val="18"/>
                <w:color w:val="auto"/>
                <w:w w:val="96"/>
              </w:rPr>
              <w:t>SEAN D. KEOHANE</w:t>
            </w:r>
          </w:p>
        </w:tc>
      </w:tr>
      <w:tr>
        <w:trPr>
          <w:trHeight w:val="37"/>
        </w:trPr>
        <w:tc>
          <w:tcPr>
            <w:tcW w:w="5720" w:type="dxa"/>
            <w:vAlign w:val="bottom"/>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r>
      <w:tr>
        <w:trPr>
          <w:trHeight w:val="201"/>
        </w:trPr>
        <w:tc>
          <w:tcPr>
            <w:tcW w:w="57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360" w:type="dxa"/>
            <w:vAlign w:val="bottom"/>
          </w:tcPr>
          <w:p>
            <w:pPr>
              <w:jc w:val="center"/>
              <w:ind w:right="2050"/>
              <w:spacing w:after="0" w:line="201" w:lineRule="exact"/>
              <w:rPr>
                <w:sz w:val="20"/>
                <w:szCs w:val="20"/>
                <w:color w:val="auto"/>
              </w:rPr>
            </w:pPr>
            <w:r>
              <w:rPr>
                <w:rFonts w:ascii="Calibri" w:cs="Calibri" w:eastAsia="Calibri" w:hAnsi="Calibri"/>
                <w:sz w:val="18"/>
                <w:szCs w:val="18"/>
                <w:b w:val="1"/>
                <w:bCs w:val="1"/>
                <w:color w:val="auto"/>
                <w:w w:val="96"/>
              </w:rPr>
              <w:t>Sean D. Keohane</w:t>
            </w:r>
          </w:p>
        </w:tc>
      </w:tr>
      <w:tr>
        <w:trPr>
          <w:trHeight w:val="215"/>
        </w:trPr>
        <w:tc>
          <w:tcPr>
            <w:tcW w:w="5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360" w:type="dxa"/>
            <w:vAlign w:val="bottom"/>
          </w:tcPr>
          <w:p>
            <w:pPr>
              <w:jc w:val="center"/>
              <w:ind w:right="2050"/>
              <w:spacing w:after="0" w:line="215" w:lineRule="exact"/>
              <w:rPr>
                <w:sz w:val="20"/>
                <w:szCs w:val="20"/>
                <w:color w:val="auto"/>
              </w:rPr>
            </w:pPr>
            <w:r>
              <w:rPr>
                <w:rFonts w:ascii="Calibri" w:cs="Calibri" w:eastAsia="Calibri" w:hAnsi="Calibri"/>
                <w:sz w:val="18"/>
                <w:szCs w:val="18"/>
                <w:b w:val="1"/>
                <w:bCs w:val="1"/>
                <w:color w:val="auto"/>
                <w:w w:val="98"/>
              </w:rPr>
              <w:t>President and</w:t>
            </w:r>
          </w:p>
        </w:tc>
      </w:tr>
      <w:tr>
        <w:trPr>
          <w:trHeight w:val="216"/>
        </w:trPr>
        <w:tc>
          <w:tcPr>
            <w:tcW w:w="5720" w:type="dxa"/>
            <w:vAlign w:val="bottom"/>
          </w:tcPr>
          <w:p>
            <w:pPr>
              <w:spacing w:after="0"/>
              <w:rPr>
                <w:sz w:val="18"/>
                <w:szCs w:val="18"/>
                <w:color w:val="auto"/>
              </w:rPr>
            </w:pPr>
          </w:p>
        </w:tc>
        <w:tc>
          <w:tcPr>
            <w:tcW w:w="5500" w:type="dxa"/>
            <w:vAlign w:val="bottom"/>
            <w:gridSpan w:val="2"/>
          </w:tcPr>
          <w:p>
            <w:pPr>
              <w:jc w:val="center"/>
              <w:spacing w:after="0" w:line="216" w:lineRule="exact"/>
              <w:rPr>
                <w:sz w:val="20"/>
                <w:szCs w:val="20"/>
                <w:color w:val="auto"/>
              </w:rPr>
            </w:pPr>
            <w:r>
              <w:rPr>
                <w:rFonts w:ascii="Calibri" w:cs="Calibri" w:eastAsia="Calibri" w:hAnsi="Calibri"/>
                <w:sz w:val="18"/>
                <w:szCs w:val="18"/>
                <w:b w:val="1"/>
                <w:bCs w:val="1"/>
                <w:color w:val="auto"/>
              </w:rPr>
              <w:t>Chief Executve Ofcer</w:t>
            </w:r>
          </w:p>
        </w:tc>
      </w:tr>
      <w:tr>
        <w:trPr>
          <w:trHeight w:val="351"/>
        </w:trPr>
        <w:tc>
          <w:tcPr>
            <w:tcW w:w="5720" w:type="dxa"/>
            <w:vAlign w:val="bottom"/>
          </w:tcPr>
          <w:p>
            <w:pPr>
              <w:spacing w:after="0"/>
              <w:rPr>
                <w:sz w:val="20"/>
                <w:szCs w:val="20"/>
                <w:color w:val="auto"/>
              </w:rPr>
            </w:pPr>
            <w:r>
              <w:rPr>
                <w:rFonts w:ascii="Calibri" w:cs="Calibri" w:eastAsia="Calibri" w:hAnsi="Calibri"/>
                <w:sz w:val="18"/>
                <w:szCs w:val="18"/>
                <w:color w:val="auto"/>
              </w:rPr>
              <w:t>November 22, 2023</w:t>
            </w:r>
          </w:p>
        </w:tc>
        <w:tc>
          <w:tcPr>
            <w:tcW w:w="2140" w:type="dxa"/>
            <w:vAlign w:val="bottom"/>
          </w:tcPr>
          <w:p>
            <w:pPr>
              <w:ind w:left="1860"/>
              <w:spacing w:after="0"/>
              <w:rPr>
                <w:sz w:val="20"/>
                <w:szCs w:val="20"/>
                <w:color w:val="auto"/>
              </w:rPr>
            </w:pPr>
            <w:r>
              <w:rPr>
                <w:rFonts w:ascii="Calibri" w:cs="Calibri" w:eastAsia="Calibri" w:hAnsi="Calibri"/>
                <w:sz w:val="18"/>
                <w:szCs w:val="18"/>
                <w:color w:val="auto"/>
              </w:rPr>
              <w:t>/s/</w:t>
            </w:r>
          </w:p>
        </w:tc>
        <w:tc>
          <w:tcPr>
            <w:tcW w:w="3360" w:type="dxa"/>
            <w:vAlign w:val="bottom"/>
          </w:tcPr>
          <w:p>
            <w:pPr>
              <w:jc w:val="center"/>
              <w:ind w:right="1670"/>
              <w:spacing w:after="0"/>
              <w:rPr>
                <w:sz w:val="20"/>
                <w:szCs w:val="20"/>
                <w:color w:val="auto"/>
              </w:rPr>
            </w:pPr>
            <w:r>
              <w:rPr>
                <w:rFonts w:ascii="Calibri" w:cs="Calibri" w:eastAsia="Calibri" w:hAnsi="Calibri"/>
                <w:sz w:val="18"/>
                <w:szCs w:val="18"/>
                <w:color w:val="auto"/>
                <w:w w:val="97"/>
              </w:rPr>
              <w:t>ERICA MCLAUGHLIN</w:t>
            </w:r>
          </w:p>
        </w:tc>
      </w:tr>
      <w:tr>
        <w:trPr>
          <w:trHeight w:val="37"/>
        </w:trPr>
        <w:tc>
          <w:tcPr>
            <w:tcW w:w="5720" w:type="dxa"/>
            <w:vAlign w:val="bottom"/>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r>
      <w:tr>
        <w:trPr>
          <w:trHeight w:val="208"/>
        </w:trPr>
        <w:tc>
          <w:tcPr>
            <w:tcW w:w="5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360" w:type="dxa"/>
            <w:vAlign w:val="bottom"/>
          </w:tcPr>
          <w:p>
            <w:pPr>
              <w:jc w:val="center"/>
              <w:ind w:right="2030"/>
              <w:spacing w:after="0" w:line="208" w:lineRule="exact"/>
              <w:rPr>
                <w:sz w:val="20"/>
                <w:szCs w:val="20"/>
                <w:color w:val="auto"/>
              </w:rPr>
            </w:pPr>
            <w:r>
              <w:rPr>
                <w:rFonts w:ascii="Calibri" w:cs="Calibri" w:eastAsia="Calibri" w:hAnsi="Calibri"/>
                <w:sz w:val="18"/>
                <w:szCs w:val="18"/>
                <w:b w:val="1"/>
                <w:bCs w:val="1"/>
                <w:color w:val="auto"/>
                <w:w w:val="98"/>
              </w:rPr>
              <w:t>Erica McLaughlin</w:t>
            </w:r>
          </w:p>
        </w:tc>
      </w:tr>
    </w:tbl>
    <w:p>
      <w:pPr>
        <w:jc w:val="center"/>
        <w:ind w:left="5720"/>
        <w:spacing w:after="0" w:line="226" w:lineRule="auto"/>
        <w:rPr>
          <w:sz w:val="20"/>
          <w:szCs w:val="20"/>
          <w:color w:val="auto"/>
        </w:rPr>
      </w:pPr>
      <w:r>
        <w:rPr>
          <w:rFonts w:ascii="Calibri" w:cs="Calibri" w:eastAsia="Calibri" w:hAnsi="Calibri"/>
          <w:sz w:val="18"/>
          <w:szCs w:val="18"/>
          <w:b w:val="1"/>
          <w:bCs w:val="1"/>
          <w:color w:val="auto"/>
        </w:rPr>
        <w:t>Executve Vice President and</w:t>
      </w:r>
    </w:p>
    <w:p>
      <w:pPr>
        <w:jc w:val="center"/>
        <w:ind w:left="5720"/>
        <w:spacing w:after="0" w:line="236"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5" w:name="page126"/>
    <w:bookmarkEnd w:id="1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1)"/>
      <w:numFmt w:val="lowerRoman"/>
      <w:start w:val="1"/>
    </w:lvl>
  </w:abstractNum>
  <w:abstractNum w:abstractNumId="11">
    <w:nsid w:val="5C482A97"/>
    <w:multiLevelType w:val="hybridMultilevel"/>
    <w:lvl w:ilvl="0">
      <w:lvlJc w:val="left"/>
      <w:lvlText w:val="%1)"/>
      <w:numFmt w:val="lowerRoman"/>
      <w:start w:val="4"/>
    </w:lvl>
  </w:abstractNum>
  <w:abstractNum w:abstractNumId="12">
    <w:nsid w:val="2463B9EA"/>
    <w:multiLevelType w:val="hybridMultilevel"/>
    <w:lvl w:ilvl="0">
      <w:lvlJc w:val="left"/>
      <w:lvlText w:val="(%1)"/>
      <w:numFmt w:val="decimal"/>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decimal"/>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2"/>
    </w:lvl>
  </w:abstractNum>
  <w:abstractNum w:abstractNumId="25">
    <w:nsid w:val="57E4CCAF"/>
    <w:multiLevelType w:val="hybridMultilevel"/>
    <w:lvl w:ilvl="0">
      <w:lvlJc w:val="left"/>
      <w:lvlText w:val="%1)"/>
      <w:numFmt w:val="lowerRoman"/>
      <w:start w:val="2"/>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1)"/>
      <w:numFmt w:val="decimal"/>
      <w:start w:val="5"/>
    </w:lvl>
  </w:abstractNum>
  <w:abstractNum w:abstractNumId="28">
    <w:nsid w:val="542289EC"/>
    <w:multiLevelType w:val="hybridMultilevel"/>
    <w:lvl w:ilvl="0">
      <w:lvlJc w:val="left"/>
      <w:lvlText w:val="%1"/>
      <w:numFmt w:val="decimal"/>
      <w:start w:val="1"/>
    </w:lvl>
    <w:lvl w:ilvl="1">
      <w:lvlJc w:val="left"/>
      <w:lvlText w:val="(%2)"/>
      <w:numFmt w:val="lowerLetter"/>
      <w:start w:val="1"/>
    </w:lvl>
  </w:abstractNum>
  <w:abstractNum w:abstractNumId="29">
    <w:nsid w:val="6DE91B18"/>
    <w:multiLevelType w:val="hybridMultilevel"/>
    <w:lvl w:ilvl="0">
      <w:lvlJc w:val="left"/>
      <w:lvlText w:val="(%1)"/>
      <w:numFmt w:val="decimal"/>
      <w:start w:val="6"/>
    </w:lvl>
    <w:lvl w:ilvl="1">
      <w:lvlJc w:val="left"/>
      <w:lvlText w:val="%2"/>
      <w:numFmt w:val="lowerLetter"/>
      <w:start w:val="1"/>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lowerLetter"/>
      <w:start w:val="1"/>
    </w:lvl>
  </w:abstractNum>
  <w:abstractNum w:abstractNumId="36">
    <w:nsid w:val="3DC240FB"/>
    <w:multiLevelType w:val="hybridMultilevel"/>
    <w:lvl w:ilvl="0">
      <w:lvlJc w:val="left"/>
      <w:lvlText w:val="(%1)"/>
      <w:numFmt w:val="lowerLetter"/>
      <w:start w:val="3"/>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1."/>
      <w:numFmt w:val="decimal"/>
      <w:start w:val="3"/>
    </w:lvl>
  </w:abstractNum>
  <w:abstractNum w:abstractNumId="41">
    <w:nsid w:val="70C6A529"/>
    <w:multiLevelType w:val="hybridMultilevel"/>
    <w:lvl w:ilvl="0">
      <w:lvlJc w:val="left"/>
      <w:lvlText w:val="(%1)"/>
      <w:numFmt w:val="lowerLetter"/>
      <w:start w:val="1"/>
    </w:lvl>
  </w:abstractNum>
  <w:abstractNum w:abstractNumId="42">
    <w:nsid w:val="520EEDD1"/>
    <w:multiLevelType w:val="hybridMultilevel"/>
    <w:lvl w:ilvl="0">
      <w:lvlJc w:val="left"/>
      <w:lvlText w:val="%1."/>
      <w:numFmt w:val="decimal"/>
      <w:start w:val="5"/>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lvl w:ilvl="1">
      <w:lvlJc w:val="left"/>
      <w:lvlText w:val=" "/>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1)"/>
      <w:numFmt w:val="lowerLetter"/>
      <w:start w:val="1"/>
    </w:lvl>
  </w:abstractNum>
  <w:abstractNum w:abstractNumId="47">
    <w:nsid w:val="275AC794"/>
    <w:multiLevelType w:val="hybridMultilevel"/>
    <w:lvl w:ilvl="0">
      <w:lvlJc w:val="left"/>
      <w:lvlText w:val="(%1)"/>
      <w:numFmt w:val="lowerLetter"/>
      <w:start w:val="4"/>
    </w:lvl>
  </w:abstractNum>
  <w:abstractNum w:abstractNumId="48">
    <w:nsid w:val="39386575"/>
    <w:multiLevelType w:val="hybridMultilevel"/>
    <w:lvl w:ilvl="0">
      <w:lvlJc w:val="left"/>
      <w:lvlText w:val="%1."/>
      <w:numFmt w:val="lowerRoman"/>
      <w:start w:val="1"/>
    </w:lvl>
  </w:abstractNum>
  <w:abstractNum w:abstractNumId="49">
    <w:nsid w:val="1CF10FD8"/>
    <w:multiLevelType w:val="hybridMultilevel"/>
    <w:lvl w:ilvl="0">
      <w:lvlJc w:val="left"/>
      <w:lvlText w:val="%1."/>
      <w:numFmt w:val="lowerRoman"/>
      <w:start w:val="3"/>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lvl w:ilvl="1">
      <w:lvlJc w:val="left"/>
      <w:lvlText w:val="o"/>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1)"/>
      <w:numFmt w:val="lowerLetter"/>
      <w:start w:val="1"/>
    </w:lvl>
  </w:abstractNum>
  <w:abstractNum w:abstractNumId="54">
    <w:nsid w:val="15B5AF5C"/>
    <w:multiLevelType w:val="hybridMultilevel"/>
    <w:lvl w:ilvl="0">
      <w:lvlJc w:val="left"/>
      <w:lvlText w:val="(%1)"/>
      <w:numFmt w:val="lowerLetter"/>
      <w:start w:val="4"/>
    </w:lvl>
  </w:abstractNum>
  <w:abstractNum w:abstractNumId="55">
    <w:nsid w:val="741226BB"/>
    <w:multiLevelType w:val="hybridMultilevel"/>
    <w:lvl w:ilvl="0">
      <w:lvlJc w:val="left"/>
      <w:lvlText w:val="%1."/>
      <w:numFmt w:val="lowerRoman"/>
      <w:start w:val="1"/>
    </w:lvl>
  </w:abstractNum>
  <w:abstractNum w:abstractNumId="56">
    <w:nsid w:val="D34B6A8"/>
    <w:multiLevelType w:val="hybridMultilevel"/>
    <w:lvl w:ilvl="0">
      <w:lvlJc w:val="left"/>
      <w:lvlText w:val="%1."/>
      <w:numFmt w:val="lowerRoman"/>
      <w:start w:val="4"/>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lowerLetter"/>
      <w:start w:val="1"/>
    </w:lvl>
  </w:abstractNum>
  <w:abstractNum w:abstractNumId="60">
    <w:nsid w:val="7E0C57B1"/>
    <w:multiLevelType w:val="hybridMultilevel"/>
    <w:lvl w:ilvl="0">
      <w:lvlJc w:val="left"/>
      <w:lvlText w:val="(%1)"/>
      <w:numFmt w:val="lowerLetter"/>
      <w:start w:val="3"/>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6" Type="http://schemas.openxmlformats.org/officeDocument/2006/relationships/image" Target="media/image577.png"/><Relationship Id="rId587" Type="http://schemas.openxmlformats.org/officeDocument/2006/relationships/image" Target="media/image578.png"/><Relationship Id="rId589" Type="http://schemas.openxmlformats.org/officeDocument/2006/relationships/image" Target="media/image579.png"/><Relationship Id="rId590" Type="http://schemas.openxmlformats.org/officeDocument/2006/relationships/image" Target="media/image580.png"/><Relationship Id="rId591" Type="http://schemas.openxmlformats.org/officeDocument/2006/relationships/image" Target="media/image581.png"/><Relationship Id="rId593" Type="http://schemas.openxmlformats.org/officeDocument/2006/relationships/image" Target="media/image582.png"/><Relationship Id="rId594" Type="http://schemas.openxmlformats.org/officeDocument/2006/relationships/image" Target="media/image583.png"/><Relationship Id="rId595" Type="http://schemas.openxmlformats.org/officeDocument/2006/relationships/image" Target="media/image584.png"/><Relationship Id="rId597" Type="http://schemas.openxmlformats.org/officeDocument/2006/relationships/image" Target="media/image585.png"/><Relationship Id="rId598" Type="http://schemas.openxmlformats.org/officeDocument/2006/relationships/image" Target="media/image586.png"/><Relationship Id="rId599" Type="http://schemas.openxmlformats.org/officeDocument/2006/relationships/image" Target="media/image587.png"/><Relationship Id="rId601" Type="http://schemas.openxmlformats.org/officeDocument/2006/relationships/image" Target="media/image588.png"/><Relationship Id="rId602" Type="http://schemas.openxmlformats.org/officeDocument/2006/relationships/image" Target="media/image589.png"/><Relationship Id="rId603" Type="http://schemas.openxmlformats.org/officeDocument/2006/relationships/image" Target="media/image590.png"/><Relationship Id="rId604" Type="http://schemas.openxmlformats.org/officeDocument/2006/relationships/image" Target="media/image591.png"/><Relationship Id="rId606" Type="http://schemas.openxmlformats.org/officeDocument/2006/relationships/image" Target="media/image592.png"/><Relationship Id="rId607" Type="http://schemas.openxmlformats.org/officeDocument/2006/relationships/image" Target="media/image593.png"/><Relationship Id="rId608" Type="http://schemas.openxmlformats.org/officeDocument/2006/relationships/image" Target="media/image594.png"/><Relationship Id="rId610" Type="http://schemas.openxmlformats.org/officeDocument/2006/relationships/image" Target="media/image595.png"/><Relationship Id="rId611" Type="http://schemas.openxmlformats.org/officeDocument/2006/relationships/image" Target="media/image596.png"/><Relationship Id="rId612" Type="http://schemas.openxmlformats.org/officeDocument/2006/relationships/image" Target="media/image597.png"/><Relationship Id="rId614" Type="http://schemas.openxmlformats.org/officeDocument/2006/relationships/image" Target="media/image598.png"/><Relationship Id="rId615" Type="http://schemas.openxmlformats.org/officeDocument/2006/relationships/image" Target="media/image599.png"/><Relationship Id="rId616" Type="http://schemas.openxmlformats.org/officeDocument/2006/relationships/image" Target="media/image600.png"/><Relationship Id="rId617" Type="http://schemas.openxmlformats.org/officeDocument/2006/relationships/image" Target="media/image601.png"/><Relationship Id="rId618" Type="http://schemas.openxmlformats.org/officeDocument/2006/relationships/image" Target="media/image602.png"/><Relationship Id="rId619" Type="http://schemas.openxmlformats.org/officeDocument/2006/relationships/image" Target="media/image603.png"/><Relationship Id="rId621" Type="http://schemas.openxmlformats.org/officeDocument/2006/relationships/image" Target="media/image604.png"/><Relationship Id="rId622" Type="http://schemas.openxmlformats.org/officeDocument/2006/relationships/image" Target="media/image605.png"/><Relationship Id="rId624" Type="http://schemas.openxmlformats.org/officeDocument/2006/relationships/image" Target="media/image606.png"/><Relationship Id="rId625" Type="http://schemas.openxmlformats.org/officeDocument/2006/relationships/image" Target="media/image607.png"/><Relationship Id="rId626" Type="http://schemas.openxmlformats.org/officeDocument/2006/relationships/image" Target="media/image608.png"/><Relationship Id="rId627" Type="http://schemas.openxmlformats.org/officeDocument/2006/relationships/image" Target="media/image609.png"/><Relationship Id="rId629" Type="http://schemas.openxmlformats.org/officeDocument/2006/relationships/image" Target="media/image610.png"/><Relationship Id="rId630" Type="http://schemas.openxmlformats.org/officeDocument/2006/relationships/image" Target="media/image611.png"/><Relationship Id="rId631" Type="http://schemas.openxmlformats.org/officeDocument/2006/relationships/image" Target="media/image612.png"/><Relationship Id="rId633" Type="http://schemas.openxmlformats.org/officeDocument/2006/relationships/image" Target="media/image613.png"/><Relationship Id="rId634" Type="http://schemas.openxmlformats.org/officeDocument/2006/relationships/image" Target="media/image614.png"/><Relationship Id="rId635" Type="http://schemas.openxmlformats.org/officeDocument/2006/relationships/image" Target="media/image615.png"/><Relationship Id="rId636" Type="http://schemas.openxmlformats.org/officeDocument/2006/relationships/image" Target="media/image616.png"/><Relationship Id="rId637" Type="http://schemas.openxmlformats.org/officeDocument/2006/relationships/image" Target="media/image617.png"/><Relationship Id="rId639" Type="http://schemas.openxmlformats.org/officeDocument/2006/relationships/image" Target="media/image618.png"/><Relationship Id="rId640" Type="http://schemas.openxmlformats.org/officeDocument/2006/relationships/image" Target="media/image619.png"/><Relationship Id="rId641" Type="http://schemas.openxmlformats.org/officeDocument/2006/relationships/image" Target="media/image620.png"/><Relationship Id="rId642" Type="http://schemas.openxmlformats.org/officeDocument/2006/relationships/image" Target="media/image621.png"/><Relationship Id="rId644" Type="http://schemas.openxmlformats.org/officeDocument/2006/relationships/image" Target="media/image622.png"/><Relationship Id="rId645" Type="http://schemas.openxmlformats.org/officeDocument/2006/relationships/image" Target="media/image623.png"/><Relationship Id="rId647" Type="http://schemas.openxmlformats.org/officeDocument/2006/relationships/image" Target="media/image624.png"/><Relationship Id="rId648" Type="http://schemas.openxmlformats.org/officeDocument/2006/relationships/image" Target="media/image625.png"/><Relationship Id="rId650" Type="http://schemas.openxmlformats.org/officeDocument/2006/relationships/image" Target="media/image626.png"/><Relationship Id="rId651" Type="http://schemas.openxmlformats.org/officeDocument/2006/relationships/image" Target="media/image627.png"/><Relationship Id="rId653" Type="http://schemas.openxmlformats.org/officeDocument/2006/relationships/image" Target="media/image628.png"/><Relationship Id="rId654" Type="http://schemas.openxmlformats.org/officeDocument/2006/relationships/image" Target="media/image629.png"/><Relationship Id="rId656" Type="http://schemas.openxmlformats.org/officeDocument/2006/relationships/image" Target="media/image630.png"/><Relationship Id="rId657" Type="http://schemas.openxmlformats.org/officeDocument/2006/relationships/image" Target="media/image631.png"/><Relationship Id="rId659" Type="http://schemas.openxmlformats.org/officeDocument/2006/relationships/image" Target="media/image632.png"/><Relationship Id="rId660" Type="http://schemas.openxmlformats.org/officeDocument/2006/relationships/image" Target="media/image633.png"/><Relationship Id="rId661" Type="http://schemas.openxmlformats.org/officeDocument/2006/relationships/image" Target="media/image634.png"/><Relationship Id="rId662" Type="http://schemas.openxmlformats.org/officeDocument/2006/relationships/image" Target="media/image635.png"/><Relationship Id="rId663" Type="http://schemas.openxmlformats.org/officeDocument/2006/relationships/image" Target="media/image636.png"/><Relationship Id="rId664" Type="http://schemas.openxmlformats.org/officeDocument/2006/relationships/image" Target="media/image637.png"/><Relationship Id="rId666" Type="http://schemas.openxmlformats.org/officeDocument/2006/relationships/image" Target="media/image638.png"/><Relationship Id="rId667" Type="http://schemas.openxmlformats.org/officeDocument/2006/relationships/image" Target="media/image639.png"/><Relationship Id="rId668" Type="http://schemas.openxmlformats.org/officeDocument/2006/relationships/image" Target="media/image640.png"/><Relationship Id="rId670" Type="http://schemas.openxmlformats.org/officeDocument/2006/relationships/image" Target="media/image641.png"/><Relationship Id="rId671" Type="http://schemas.openxmlformats.org/officeDocument/2006/relationships/image" Target="media/image642.png"/><Relationship Id="rId672" Type="http://schemas.openxmlformats.org/officeDocument/2006/relationships/image" Target="media/image643.png"/><Relationship Id="rId674" Type="http://schemas.openxmlformats.org/officeDocument/2006/relationships/image" Target="media/image644.png"/><Relationship Id="rId675" Type="http://schemas.openxmlformats.org/officeDocument/2006/relationships/image" Target="media/image645.png"/><Relationship Id="rId676" Type="http://schemas.openxmlformats.org/officeDocument/2006/relationships/image" Target="media/image646.png"/><Relationship Id="rId677" Type="http://schemas.openxmlformats.org/officeDocument/2006/relationships/image" Target="media/image647.png"/><Relationship Id="rId678" Type="http://schemas.openxmlformats.org/officeDocument/2006/relationships/image" Target="media/image648.png"/><Relationship Id="rId679" Type="http://schemas.openxmlformats.org/officeDocument/2006/relationships/image" Target="media/image649.png"/><Relationship Id="rId680" Type="http://schemas.openxmlformats.org/officeDocument/2006/relationships/image" Target="media/image650.png"/><Relationship Id="rId681" Type="http://schemas.openxmlformats.org/officeDocument/2006/relationships/image" Target="media/image651.png"/><Relationship Id="rId682" Type="http://schemas.openxmlformats.org/officeDocument/2006/relationships/image" Target="media/image652.png"/><Relationship Id="rId683" Type="http://schemas.openxmlformats.org/officeDocument/2006/relationships/image" Target="media/image653.png"/><Relationship Id="rId685" Type="http://schemas.openxmlformats.org/officeDocument/2006/relationships/image" Target="media/image654.png"/><Relationship Id="rId686" Type="http://schemas.openxmlformats.org/officeDocument/2006/relationships/image" Target="media/image655.png"/><Relationship Id="rId687" Type="http://schemas.openxmlformats.org/officeDocument/2006/relationships/image" Target="media/image656.png"/><Relationship Id="rId689" Type="http://schemas.openxmlformats.org/officeDocument/2006/relationships/image" Target="media/image657.png"/><Relationship Id="rId690" Type="http://schemas.openxmlformats.org/officeDocument/2006/relationships/image" Target="media/image658.png"/><Relationship Id="rId691" Type="http://schemas.openxmlformats.org/officeDocument/2006/relationships/image" Target="media/image659.png"/><Relationship Id="rId693" Type="http://schemas.openxmlformats.org/officeDocument/2006/relationships/image" Target="media/image660.png"/><Relationship Id="rId694" Type="http://schemas.openxmlformats.org/officeDocument/2006/relationships/image" Target="media/image661.png"/><Relationship Id="rId695" Type="http://schemas.openxmlformats.org/officeDocument/2006/relationships/image" Target="media/image662.png"/><Relationship Id="rId697" Type="http://schemas.openxmlformats.org/officeDocument/2006/relationships/image" Target="media/image663.png"/><Relationship Id="rId698" Type="http://schemas.openxmlformats.org/officeDocument/2006/relationships/image" Target="media/image664.png"/><Relationship Id="rId699" Type="http://schemas.openxmlformats.org/officeDocument/2006/relationships/image" Target="media/image665.png"/><Relationship Id="rId700" Type="http://schemas.openxmlformats.org/officeDocument/2006/relationships/image" Target="media/image666.png"/><Relationship Id="rId701" Type="http://schemas.openxmlformats.org/officeDocument/2006/relationships/image" Target="media/image667.png"/><Relationship Id="rId702" Type="http://schemas.openxmlformats.org/officeDocument/2006/relationships/image" Target="media/image668.png"/><Relationship Id="rId703" Type="http://schemas.openxmlformats.org/officeDocument/2006/relationships/image" Target="media/image669.png"/><Relationship Id="rId704" Type="http://schemas.openxmlformats.org/officeDocument/2006/relationships/image" Target="media/image670.png"/><Relationship Id="rId705" Type="http://schemas.openxmlformats.org/officeDocument/2006/relationships/image" Target="media/image671.png"/><Relationship Id="rId706" Type="http://schemas.openxmlformats.org/officeDocument/2006/relationships/image" Target="media/image672.png"/><Relationship Id="rId707" Type="http://schemas.openxmlformats.org/officeDocument/2006/relationships/image" Target="media/image673.png"/><Relationship Id="rId708" Type="http://schemas.openxmlformats.org/officeDocument/2006/relationships/image" Target="media/image674.png"/><Relationship Id="rId709" Type="http://schemas.openxmlformats.org/officeDocument/2006/relationships/image" Target="media/image675.png"/><Relationship Id="rId710" Type="http://schemas.openxmlformats.org/officeDocument/2006/relationships/image" Target="media/image676.png"/><Relationship Id="rId711" Type="http://schemas.openxmlformats.org/officeDocument/2006/relationships/image" Target="media/image677.png"/><Relationship Id="rId712" Type="http://schemas.openxmlformats.org/officeDocument/2006/relationships/image" Target="media/image678.png"/><Relationship Id="rId713" Type="http://schemas.openxmlformats.org/officeDocument/2006/relationships/image" Target="media/image679.png"/><Relationship Id="rId714" Type="http://schemas.openxmlformats.org/officeDocument/2006/relationships/image" Target="media/image680.png"/><Relationship Id="rId715" Type="http://schemas.openxmlformats.org/officeDocument/2006/relationships/image" Target="media/image681.png"/><Relationship Id="rId716" Type="http://schemas.openxmlformats.org/officeDocument/2006/relationships/image" Target="media/image682.png"/><Relationship Id="rId717" Type="http://schemas.openxmlformats.org/officeDocument/2006/relationships/image" Target="media/image683.png"/><Relationship Id="rId718" Type="http://schemas.openxmlformats.org/officeDocument/2006/relationships/image" Target="media/image684.png"/><Relationship Id="rId719" Type="http://schemas.openxmlformats.org/officeDocument/2006/relationships/image" Target="media/image685.png"/><Relationship Id="rId720" Type="http://schemas.openxmlformats.org/officeDocument/2006/relationships/image" Target="media/image686.png"/><Relationship Id="rId721" Type="http://schemas.openxmlformats.org/officeDocument/2006/relationships/image" Target="media/image687.png"/><Relationship Id="rId722" Type="http://schemas.openxmlformats.org/officeDocument/2006/relationships/image" Target="media/image688.png"/><Relationship Id="rId723" Type="http://schemas.openxmlformats.org/officeDocument/2006/relationships/image" Target="media/image689.png"/><Relationship Id="rId724" Type="http://schemas.openxmlformats.org/officeDocument/2006/relationships/image" Target="media/image690.png"/><Relationship Id="rId725" Type="http://schemas.openxmlformats.org/officeDocument/2006/relationships/image" Target="media/image691.png"/><Relationship Id="rId726" Type="http://schemas.openxmlformats.org/officeDocument/2006/relationships/image" Target="media/image692.png"/><Relationship Id="rId727" Type="http://schemas.openxmlformats.org/officeDocument/2006/relationships/image" Target="media/image693.png"/><Relationship Id="rId728" Type="http://schemas.openxmlformats.org/officeDocument/2006/relationships/image" Target="media/image694.png"/><Relationship Id="rId729" Type="http://schemas.openxmlformats.org/officeDocument/2006/relationships/image" Target="media/image695.png"/><Relationship Id="rId730" Type="http://schemas.openxmlformats.org/officeDocument/2006/relationships/image" Target="media/image696.png"/><Relationship Id="rId731" Type="http://schemas.openxmlformats.org/officeDocument/2006/relationships/image" Target="media/image697.png"/><Relationship Id="rId732" Type="http://schemas.openxmlformats.org/officeDocument/2006/relationships/image" Target="media/image698.png"/><Relationship Id="rId733" Type="http://schemas.openxmlformats.org/officeDocument/2006/relationships/image" Target="media/image699.png"/><Relationship Id="rId734" Type="http://schemas.openxmlformats.org/officeDocument/2006/relationships/image" Target="media/image700.png"/><Relationship Id="rId735" Type="http://schemas.openxmlformats.org/officeDocument/2006/relationships/image" Target="media/image701.png"/><Relationship Id="rId736" Type="http://schemas.openxmlformats.org/officeDocument/2006/relationships/image" Target="media/image702.png"/><Relationship Id="rId737" Type="http://schemas.openxmlformats.org/officeDocument/2006/relationships/image" Target="media/image703.png"/><Relationship Id="rId738" Type="http://schemas.openxmlformats.org/officeDocument/2006/relationships/image" Target="media/image704.png"/><Relationship Id="rId739" Type="http://schemas.openxmlformats.org/officeDocument/2006/relationships/image" Target="media/image705.png"/><Relationship Id="rId740" Type="http://schemas.openxmlformats.org/officeDocument/2006/relationships/image" Target="media/image706.png"/><Relationship Id="rId741" Type="http://schemas.openxmlformats.org/officeDocument/2006/relationships/image" Target="media/image707.png"/><Relationship Id="rId742" Type="http://schemas.openxmlformats.org/officeDocument/2006/relationships/image" Target="media/image708.png"/><Relationship Id="rId743" Type="http://schemas.openxmlformats.org/officeDocument/2006/relationships/image" Target="media/image709.png"/><Relationship Id="rId744" Type="http://schemas.openxmlformats.org/officeDocument/2006/relationships/image" Target="media/image710.png"/><Relationship Id="rId745" Type="http://schemas.openxmlformats.org/officeDocument/2006/relationships/image" Target="media/image711.png"/><Relationship Id="rId746" Type="http://schemas.openxmlformats.org/officeDocument/2006/relationships/image" Target="media/image712.png"/><Relationship Id="rId747" Type="http://schemas.openxmlformats.org/officeDocument/2006/relationships/image" Target="media/image713.png"/><Relationship Id="rId748" Type="http://schemas.openxmlformats.org/officeDocument/2006/relationships/image" Target="media/image714.png"/><Relationship Id="rId749" Type="http://schemas.openxmlformats.org/officeDocument/2006/relationships/image" Target="media/image715.png"/><Relationship Id="rId750" Type="http://schemas.openxmlformats.org/officeDocument/2006/relationships/image" Target="media/image716.png"/><Relationship Id="rId751" Type="http://schemas.openxmlformats.org/officeDocument/2006/relationships/image" Target="media/image717.png"/><Relationship Id="rId752" Type="http://schemas.openxmlformats.org/officeDocument/2006/relationships/image" Target="media/image718.png"/><Relationship Id="rId753" Type="http://schemas.openxmlformats.org/officeDocument/2006/relationships/image" Target="media/image719.png"/><Relationship Id="rId754" Type="http://schemas.openxmlformats.org/officeDocument/2006/relationships/image" Target="media/image720.png"/><Relationship Id="rId755" Type="http://schemas.openxmlformats.org/officeDocument/2006/relationships/image" Target="media/image721.png"/><Relationship Id="rId756" Type="http://schemas.openxmlformats.org/officeDocument/2006/relationships/image" Target="media/image722.png"/><Relationship Id="rId581" Type="http://schemas.openxmlformats.org/officeDocument/2006/relationships/hyperlink" Target="https://www.sec.gov/Archives/edgar/data/16040/000119312509022614/dex31.htm" TargetMode="External"/><Relationship Id="rId585" Type="http://schemas.openxmlformats.org/officeDocument/2006/relationships/hyperlink" Target="https://www.sec.gov/Archives/edgar/data/16040/000095017023039697/cbt-ex3_2.htm" TargetMode="External"/><Relationship Id="rId588" Type="http://schemas.openxmlformats.org/officeDocument/2006/relationships/hyperlink" Target="https://www.sec.gov/Archives/edgar/data/0000016040/000156459017024203/cbt-ex4ai_815.htm" TargetMode="External"/><Relationship Id="rId592" Type="http://schemas.openxmlformats.org/officeDocument/2006/relationships/hyperlink" Target="https://www.sec.gov/Archives/edgar/data/16040/0000950135-97-000657.txt" TargetMode="External"/><Relationship Id="rId596" Type="http://schemas.openxmlformats.org/officeDocument/2006/relationships/hyperlink" Target="https://www.sec.gov/Archives/edgar/data/16040/000119312516710994/d257358dex41.htm" TargetMode="External"/><Relationship Id="rId600" Type="http://schemas.openxmlformats.org/officeDocument/2006/relationships/hyperlink" Target="https://www.sec.gov/Archives/edgar/data/16040/000119312516710994/d257358dex42.htm" TargetMode="External"/><Relationship Id="rId605" Type="http://schemas.openxmlformats.org/officeDocument/2006/relationships/hyperlink" Target="https://www.sec.gov/Archives/edgar/data/0000016040/000119312519177606/d768920dex41.htm" TargetMode="External"/><Relationship Id="rId609" Type="http://schemas.openxmlformats.org/officeDocument/2006/relationships/hyperlink" Target="https://www.sec.gov/Archives/edgar/data/0000016040/000119312522178762/d303024dex41.htm" TargetMode="External"/><Relationship Id="rId613" Type="http://schemas.openxmlformats.org/officeDocument/2006/relationships/hyperlink" Target="https://www.sec.gov/Archives/edgar/data/0000016040/000119312522178762/d303024dex42.htm" TargetMode="External"/><Relationship Id="rId620" Type="http://schemas.openxmlformats.org/officeDocument/2006/relationships/hyperlink" Target="https://www.sec.gov/Archives/edgar/data/0000016040/000156459019044207/cbt-ex4b_81.htm" TargetMode="External"/><Relationship Id="rId623" Type="http://schemas.openxmlformats.org/officeDocument/2006/relationships/hyperlink" Target="https://www.sec.gov/Archives/edgar/data/16040/000156459021042694/cbt-ex101_164.htm" TargetMode="External"/><Relationship Id="rId628" Type="http://schemas.openxmlformats.org/officeDocument/2006/relationships/hyperlink" Target="https://www.sec.gov/Archives/edgar/data/16040/000095017023039697/cbt-ex10_1.htm" TargetMode="External"/><Relationship Id="rId632" Type="http://schemas.openxmlformats.org/officeDocument/2006/relationships/hyperlink" Target="https://www.sec.gov/Archives/edgar/data/16040/000095017023039697/cbt-ex10_2.htm" TargetMode="External"/><Relationship Id="rId638" Type="http://schemas.openxmlformats.org/officeDocument/2006/relationships/hyperlink" Target="https://www.sec.gov/Archives/edgar/data/16040/000095017023039697/cbt-ex10_3.htm" TargetMode="External"/><Relationship Id="rId643" Type="http://schemas.openxmlformats.org/officeDocument/2006/relationships/hyperlink" Target="https://www.sec.gov/Archives/edgar/data/16040/000119312512029791/d286677ddef14a.htm" TargetMode="External"/><Relationship Id="rId646" Type="http://schemas.openxmlformats.org/officeDocument/2006/relationships/hyperlink" Target="https://www.sec.gov/Archives/edgar/data/16040/000156459017009443/cbt-ex101_455.htm" TargetMode="External"/><Relationship Id="rId649" Type="http://schemas.openxmlformats.org/officeDocument/2006/relationships/hyperlink" Target="https://www.sec.gov/Archives/edgar/data/0000016040/000156459021023910/cbt-ex101_34.htm" TargetMode="External"/><Relationship Id="rId652" Type="http://schemas.openxmlformats.org/officeDocument/2006/relationships/hyperlink" Target="https://www.sec.gov/Archives/edgar/data/16040/000119312515023846/d829265ddef14a.htm" TargetMode="External"/><Relationship Id="rId655" Type="http://schemas.openxmlformats.org/officeDocument/2006/relationships/hyperlink" Target="https://www.sec.gov/Archives/edgar/data/0000016040/000119312519031638/d700150dex101.htm" TargetMode="External"/><Relationship Id="rId658" Type="http://schemas.openxmlformats.org/officeDocument/2006/relationships/hyperlink" Target="https://www.sec.gov/Archives/edgar/data/16040/000119312512215376/d310980dex105.htm" TargetMode="External"/><Relationship Id="rId665" Type="http://schemas.openxmlformats.org/officeDocument/2006/relationships/hyperlink" Target="https://www.sec.gov/Archives/edgar/data/0000016040/000156459018029997/cbt-ex10e_36.htm" TargetMode="External"/><Relationship Id="rId669" Type="http://schemas.openxmlformats.org/officeDocument/2006/relationships/hyperlink" Target="https://www.sec.gov/Archives/edgar/data/0000016040/000156459018029997/cbt-ex10f_34.htm" TargetMode="External"/><Relationship Id="rId673" Type="http://schemas.openxmlformats.org/officeDocument/2006/relationships/hyperlink" Target="https://www.sec.gov/Archives/edgar/data/0000016040/000156459018029997/cbt-ex10g_33.htm" TargetMode="External"/><Relationship Id="rId684" Type="http://schemas.openxmlformats.org/officeDocument/2006/relationships/hyperlink" Target="https://www.sec.gov/Archives/edgar/data/16040/000119312514038941/d658585dex101.htm" TargetMode="External"/><Relationship Id="rId688" Type="http://schemas.openxmlformats.org/officeDocument/2006/relationships/hyperlink" Target="https://www.sec.gov/Archives/edgar/data/16040/000119312514038941/d658585dex102.htm" TargetMode="External"/><Relationship Id="rId692" Type="http://schemas.openxmlformats.org/officeDocument/2006/relationships/hyperlink" Target="https://www.sec.gov/Archives/edgar/data/0000016040/000156459021004529/cbt-ex101_70.htm" TargetMode="External"/><Relationship Id="rId696" Type="http://schemas.openxmlformats.org/officeDocument/2006/relationships/hyperlink" Target="https://www.sec.gov/Archives/edgar/data/16040/000156459022038228/cbt-ex10_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2023-11-22T15:17:43Z</dcterms:created>
  <dcterms:modified xsi:type="dcterms:W3CDTF">2023-11-22T15:17:43Z</dcterms:modified>
</cp:coreProperties>
</file>