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Cabot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1-5667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04-2271897</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2 Seaport Lane, Suite 1400, Boston,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02210-2019</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85"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12, 2026, Cabot Corporation (the “Company”) entered into a $1.3 billion unsecured revolving credit agreement (the “Credit Agreement”) with a syndicate of lenders arranged by JPMorgan Chase Bank, N.A. and JPMorgan SE, as Administrative Agents, JPMorgan Chase Bank, N.A., Citibank, N.A., U.S. Bank, National Association and PNC Capital Markets LLC, as Joint Lead Bookrunners and Joint Lead Arrangers, Bank of America, N.A., ING Bank N.V. Dublin Branch and Banco Bilbao Vizcaya Argentaria, S.A. New York Branch, as Joint Lead Arrangers and Co-Documentation Agents, and Citibank, N.A., as Syndication Agent.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be made in multiple currencies and will be used for general corporate purposes. The facility matures on May 12, 2031. At the Company’s election, loans will bear interest at the Term Benchmark or RFR Spread, as applicable, rate plus an applicable margin of between 0.68% and 1.20%, depending on the Company’s credit ratings. The Credit Agreement requires the Company to comply on a quarterly basis with a leverage test requiring net debt (with the ability to offset such debt by the lesser of (i) unrestricted cash and cash equivalents and (ii) $200 million) not to exceed consolidated EBITDA for the four quarters then ending by more than 3.75 to 1.00. Following the consummation of any material acquisition, the maximum leverage ratio shall be increased to 4.25 to 1.00, as of the end of the fiscal quarter in which such material acquisition occurs and the three fiscal quarters immediately thereafter. Consistent with the Company’s former $1 billion revolving credit agreement, the Credit Agreement also includes customary negative covenants, representations and warranties, affirmative covenants and events of default.</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description is a summary and is qualified in its entirety by reference to the Credit Agreement, which is filed as Exhibit 10.1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entering into the Credit Agreement, on May 12, 2026, the Company terminated (i) its $1 billion revolving credit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and the other lenders party thereto, which, by its terms, was scheduled to mature on August 6, 2027, and (ii)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revolving credit agreement with PNC Bank, National Association, and the other lenders party thereto, which, by its terms, was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to mature on August 6, 2027.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above under Item 1.01 of this Current Report on Form 8-K is incorporated by reference into this Item 2.03.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7"/>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Credit Agreement, dated May 12, 2026, by and among Cabot Corporation, JPMorgan Chase Bank, N.A., J.P. Morgan SE, Citibank, N.A.,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PNC Bank, National Association, Bank of America, N.A., U.S. Bank, National Association, ING Bank N.V. Dublin Branch, Banco Bilbao</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Vizcaya Argentaria, S.A., and the other lenders party thereto.</w:t>
            </w:r>
          </w:p>
        </w:tc>
        <w:tc>
          <w:tcPr>
            <w:tcW w:w="55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00"/>
          </w:cols>
          <w:pgMar w:left="440" w:top="293" w:right="5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CABOT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Lisa M. Dumont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Controller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173990</wp:posOffset>
            </wp:positionV>
            <wp:extent cx="150876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May 12,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Company and as a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CABOT LUXEMBOURG TC S.À R.L, LUXEMBOURG, SCHAFFHAUSEN BRANCH</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and certain other Subsidiaries of the Company from time to time party hereto, as Borrowers,</w:t>
      </w:r>
    </w:p>
    <w:p>
      <w:pPr>
        <w:spacing w:after="0" w:line="2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 and J.P. MORGAN SE,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BANK NATIONAL ASSOCIATION,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ING BANK N.V. DUBLIN BRANCH,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Co-Documentation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80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88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1.01</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1.02</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1.03</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Terms Generally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1.04</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Terms; GAAP</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1.05</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of Credit Amounts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1.06</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1.07</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1.08</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Luxembourg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 The Credits</w:t>
            </w:r>
          </w:p>
        </w:tc>
        <w:tc>
          <w:tcPr>
            <w:tcW w:w="88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0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and Borrowings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2.03</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Requests for Revolving Borrowings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2.04</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Determination of Dollar Amounts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2.05</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Swingline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2.06</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Letters of Credit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2.07</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Funding of Borrowings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2.08</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Elections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2.09</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2.10</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SECTION 2.11</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 of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2.12</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2.13</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2.14</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2.15</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Increased Costs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2.16</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Break Funding 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2.17</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2.18</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2.19</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2.20</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Defaulting Lenders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2.21</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Expansion Option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2.22</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2.23</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Designated Borrowers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2.24</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Extension Options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3.01</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Powers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3.02</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3.03</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3.04</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3.05</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3.06</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 and Agreements; No Default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3.07</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Company Status; Margin Regulations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3.08</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5"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Domiciliation; Centre of Main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66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Each Credit Event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Initial Credit Event for each Additional Borrower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Properties;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0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Covenant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Subsidiary Indebtedness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ARTICLE IX Guaranty</w:t>
            </w:r>
          </w:p>
        </w:tc>
        <w:tc>
          <w:tcPr>
            <w:tcW w:w="66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 Amendments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10.07</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10.08</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Setoff</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USA PATRIOT Act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10.18</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10.19</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Erroneous 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of Information.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Borrower Communications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10.22</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Commitments under the Existing Credit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10.23</w:t>
            </w: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Luxembourg Preservation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00"/>
          </w:cols>
          <w:pgMar w:left="80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192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6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2.01 –</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2.06 –  Existing Letters of Credit</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2.23 –  Designated Borrowers</w:t>
            </w:r>
          </w:p>
        </w:tc>
      </w:t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6.01 –</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Liens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A –</w:t>
      </w:r>
      <w:r>
        <w:rPr>
          <w:sz w:val="20"/>
          <w:szCs w:val="20"/>
          <w:color w:val="auto"/>
        </w:rPr>
        <w:tab/>
      </w:r>
      <w:r>
        <w:rPr>
          <w:rFonts w:ascii="Times New Roman" w:cs="Times New Roman" w:eastAsia="Times New Roman" w:hAnsi="Times New Roman"/>
          <w:sz w:val="17"/>
          <w:szCs w:val="17"/>
          <w:color w:val="auto"/>
        </w:rPr>
        <w:t>Form of Assignment and Assumption</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B –</w:t>
      </w:r>
      <w:r>
        <w:rPr>
          <w:sz w:val="20"/>
          <w:szCs w:val="20"/>
          <w:color w:val="auto"/>
        </w:rPr>
        <w:tab/>
      </w:r>
      <w:r>
        <w:rPr>
          <w:rFonts w:ascii="Times New Roman" w:cs="Times New Roman" w:eastAsia="Times New Roman" w:hAnsi="Times New Roman"/>
          <w:sz w:val="17"/>
          <w:szCs w:val="17"/>
          <w:color w:val="auto"/>
        </w:rPr>
        <w:t>Form of U.S. Tax Compliance Certificates</w:t>
      </w:r>
    </w:p>
    <w:p>
      <w:pPr>
        <w:spacing w:after="0" w:line="9" w:lineRule="exact"/>
        <w:rPr>
          <w:sz w:val="20"/>
          <w:szCs w:val="20"/>
          <w:color w:val="auto"/>
        </w:rPr>
      </w:pPr>
    </w:p>
    <w:p>
      <w:pPr>
        <w:ind w:right="4159"/>
        <w:spacing w:after="0" w:line="250" w:lineRule="auto"/>
        <w:rPr>
          <w:sz w:val="20"/>
          <w:szCs w:val="20"/>
          <w:color w:val="auto"/>
        </w:rPr>
      </w:pPr>
      <w:r>
        <w:rPr>
          <w:rFonts w:ascii="Times New Roman" w:cs="Times New Roman" w:eastAsia="Times New Roman" w:hAnsi="Times New Roman"/>
          <w:sz w:val="18"/>
          <w:szCs w:val="18"/>
          <w:color w:val="auto"/>
        </w:rPr>
        <w:t>Exhibit C – Form of Designated Borrower Request and Assumption Agreement Exhibit D – Form of Designated Borrower Notice Exhibit E – Form of Compliance Certificate</w:t>
      </w:r>
    </w:p>
    <w:p>
      <w:pPr>
        <w:spacing w:after="0" w:line="1" w:lineRule="exact"/>
        <w:rPr>
          <w:sz w:val="20"/>
          <w:szCs w:val="20"/>
          <w:color w:val="auto"/>
        </w:rPr>
      </w:pPr>
    </w:p>
    <w:p>
      <w:pPr>
        <w:ind w:right="4859"/>
        <w:spacing w:after="0" w:line="260" w:lineRule="auto"/>
        <w:rPr>
          <w:sz w:val="20"/>
          <w:szCs w:val="20"/>
          <w:color w:val="auto"/>
        </w:rPr>
      </w:pPr>
      <w:r>
        <w:rPr>
          <w:rFonts w:ascii="Times New Roman" w:cs="Times New Roman" w:eastAsia="Times New Roman" w:hAnsi="Times New Roman"/>
          <w:sz w:val="18"/>
          <w:szCs w:val="18"/>
          <w:color w:val="auto"/>
        </w:rPr>
        <w:t>Exhibit F – Form of Increasing Lender Supplement – Existing Lender Exhibit G – Form of Augmenting Lender Supplement – New Lender</w:t>
      </w:r>
    </w:p>
    <w:p>
      <w:pPr>
        <w:spacing w:after="0" w:line="11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57" w:right="1440" w:bottom="1440" w:gutter="0" w:footer="0" w:header="0"/>
        </w:sectPr>
      </w:pPr>
    </w:p>
    <w:bookmarkStart w:id="8" w:name="page9"/>
    <w:bookmarkEnd w:id="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May 12, 2026, among CABOT CORPORATION, a Delaware corporation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CABOT LUXEMBOURG TC S.À R.L., LUXEMBOURG, SCHAFFHAUSEN BRANCH, a Luxembourg private limited liability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(société à responsabilité limitée), incorporated and existing under the laws of the Grand-Duchy of Luxembourg, having its registered office at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 Boulevard F.W. Raiffeisen, L-2411 Luxembourg, Grand Duchy of Luxembourg and registered with the Luxembourg Trade and Companies Register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 Commerce et des Société, Luxembourg)</w:t>
      </w:r>
      <w:r>
        <w:rPr>
          <w:rFonts w:ascii="Times New Roman" w:cs="Times New Roman" w:eastAsia="Times New Roman" w:hAnsi="Times New Roman"/>
          <w:sz w:val="18"/>
          <w:szCs w:val="18"/>
          <w:color w:val="auto"/>
        </w:rPr>
        <w:t xml:space="preserve"> under number B 186143, acting through its Swiss branch registered with the commercial register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Canton of Schaffhausen under number CHE-378.778.759 with a registered office at Mühlentalstrasse 36/38 8200 Schaffhausen (“</w:t>
      </w:r>
      <w:r>
        <w:rPr>
          <w:rFonts w:ascii="Times New Roman" w:cs="Times New Roman" w:eastAsia="Times New Roman" w:hAnsi="Times New Roman"/>
          <w:sz w:val="18"/>
          <w:szCs w:val="18"/>
          <w:b w:val="1"/>
          <w:bCs w:val="1"/>
          <w:i w:val="1"/>
          <w:iCs w:val="1"/>
          <w:color w:val="auto"/>
        </w:rPr>
        <w:t>Cabot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Luxembourg</w:t>
      </w:r>
      <w:r>
        <w:rPr>
          <w:rFonts w:ascii="Times New Roman" w:cs="Times New Roman" w:eastAsia="Times New Roman" w:hAnsi="Times New Roman"/>
          <w:sz w:val="18"/>
          <w:szCs w:val="18"/>
          <w:color w:val="auto"/>
        </w:rPr>
        <w:t>”), certain Subsidiaries of the Company from time to time party hereto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Designated Borrower</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together with the Company and Cabot Luxembourg, the “</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LENDERS from time to time party hereto,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and J.P. MORGAN SE, as Administrative Agent.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1"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 All ABR Loans shall be denominated in U.S. Dollars.</w:t>
      </w:r>
    </w:p>
    <w:p>
      <w:pPr>
        <w:spacing w:after="0" w:line="155"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by any Person, means the acquisition by such Person (other than a transaction that would be classified as a capital expenditure in accordance with GAAP), in a single transaction or in a series of related transactions, of all or any substantial portion (constituting a separate business unit) of the assets of another Person or at least a majority of the Equity Interests with ordinary voting power of another Person, in each case whether or not involving a merger or consolidation with such other Person and whether for cash, property, services, assumption of Indebtedness, securities or otherwise.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Adjusted AUD Rate</w:t>
      </w:r>
      <w:r>
        <w:rPr>
          <w:rFonts w:ascii="Times New Roman" w:cs="Times New Roman" w:eastAsia="Times New Roman" w:hAnsi="Times New Roman"/>
          <w:sz w:val="17"/>
          <w:szCs w:val="17"/>
          <w:color w:val="auto"/>
        </w:rPr>
        <w:t xml:space="preserve">” means, with respect to any Term Benchmark Borrowing denominated in Australian Dollars for any Interest Period, an interest rate per annum equal to (a) the AUD Rate for such Interest Period multiplied by (b) the Statutory Reserve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Adjusted AUD Rate as so determined would be less than the Floor, such rate shall be deemed to be equal to the Floor for the purposes of this Agreement.</w:t>
      </w:r>
    </w:p>
    <w:p>
      <w:pPr>
        <w:spacing w:after="0" w:line="153"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Adjusted Daily Simple RFR</w:t>
      </w:r>
      <w:r>
        <w:rPr>
          <w:rFonts w:ascii="Times New Roman" w:cs="Times New Roman" w:eastAsia="Times New Roman" w:hAnsi="Times New Roman"/>
          <w:sz w:val="17"/>
          <w:szCs w:val="17"/>
          <w:color w:val="auto"/>
        </w:rPr>
        <w:t>” 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(iii) with respect to any RFR Borrowing denominated in Singapore Dollars, an interest rate per annum equal to the Daily Simple RFR for Singapore Dollars, (iv) with respect to any RFR Borrowing denominated in U.S. Dollars, an interest rate per annum equal to the Daily Simple RFR for U.S. Dollars and (v) with respect to any RFR Borrowing denominated in Canadian Dollars, an interest rate per annum equal to</w:t>
      </w:r>
    </w:p>
    <w:p>
      <w:pPr>
        <w:spacing w:after="0" w:line="3" w:lineRule="exact"/>
        <w:rPr>
          <w:sz w:val="20"/>
          <w:szCs w:val="20"/>
          <w:color w:val="auto"/>
        </w:rPr>
      </w:pPr>
    </w:p>
    <w:p>
      <w:pPr>
        <w:ind w:left="4" w:hanging="4"/>
        <w:spacing w:after="0" w:line="260"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Daily Simple RFR for Canadian Dollars, plus (b) 0.29547%;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RFR as so determined would be less than the Floor, such rate shall be deemed to be equal to the Floor for the purposes of this Agreement.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9" w:name="page10"/>
    <w:bookmarkEnd w:id="9"/>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Adjusted EURIBO Rate</w:t>
      </w:r>
      <w:r>
        <w:rPr>
          <w:rFonts w:ascii="Times New Roman" w:cs="Times New Roman" w:eastAsia="Times New Roman" w:hAnsi="Times New Roman"/>
          <w:sz w:val="18"/>
          <w:szCs w:val="18"/>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EURIBO Rate as so determined would be less than the Floor, such rate shall be deemed to be equal to the Floor for the purposes of this Agreement.</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Term CORRA Rate”</w:t>
      </w:r>
      <w:r>
        <w:rPr>
          <w:rFonts w:ascii="Times New Roman" w:cs="Times New Roman" w:eastAsia="Times New Roman" w:hAnsi="Times New Roman"/>
          <w:sz w:val="18"/>
          <w:szCs w:val="18"/>
          <w:color w:val="auto"/>
        </w:rPr>
        <w:t xml:space="preserve"> means, for purposes of any calculation, the rate per annum equal to (a) Term CORRA for such calculation plus (b) 0.29547% for a one month interest period or 0.32138% for a three month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Rate as so determined would be less than the Floor, such rate shall be deemed to be equal to the Floor for the purposes of this Agreement.</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Term SOFR Rate</w:t>
      </w:r>
      <w:r>
        <w:rPr>
          <w:rFonts w:ascii="Times New Roman" w:cs="Times New Roman" w:eastAsia="Times New Roman" w:hAnsi="Times New Roman"/>
          <w:sz w:val="18"/>
          <w:szCs w:val="18"/>
          <w:color w:val="auto"/>
        </w:rPr>
        <w:t xml:space="preserve">” means, with respect to any Term Benchmark Borrowing denominated in U.S. Dollars for any Interest Period, an interest rate per annum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TIBO Rate</w:t>
      </w:r>
      <w:r>
        <w:rPr>
          <w:rFonts w:ascii="Times New Roman" w:cs="Times New Roman" w:eastAsia="Times New Roman" w:hAnsi="Times New Roman"/>
          <w:sz w:val="18"/>
          <w:szCs w:val="18"/>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TIBO Rate as so determined would be less than the Floor, such rate shall be deemed to be equal to the Floor for the purposes of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means the U.S. Administrative Agent and/or the Non-U.S. Administrative Agent as the context requires or as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and/or Non-U.S. Administrative Agent deems appropriate in its or their sole discretion.</w:t>
      </w:r>
    </w:p>
    <w:p>
      <w:pPr>
        <w:spacing w:after="0" w:line="20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 to the Company or any Lender, as the context requires.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10.01(d)(iii)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Agent-Related Person</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Agreed Currencies</w:t>
      </w:r>
      <w:r>
        <w:rPr>
          <w:rFonts w:ascii="Times New Roman" w:cs="Times New Roman" w:eastAsia="Times New Roman" w:hAnsi="Times New Roman"/>
          <w:sz w:val="18"/>
          <w:szCs w:val="18"/>
          <w:color w:val="auto"/>
        </w:rPr>
        <w:t>” means (a) U.S. Dollars, (b) Euro, (c) Pounds Sterling, (d) Swiss Francs, (e) Australian Dollars, (f) Japanese Yen, (g) Canadian Dollars, (h) Singapore Dollars and (i) any other Foreign Currency acceptable to all of the Lenders and the Issuing Banks.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assigned to such term in the preamble.</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0" w:name="page11"/>
    <w:bookmarkEnd w:id="10"/>
    <w:p>
      <w:pPr>
        <w:ind w:firstLine="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Ancillary Document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Foreign Obligor Documents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any Borrower or any of its Affiliates from time to time concerning or relating to bribery or corruption.</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Margins</w:t>
      </w:r>
      <w:r>
        <w:rPr>
          <w:rFonts w:ascii="Times New Roman" w:cs="Times New Roman" w:eastAsia="Times New Roman" w:hAnsi="Times New Roman"/>
          <w:sz w:val="18"/>
          <w:szCs w:val="18"/>
          <w:color w:val="auto"/>
        </w:rPr>
        <w:t>” means the “Term Benchmark/RFR Spread” per annum rate levels at each Tier under such heading and the “ABR/Canadian Prime Rate/Japanese Prime Rate Spread” per annum rate levels at each Tier under such heading, in each case as set forth in the table contained in the definition of “Applicable Rate”.</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Percentage</w:t>
      </w:r>
      <w:r>
        <w:rPr>
          <w:rFonts w:ascii="Times New Roman" w:cs="Times New Roman" w:eastAsia="Times New Roman" w:hAnsi="Times New Roman"/>
          <w:sz w:val="18"/>
          <w:szCs w:val="18"/>
          <w:color w:val="auto"/>
        </w:rPr>
        <w:t xml:space="preserve">” means, with respect to any Lender, the percentage of the total Commitments represented by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Revolving Credit Exposure then in effect, giving effect to any assignments and to any Lender’s status as a Defaulting Lender at the time of determination.</w:t>
      </w:r>
    </w:p>
    <w:p>
      <w:pPr>
        <w:spacing w:after="0" w:line="179"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Rate</w:t>
      </w:r>
      <w:r>
        <w:rPr>
          <w:rFonts w:ascii="Times New Roman" w:cs="Times New Roman" w:eastAsia="Times New Roman" w:hAnsi="Times New Roman"/>
          <w:sz w:val="18"/>
          <w:szCs w:val="18"/>
          <w:color w:val="auto"/>
        </w:rPr>
        <w:t>” means, for any day, with respect to (i) any (x) ABR Loan, Canadian Prime Rate Loan or Japanese Prime Rate Loan, the applicable rate per annum set forth below under the caption “ABR/Canadian Prime Rate/Japanese Prime Rate Spread”, (y) Term Benchmark Loan or RFR Loan, the applicable rate per annum set forth below under the caption “Term Benchmark/RFR Spread”, or with respect to (ii) the facility fees payable hereunder, as the case may be, the applicable rate per annum set forth below under the caption “Facility Fee Rate”, as the case may be, based upon the ratings by Moody’s and S&amp;P, respectively, applicable on such date to the Index Debt: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1" w:name="page12"/>
    <w:bookmarkEnd w:id="11"/>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Term Benchmark</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color w:val="auto"/>
              </w:rPr>
              <w:t>/RFR</w:t>
            </w:r>
          </w:p>
        </w:tc>
        <w:tc>
          <w:tcPr>
            <w:tcW w:w="19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ABR/Canadian Prime</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4"/>
              </w:rPr>
              <w:t>Tier</w:t>
            </w:r>
          </w:p>
        </w:tc>
        <w:tc>
          <w:tcPr>
            <w:tcW w:w="520" w:type="dxa"/>
            <w:vAlign w:val="bottom"/>
          </w:tcPr>
          <w:p>
            <w:pPr>
              <w:spacing w:after="0"/>
              <w:rPr>
                <w:sz w:val="12"/>
                <w:szCs w:val="12"/>
                <w:color w:val="auto"/>
              </w:rPr>
            </w:pPr>
          </w:p>
        </w:tc>
        <w:tc>
          <w:tcPr>
            <w:tcW w:w="42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rPr>
              <w:t>Ratings</w:t>
            </w:r>
          </w:p>
        </w:tc>
        <w:tc>
          <w:tcPr>
            <w:tcW w:w="2020" w:type="dxa"/>
            <w:vAlign w:val="bottom"/>
            <w:gridSpan w:val="2"/>
            <w:vMerge w:val="continue"/>
          </w:tcPr>
          <w:p>
            <w:pPr>
              <w:spacing w:after="0"/>
              <w:rPr>
                <w:sz w:val="12"/>
                <w:szCs w:val="12"/>
                <w:color w:val="auto"/>
              </w:rPr>
            </w:pPr>
          </w:p>
        </w:tc>
        <w:tc>
          <w:tcPr>
            <w:tcW w:w="19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Rate/Japanese Prime</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Facility Fee Rate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gridSpan w:val="2"/>
            <w:vMerge w:val="continue"/>
          </w:tcPr>
          <w:p>
            <w:pPr>
              <w:spacing w:after="0"/>
              <w:rPr>
                <w:sz w:val="13"/>
                <w:szCs w:val="13"/>
                <w:color w:val="auto"/>
              </w:rPr>
            </w:pPr>
          </w:p>
        </w:tc>
        <w:tc>
          <w:tcPr>
            <w:tcW w:w="2020" w:type="dxa"/>
            <w:vAlign w:val="bottom"/>
            <w:gridSpan w:val="2"/>
          </w:tcPr>
          <w:p>
            <w:pPr>
              <w:jc w:val="right"/>
              <w:ind w:right="1100"/>
              <w:spacing w:after="0" w:line="158" w:lineRule="exact"/>
              <w:rPr>
                <w:sz w:val="20"/>
                <w:szCs w:val="20"/>
                <w:color w:val="auto"/>
              </w:rPr>
            </w:pPr>
            <w:r>
              <w:rPr>
                <w:rFonts w:ascii="Times New Roman" w:cs="Times New Roman" w:eastAsia="Times New Roman" w:hAnsi="Times New Roman"/>
                <w:sz w:val="14"/>
                <w:szCs w:val="14"/>
                <w:color w:val="auto"/>
              </w:rPr>
              <w:t>Spread</w:t>
            </w:r>
            <w:r>
              <w:rPr>
                <w:rFonts w:ascii="Times New Roman" w:cs="Times New Roman" w:eastAsia="Times New Roman" w:hAnsi="Times New Roman"/>
                <w:sz w:val="10"/>
                <w:szCs w:val="10"/>
                <w:color w:val="auto"/>
              </w:rPr>
              <w:t>2</w:t>
            </w:r>
          </w:p>
        </w:tc>
        <w:tc>
          <w:tcPr>
            <w:tcW w:w="1920" w:type="dxa"/>
            <w:vAlign w:val="bottom"/>
            <w:gridSpan w:val="2"/>
          </w:tcPr>
          <w:p>
            <w:pPr>
              <w:jc w:val="center"/>
              <w:ind w:right="660"/>
              <w:spacing w:after="0" w:line="158" w:lineRule="exact"/>
              <w:rPr>
                <w:sz w:val="20"/>
                <w:szCs w:val="20"/>
                <w:color w:val="auto"/>
              </w:rPr>
            </w:pPr>
            <w:r>
              <w:rPr>
                <w:rFonts w:ascii="Times New Roman" w:cs="Times New Roman" w:eastAsia="Times New Roman" w:hAnsi="Times New Roman"/>
                <w:sz w:val="14"/>
                <w:szCs w:val="14"/>
                <w:color w:val="auto"/>
              </w:rPr>
              <w:t>Rate Spread</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520" w:type="dxa"/>
            <w:vAlign w:val="bottom"/>
            <w:vMerge w:val="restart"/>
            <w:shd w:val="clear" w:color="auto" w:fill="CCEEFF"/>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37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A2 / A</w:t>
            </w:r>
          </w:p>
        </w:tc>
        <w:tc>
          <w:tcPr>
            <w:tcW w:w="500" w:type="dxa"/>
            <w:vAlign w:val="bottom"/>
            <w:vMerge w:val="continue"/>
            <w:shd w:val="clear" w:color="auto" w:fill="CCEEFF"/>
          </w:tcPr>
          <w:p>
            <w:pPr>
              <w:spacing w:after="0"/>
              <w:rPr>
                <w:sz w:val="17"/>
                <w:szCs w:val="17"/>
                <w:color w:val="auto"/>
              </w:rPr>
            </w:pPr>
          </w:p>
        </w:tc>
        <w:tc>
          <w:tcPr>
            <w:tcW w:w="2020" w:type="dxa"/>
            <w:vAlign w:val="bottom"/>
            <w:gridSpan w:val="2"/>
            <w:shd w:val="clear" w:color="auto" w:fill="CCEEFF"/>
          </w:tcPr>
          <w:p>
            <w:pPr>
              <w:jc w:val="right"/>
              <w:ind w:right="480"/>
              <w:spacing w:after="0" w:line="203" w:lineRule="exact"/>
              <w:rPr>
                <w:sz w:val="20"/>
                <w:szCs w:val="20"/>
                <w:color w:val="auto"/>
              </w:rPr>
            </w:pPr>
            <w:r>
              <w:rPr>
                <w:rFonts w:ascii="Times New Roman" w:cs="Times New Roman" w:eastAsia="Times New Roman" w:hAnsi="Times New Roman"/>
                <w:sz w:val="18"/>
                <w:szCs w:val="18"/>
                <w:color w:val="auto"/>
              </w:rPr>
              <w:t>0.680%</w:t>
            </w:r>
          </w:p>
        </w:tc>
        <w:tc>
          <w:tcPr>
            <w:tcW w:w="1920" w:type="dxa"/>
            <w:vAlign w:val="bottom"/>
            <w:gridSpan w:val="2"/>
            <w:shd w:val="clear" w:color="auto" w:fill="CCEEFF"/>
          </w:tcPr>
          <w:p>
            <w:pPr>
              <w:jc w:val="right"/>
              <w:ind w:right="500"/>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0.070%</w:t>
            </w:r>
          </w:p>
        </w:tc>
        <w:tc>
          <w:tcPr>
            <w:tcW w:w="0" w:type="dxa"/>
            <w:vAlign w:val="bottom"/>
          </w:tcPr>
          <w:p>
            <w:pPr>
              <w:spacing w:after="0"/>
              <w:rPr>
                <w:sz w:val="1"/>
                <w:szCs w:val="1"/>
                <w:color w:val="auto"/>
              </w:rPr>
            </w:pPr>
          </w:p>
        </w:tc>
      </w:tr>
      <w:tr>
        <w:trPr>
          <w:trHeight w:val="198"/>
        </w:trPr>
        <w:tc>
          <w:tcPr>
            <w:tcW w:w="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II</w:t>
            </w:r>
          </w:p>
        </w:tc>
        <w:tc>
          <w:tcPr>
            <w:tcW w:w="520" w:type="dxa"/>
            <w:vAlign w:val="bottom"/>
          </w:tcPr>
          <w:p>
            <w:pPr>
              <w:spacing w:after="0"/>
              <w:rPr>
                <w:sz w:val="17"/>
                <w:szCs w:val="17"/>
                <w:color w:val="auto"/>
              </w:rPr>
            </w:pPr>
          </w:p>
        </w:tc>
        <w:tc>
          <w:tcPr>
            <w:tcW w:w="422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&lt; A2 / A</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and</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 A3 / A-</w:t>
            </w:r>
          </w:p>
        </w:tc>
        <w:tc>
          <w:tcPr>
            <w:tcW w:w="2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0.900%</w:t>
            </w: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0.090%</w:t>
            </w:r>
          </w:p>
        </w:tc>
        <w:tc>
          <w:tcPr>
            <w:tcW w:w="0" w:type="dxa"/>
            <w:vAlign w:val="bottom"/>
          </w:tcPr>
          <w:p>
            <w:pPr>
              <w:spacing w:after="0"/>
              <w:rPr>
                <w:sz w:val="1"/>
                <w:szCs w:val="1"/>
                <w:color w:val="auto"/>
              </w:rPr>
            </w:pPr>
          </w:p>
        </w:tc>
      </w:tr>
      <w:tr>
        <w:trPr>
          <w:trHeight w:val="198"/>
        </w:trPr>
        <w:tc>
          <w:tcPr>
            <w:tcW w:w="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III</w:t>
            </w:r>
          </w:p>
        </w:tc>
        <w:tc>
          <w:tcPr>
            <w:tcW w:w="5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w w:val="97"/>
              </w:rPr>
              <w:t>&lt; A3 / A-</w:t>
            </w:r>
          </w:p>
        </w:tc>
        <w:tc>
          <w:tcPr>
            <w:tcW w:w="1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and</w:t>
            </w:r>
          </w:p>
        </w:tc>
        <w:tc>
          <w:tcPr>
            <w:tcW w:w="1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rPr>
              <w:t>≥ Baa1 / BBB+</w:t>
            </w:r>
          </w:p>
        </w:tc>
        <w:tc>
          <w:tcPr>
            <w:tcW w:w="2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198"/>
        </w:trPr>
        <w:tc>
          <w:tcPr>
            <w:tcW w:w="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IV</w:t>
            </w:r>
          </w:p>
        </w:tc>
        <w:tc>
          <w:tcPr>
            <w:tcW w:w="520" w:type="dxa"/>
            <w:vAlign w:val="bottom"/>
          </w:tcPr>
          <w:p>
            <w:pPr>
              <w:spacing w:after="0"/>
              <w:rPr>
                <w:sz w:val="17"/>
                <w:szCs w:val="17"/>
                <w:color w:val="auto"/>
              </w:rPr>
            </w:pPr>
          </w:p>
        </w:tc>
        <w:tc>
          <w:tcPr>
            <w:tcW w:w="422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&lt; Baa1 / BBB+</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and</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 Baa2 / BBB</w:t>
            </w:r>
          </w:p>
        </w:tc>
        <w:tc>
          <w:tcPr>
            <w:tcW w:w="2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1.100%</w:t>
            </w: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w:t>
            </w:r>
          </w:p>
        </w:tc>
        <w:tc>
          <w:tcPr>
            <w:tcW w:w="5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rPr>
              <w:t>≤ Baa3 / BBB-</w:t>
            </w:r>
          </w:p>
        </w:tc>
        <w:tc>
          <w:tcPr>
            <w:tcW w:w="2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1.200%</w:t>
            </w:r>
          </w:p>
        </w:tc>
        <w:tc>
          <w:tcPr>
            <w:tcW w:w="1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0.200%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0.175%</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the foregoing, (i) if either Moody’s or S&amp;P shall not have in effect a rating for the Index Debt (other than by reason of the circumstances referred to in the last sentence of this definition), then such rating agency shall be deemed to have established a rating equivalent to the Moody’s or S&amp;P, as applicable, rating then in effect (unless the absence of any such rating is due to the termination of the ratings engagement by the Company with Moody’s or S&amp;P, as applicable, in which case, the applicable rating shall be deemed to be Tier V); (ii) if the ratings established or deemed to have been established by Moody’s and S&amp;P for the Index Debt shall fall within different Tiers, the Applicable Rate shall be based on the higher of the two ratings unless one of the two ratings is two or more Tiers lower than the other, in which case the Applicable Rate shall be determined by reference to the Tier next above that of the lower of the two ratings; and (iii) if the ratings established or deemed to have been established by Moody’s and S&amp;P for the Index Debt shall be changed (other than as a result of a change in the rating system of Moody’s or S&amp;P), such change shall be effective as of the third Business Day following the date on which it is first announced by the applicable rating agency, irrespective of when notice of such change shall have been furnished by the Company to the Administrative Agent and the Lenders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otherwise.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Applicant Borrower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Borrower Portal</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hanging="424"/>
        <w:spacing w:after="0" w:line="208"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Term Benchmark applies to borrowings in SOFR (US Dollars), AUD (Australian Dollars), EURIBO (Euros), TIBOR (Japanese Yen) and CORRA (Canadian Dollars).</w:t>
      </w:r>
    </w:p>
    <w:p>
      <w:pPr>
        <w:spacing w:after="0" w:line="2" w:lineRule="exact"/>
        <w:rPr>
          <w:sz w:val="20"/>
          <w:szCs w:val="20"/>
          <w:color w:val="auto"/>
        </w:rPr>
      </w:pPr>
    </w:p>
    <w:p>
      <w:pPr>
        <w:ind w:left="5404" w:right="1900" w:hanging="5404"/>
        <w:spacing w:after="0" w:line="313" w:lineRule="auto"/>
        <w:tabs>
          <w:tab w:leader="none" w:pos="433"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RFR Spread applies to borrowings in SONIA (British Pounds), SARON (Swiss Francs) and SORA (Singapore Dollars). -4-</w:t>
      </w:r>
    </w:p>
    <w:p>
      <w:pPr>
        <w:sectPr>
          <w:pgSz w:w="11900" w:h="16838" w:orient="portrait"/>
          <w:cols w:equalWidth="0" w:num="1">
            <w:col w:w="10984"/>
          </w:cols>
          <w:pgMar w:left="436" w:top="253" w:right="479" w:bottom="1440" w:gutter="0" w:footer="0" w:header="0"/>
        </w:sectPr>
      </w:pPr>
    </w:p>
    <w:bookmarkStart w:id="12" w:name="page13"/>
    <w:bookmarkEnd w:id="12"/>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Arrangers</w:t>
      </w:r>
      <w:r>
        <w:rPr>
          <w:rFonts w:ascii="Times New Roman" w:cs="Times New Roman" w:eastAsia="Times New Roman" w:hAnsi="Times New Roman"/>
          <w:sz w:val="18"/>
          <w:szCs w:val="18"/>
          <w:color w:val="auto"/>
        </w:rPr>
        <w:t>” means, collectively, (i) each of JPMorgan Chase Bank, N.A., Citibank, N.A., U.S. Bank National Association and PNC Capital Markets LLC, in their capacities as Joint Lead Arrangers and Joint Bookrunners and (ii) each of Bank of America, N.A., ING Bank N.V., Dublin Branch and Banco Bilbao Vizcaya Argentaria, S.A. New York Branch, in their capacity as Joint Lead Arrangers.</w:t>
      </w:r>
    </w:p>
    <w:p>
      <w:pPr>
        <w:spacing w:after="0" w:line="171" w:lineRule="exact"/>
        <w:rPr>
          <w:sz w:val="20"/>
          <w:szCs w:val="20"/>
          <w:color w:val="auto"/>
        </w:rPr>
      </w:pPr>
    </w:p>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 Rate</w:t>
      </w:r>
      <w:r>
        <w:rPr>
          <w:rFonts w:ascii="Times New Roman" w:cs="Times New Roman" w:eastAsia="Times New Roman" w:hAnsi="Times New Roman"/>
          <w:sz w:val="18"/>
          <w:szCs w:val="18"/>
          <w:color w:val="auto"/>
        </w:rPr>
        <w:t>” means, with respect to any Term Benchmark Borrowing denominated in Australian Dollars and for any Interest Period, the AUD Screen Rate at approximately 11:00 a.m., Sydney, Australia time, two Business Days prior to the commencement of such Interest Period.</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 Screen Rate</w:t>
      </w:r>
      <w:r>
        <w:rPr>
          <w:rFonts w:ascii="Times New Roman" w:cs="Times New Roman" w:eastAsia="Times New Roman" w:hAnsi="Times New Roman"/>
          <w:sz w:val="18"/>
          <w:szCs w:val="18"/>
          <w:color w:val="auto"/>
        </w:rPr>
        <w:t>” means, for any day and time, for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applicable date of determination.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Augmenting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Australian Dollars</w:t>
      </w:r>
      <w:r>
        <w:rPr>
          <w:rFonts w:ascii="Times New Roman" w:cs="Times New Roman" w:eastAsia="Times New Roman" w:hAnsi="Times New Roman"/>
          <w:sz w:val="18"/>
          <w:szCs w:val="18"/>
          <w:color w:val="auto"/>
        </w:rPr>
        <w:t>” means the lawful currency of Australia.</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5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Adjusted Rate for such Agreed Currency or (ii) Term Benchmark Loan in any Agreed Currency, the Relevant Adjusted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or a Term CORRA Reelection Event and the related Benchmark Replacement Date have occurred with respect to the applicable Relevant Adjusted Rate or the then-current Benchmark for such Agreed Currency, then “Benchmark” means the applicable Benchmark Replacement to the extent that such Benchmark Replacement has replaced such prior benchmark rate pursuant to clause (b) of Section 2.14.</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means, with respect to any Benchmark Transition Event in respect of an Agreed Currency,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8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would be less than the Floor, the Benchmark Replacement will be deemed to be the Floor for the purposes of this Agreement and the other Loan Documents.</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in respect of a specified currency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14" w:name="page15"/>
    <w:bookmarkEnd w:id="14"/>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Revolving Loan denominated in U.S.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Company,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after consultation with the Company, that no market practice for the administration of such Benchmark exists, in such other manner of administration as the Administrative Agent decides, after consultation with the Company, is reasonably necessary in connection with the administration of this Agreement and the other Loan Documents).</w:t>
      </w:r>
    </w:p>
    <w:p>
      <w:pPr>
        <w:spacing w:after="0" w:line="18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1" w:lineRule="exact"/>
        <w:rPr>
          <w:sz w:val="20"/>
          <w:szCs w:val="20"/>
          <w:color w:val="auto"/>
        </w:rPr>
      </w:pPr>
    </w:p>
    <w:p>
      <w:pPr>
        <w:ind w:left="440" w:right="6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or</w:t>
      </w:r>
    </w:p>
    <w:p>
      <w:pPr>
        <w:spacing w:after="0" w:line="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CORRA Reelection Event, the date that is thirty (30) days after the date a Term CORRA Notice (if any) is provided to the Lenders and the Company pursuant to Section 2.14(c).</w:t>
      </w:r>
    </w:p>
    <w:p>
      <w:pPr>
        <w:spacing w:after="0" w:line="54"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5" w:name="page16"/>
    <w:bookmarkEnd w:id="15"/>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1" w:lineRule="exact"/>
        <w:rPr>
          <w:sz w:val="20"/>
          <w:szCs w:val="20"/>
          <w:color w:val="auto"/>
        </w:rPr>
      </w:pPr>
    </w:p>
    <w:p>
      <w:pPr>
        <w:ind w:left="440" w:firstLine="419"/>
        <w:spacing w:after="0" w:line="258"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71" w:lineRule="auto"/>
        <w:tabs>
          <w:tab w:leader="none" w:pos="111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the regulatory supervisor for the administrator of such Benchmark (or the published component used in the calculation thereof), the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65" w:lineRule="exact"/>
        <w:rPr>
          <w:rFonts w:ascii="Times New Roman" w:cs="Times New Roman" w:eastAsia="Times New Roman" w:hAnsi="Times New Roman"/>
          <w:sz w:val="17"/>
          <w:szCs w:val="17"/>
          <w:color w:val="auto"/>
        </w:rPr>
      </w:pPr>
    </w:p>
    <w:p>
      <w:pPr>
        <w:ind w:left="440" w:right="40" w:firstLine="419"/>
        <w:spacing w:after="0" w:line="289" w:lineRule="auto"/>
        <w:tabs>
          <w:tab w:leader="none" w:pos="111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50" w:lineRule="exact"/>
        <w:rPr>
          <w:sz w:val="20"/>
          <w:szCs w:val="20"/>
          <w:color w:val="auto"/>
        </w:rPr>
      </w:pPr>
    </w:p>
    <w:p>
      <w:pPr>
        <w:ind w:left="440" w:right="80" w:firstLine="423"/>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3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Benefit Plan</w:t>
      </w:r>
      <w:r>
        <w:rPr>
          <w:rFonts w:ascii="Times New Roman" w:cs="Times New Roman" w:eastAsia="Times New Roman" w:hAnsi="Times New Roman"/>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Blocking Law</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Blocking Regulation</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 each has the meaning assigned to such term in the preamble.</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DTTP Filing</w:t>
      </w:r>
      <w:r>
        <w:rPr>
          <w:rFonts w:ascii="Times New Roman" w:cs="Times New Roman" w:eastAsia="Times New Roman" w:hAnsi="Times New Roman"/>
          <w:sz w:val="18"/>
          <w:szCs w:val="18"/>
          <w:color w:val="auto"/>
        </w:rPr>
        <w:t>” means an HM Revenue &amp; Customs’ Form DTTP2, duly completed and filed by the relevant Borrower within the applicable time limit, which contains the scheme reference number and jurisdiction of tax residence provided by the applicable Lender to the Company and the Administrative Agent.</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means (a) Revolving Loans of the same Type and currency, made, converted or continued on the same date and, in the case of Term Benchmark Loans, as to which a single Interest Period is in effect, or (b) a Swingline Borrowing.</w:t>
      </w:r>
    </w:p>
    <w:p>
      <w:pPr>
        <w:spacing w:after="0" w:line="155"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 Request</w:t>
      </w:r>
      <w:r>
        <w:rPr>
          <w:rFonts w:ascii="Times New Roman" w:cs="Times New Roman" w:eastAsia="Times New Roman" w:hAnsi="Times New Roman"/>
          <w:sz w:val="18"/>
          <w:szCs w:val="18"/>
          <w:color w:val="auto"/>
        </w:rPr>
        <w:t xml:space="preserve">” means a request by the Company, for itself or on behalf of a Designated Borrower, for a Revolving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xml:space="preserve">” means, any day (other than a Saturday or a Sunday) on which banks are open for business in New York 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addition to the foregoing, a Business Day shall be (i)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(ii) in relation to Loans denominated in Japanese Yen and in relation to the calculation or computation of the TIBO Rate, any day (other than a Saturday or a Sunday) on which banks are open for business in Japan, (iii) in relation to Loans denominated in Euro and in relation to the calculation or computation of the EURIBO Rate, any day which is a TARGET Day, (iv) in relation to Loans denominated in Canadian Dollars and in relation to the calculation or computation of CORRA or the Canadian Prime Rate, any day (other than a Saturday or a Sunday) on which banks are open for business in Toronto, Canada, (v) in relation to Loans denominated in Australian Dollars and in relation to the calculation or computation of the AUD Rate, any day (other than a Saturday or a Sunday) on which banks are open for business in Sydney, Australia or (vi)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Borrower</w:t>
      </w:r>
      <w:r>
        <w:rPr>
          <w:rFonts w:ascii="Times New Roman" w:cs="Times New Roman" w:eastAsia="Times New Roman" w:hAnsi="Times New Roman"/>
          <w:sz w:val="18"/>
          <w:szCs w:val="18"/>
          <w:color w:val="auto"/>
        </w:rPr>
        <w:t>” means any Borrower that is organized under the laws of Canada or any province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Dollars</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ind w:right="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Canadian Prime Rate</w:t>
      </w:r>
      <w:r>
        <w:rPr>
          <w:rFonts w:ascii="Times New Roman" w:cs="Times New Roman" w:eastAsia="Times New Roman" w:hAnsi="Times New Roman"/>
          <w:sz w:val="17"/>
          <w:szCs w:val="17"/>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any of the above rates shall be less than zero, such rate shall be deemed to be zero for purposes of this Agreement. Any change in the Canadian Prime Rate due to a change in the PRIMCAN Index shall be effective from and including the effective date of such change in the PRIMCAN Index.</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Canadian Prime Rate Loan</w:t>
      </w:r>
      <w:r>
        <w:rPr>
          <w:rFonts w:ascii="Times New Roman" w:cs="Times New Roman" w:eastAsia="Times New Roman" w:hAnsi="Times New Roman"/>
          <w:sz w:val="18"/>
          <w:szCs w:val="18"/>
          <w:color w:val="auto"/>
        </w:rPr>
        <w:t>” means a Loan which bears interest at the Canadian Prime Rate.</w:t>
      </w:r>
    </w:p>
    <w:p>
      <w:pPr>
        <w:spacing w:after="0" w:line="225" w:lineRule="exact"/>
        <w:rPr>
          <w:sz w:val="20"/>
          <w:szCs w:val="20"/>
          <w:color w:val="auto"/>
        </w:rPr>
      </w:pPr>
    </w:p>
    <w:p>
      <w:pPr>
        <w:ind w:right="5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Equivalents</w:t>
      </w:r>
      <w:r>
        <w:rPr>
          <w:rFonts w:ascii="Times New Roman" w:cs="Times New Roman" w:eastAsia="Times New Roman" w:hAnsi="Times New Roman"/>
          <w:sz w:val="18"/>
          <w:szCs w:val="18"/>
          <w:color w:val="auto"/>
        </w:rPr>
        <w:t>” of any Person means cash equivalents as classified or accounted for as cash equivalents on the balance sheet of such Person in accordance with GAAP.</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Japanese Prime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Central Bank Rate</w:t>
      </w:r>
      <w:r>
        <w:rPr>
          <w:rFonts w:ascii="Times New Roman" w:cs="Times New Roman" w:eastAsia="Times New Roman" w:hAnsi="Times New Roman"/>
          <w:sz w:val="18"/>
          <w:szCs w:val="18"/>
          <w:color w:val="auto"/>
        </w:rPr>
        <w:t xml:space="preserve">”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time to time and (d) any other Foreign Currency, a central bank rate as determined by the Administrative Agent in its reasonable discretion;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applicable Central Bank Rate Adjustment and (ii) the Floor.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Central Bank Rate Adjustment</w:t>
      </w:r>
      <w:r>
        <w:rPr>
          <w:rFonts w:ascii="Times New Roman" w:cs="Times New Roman" w:eastAsia="Times New Roman" w:hAnsi="Times New Roman"/>
          <w:sz w:val="18"/>
          <w:szCs w:val="18"/>
          <w:color w:val="auto"/>
        </w:rPr>
        <w:t>” means, for any day, for any Loan denominated in:</w:t>
      </w:r>
    </w:p>
    <w:p>
      <w:pPr>
        <w:spacing w:after="0" w:line="229" w:lineRule="exact"/>
        <w:rPr>
          <w:sz w:val="20"/>
          <w:szCs w:val="20"/>
          <w:color w:val="auto"/>
        </w:rPr>
      </w:pPr>
    </w:p>
    <w:p>
      <w:pPr>
        <w:ind w:firstLine="436"/>
        <w:spacing w:after="0" w:line="258"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Pounds Sterling, a rate equal to the difference (which may be a positive or negative value or zero) of (x) the average of Adjusted Daily Simple RFR for Pounds Sterling Borrowings for the five (5) most recent RFR Business Days preceding such day for which Adjusted Daily Simple RFR for Pounds Sterling Borrowings was available (excluding, from such averaging, the highest and the lowest such Adjusted Daily Simple RFR applicable during such period of five (5) RFR Business Days) minus (y) the Central Bank Rate in respect of Pounds Sterling in effect on the last RFR Business Day in such period,</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Francs, a rate equal to the difference (which may be a positive or negative value or zero) of (x) the average of Adjusted Daily Simple RFR for Swiss Franc Borrowings for the five (5) most recent RFR Business Days preceding such day for which SARON was available (excluding, from such averaging, the highest and the lowest such Adjusted Daily Simple RFR applicable during such period of five (5) RFR Business Days) minus (y) the Central Bank Rate in respect of Swiss Francs in effect on the last RFR Business Day in such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8" w:name="page19"/>
    <w:bookmarkEnd w:id="18"/>
    <w:p>
      <w:pPr>
        <w:ind w:left="684" w:hanging="244"/>
        <w:spacing w:after="0"/>
        <w:tabs>
          <w:tab w:leader="none" w:pos="6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 a rate equal to the difference (which may be a positive or negative value or zero) of (x) the average of the EURIBO Rate for the five</w:t>
      </w:r>
    </w:p>
    <w:p>
      <w:pPr>
        <w:spacing w:after="0" w:line="27" w:lineRule="exact"/>
        <w:rPr>
          <w:rFonts w:ascii="Times New Roman" w:cs="Times New Roman" w:eastAsia="Times New Roman" w:hAnsi="Times New Roman"/>
          <w:sz w:val="18"/>
          <w:szCs w:val="18"/>
          <w:color w:val="auto"/>
        </w:rPr>
      </w:pPr>
    </w:p>
    <w:p>
      <w:pPr>
        <w:ind w:left="4" w:right="180" w:hanging="4"/>
        <w:spacing w:after="0" w:line="255"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recent Business Days preceding such day for which the EURIBO Screen Rate was available (excluding, from such averaging, the highest and the lowest EURIBO Rate applicable during such period of five (5) Business Days) minus (y) the Central Bank Rate in respect of Euro in effect on the last Business Day in such period,</w:t>
      </w:r>
    </w:p>
    <w:p>
      <w:pPr>
        <w:spacing w:after="0" w:line="185"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Dollars, a rate equal to the difference (which may be a positive or negative value or zero) of (x) the average of the AUD Rate for the five (5) most recent Business Days preceding such day for which the AUD Screen Rate was available (excluding, from such averaging, the highest and the lowest AUD Rate applicable during such period of five (5) Business Days) minus (y) the Central Bank Rate in respect of Australian Dollars in effect on the last Business Day in such period, and</w:t>
      </w:r>
    </w:p>
    <w:p>
      <w:pPr>
        <w:spacing w:after="0" w:line="1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Foreign Currency, an adjustment as determined by the Administrative Agent in its reasonable discretion.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this definition, (x) the term Central Bank Rate shall be determined disregarding clause (i)(B) of the definition of such term and</w:t>
      </w:r>
    </w:p>
    <w:p>
      <w:pPr>
        <w:spacing w:after="0" w:line="27" w:lineRule="exact"/>
        <w:rPr>
          <w:sz w:val="20"/>
          <w:szCs w:val="20"/>
          <w:color w:val="auto"/>
        </w:rPr>
      </w:pPr>
    </w:p>
    <w:p>
      <w:pPr>
        <w:ind w:left="4" w:right="20" w:hanging="4"/>
        <w:spacing w:after="0" w:line="255"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applicable Relevant Rate on any day shall be based on the applicable Relevant Screen Rate in respect of such applicable Relevant Rate, as applicable, on such day at approximately the time referred to in the definition of such term for deposits in the applicable Foreign Currency for a maturity of one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shall be less than zero, such rate shall be deemed to be zero.</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 event or series of events by which:</w:t>
      </w:r>
    </w:p>
    <w:p>
      <w:pPr>
        <w:spacing w:after="0" w:line="229" w:lineRule="exact"/>
        <w:rPr>
          <w:sz w:val="20"/>
          <w:szCs w:val="20"/>
          <w:color w:val="auto"/>
        </w:rPr>
      </w:pPr>
    </w:p>
    <w:p>
      <w:pPr>
        <w:ind w:left="4" w:firstLine="436"/>
        <w:spacing w:after="0" w:line="254"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but excluding members of the Cabot family, any employee benefit plan of the Company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(such right, an “</w:t>
      </w:r>
      <w:r>
        <w:rPr>
          <w:rFonts w:ascii="Times New Roman" w:cs="Times New Roman" w:eastAsia="Times New Roman" w:hAnsi="Times New Roman"/>
          <w:sz w:val="18"/>
          <w:szCs w:val="18"/>
          <w:b w:val="1"/>
          <w:bCs w:val="1"/>
          <w:i w:val="1"/>
          <w:iCs w:val="1"/>
          <w:color w:val="auto"/>
        </w:rPr>
        <w:t>option right</w:t>
      </w:r>
      <w:r>
        <w:rPr>
          <w:rFonts w:ascii="Times New Roman" w:cs="Times New Roman" w:eastAsia="Times New Roman" w:hAnsi="Times New Roman"/>
          <w:sz w:val="18"/>
          <w:szCs w:val="18"/>
          <w:color w:val="auto"/>
        </w:rPr>
        <w:t>”), whether such right is exercisable immediately or only after the passage of time), directly or indirectly, of twenty-five percent (25%)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91"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of twenty-four (24)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183"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Law</w:t>
      </w:r>
      <w:r>
        <w:rPr>
          <w:rFonts w:ascii="Times New Roman" w:cs="Times New Roman" w:eastAsia="Times New Roman" w:hAnsi="Times New Roman"/>
          <w:sz w:val="18"/>
          <w:szCs w:val="18"/>
          <w:color w:val="auto"/>
        </w:rPr>
        <w:t>” means (a) the adoption of or taking effect of any law, rule, regulation, or treaty (including any rules or regulations issued under or implementing any existing law) after the date of this Agreement, (b) any change in any law, rule, regulation or treaty or in the interpretation or application thereof by any Governmental Authority after the date of this Agreement or (c) compliance by any Lender or the Issuing Bank (or by any applicable lending office of such Lender or the Issuing Bank) with any request,</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9" w:name="page20"/>
    <w:bookmarkEnd w:id="1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of America or foreign regulatory authorities, in each case under Basel III, shall in each case be deemed to be a “Change in Law” regardless of the date enacted, adopted, issued or implemented.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or Swingline Loans.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Co-Documentation Agent</w:t>
      </w:r>
      <w:r>
        <w:rPr>
          <w:rFonts w:ascii="Times New Roman" w:cs="Times New Roman" w:eastAsia="Times New Roman" w:hAnsi="Times New Roman"/>
          <w:sz w:val="18"/>
          <w:szCs w:val="18"/>
          <w:color w:val="auto"/>
        </w:rPr>
        <w:t>” means each of Bank of America, N.A., ING Bank N.V., Dublin Branch and Banco Bilbao Vizcaya Argentaria,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Branch, in their capacity Co-Documentation Agent.</w:t>
      </w:r>
    </w:p>
    <w:p>
      <w:pPr>
        <w:spacing w:after="0" w:line="203"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w:t>
      </w:r>
      <w:r>
        <w:rPr>
          <w:rFonts w:ascii="Times New Roman" w:cs="Times New Roman" w:eastAsia="Times New Roman" w:hAnsi="Times New Roman"/>
          <w:sz w:val="18"/>
          <w:szCs w:val="18"/>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The initial amount of each Lender’s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pursuant to which such Lender shall have assumed its Commitment, as applicable. The initial aggregate amount of the Lenders’ Commitments is $1,300,000,000.</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10.01(d)(iii)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Computation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consolidated</w:t>
      </w:r>
      <w:r>
        <w:rPr>
          <w:rFonts w:ascii="Times New Roman" w:cs="Times New Roman" w:eastAsia="Times New Roman" w:hAnsi="Times New Roman"/>
          <w:sz w:val="18"/>
          <w:szCs w:val="18"/>
          <w:color w:val="auto"/>
        </w:rPr>
        <w:t>” means, with reference to any term defined herein, that term as applied to the accounts of the Company and its Subsidiaries, consolidated in accordance with GAAP.</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EBITDA</w:t>
      </w:r>
      <w:r>
        <w:rPr>
          <w:rFonts w:ascii="Times New Roman" w:cs="Times New Roman" w:eastAsia="Times New Roman" w:hAnsi="Times New Roman"/>
          <w:sz w:val="18"/>
          <w:szCs w:val="18"/>
          <w:color w:val="auto"/>
        </w:rPr>
        <w:t xml:space="preserve">” means, with reference to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without duplication, to the extent deducted from revenues in determining such Consolidated Net Income, (i) interest expense (including capitalized interest, premium payments, debt discount, fees, charges and related expenses in connection with all Indebtedness, including for the deferred purchase price of assets and services, and fees and charges incurred under any Securitization Transactions), (ii) the provision for federal, state, local, foreign or other income taxes payable, (iii) depreciation expense, (iv)</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0" w:name="page21"/>
    <w:bookmarkEnd w:id="2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amortization expense, (v) non-cash stock-based compensation expense, (vi) any extraordinary, unusual or non-recurring expenses, losses and charges, including (A) impairment charges, (B) any restructuring charges or restructuring reversals, (C) any loss from the sales of assets outside the ordinary course of business, (D) costs related to acquisitions and dispositions, including transaction costs (whether or not the transaction is consummated), charges for the sale of inventories revalued at the date of acquisition and in-process research and development acquired, and the amortization of acquisition-related intangible assets, and (E) amortization or write-off of debt discount and debt issuance costs and commissions, discounts, debt refinancing costs and commissions and other fees and charges associated with Indebtedness, and (vii) other non-cash charges and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to the extent included in such Consolidated Net Income, (i) all non-cash income or gains, (ii) interest income, (iii) any extraordinary, unusual or non-recurring income or gains (including any gain from the sales of assets outside of the ordinary course of business), and (iv) income tax credits (to the extent not netted from income tax expense), all calculated for the Company and its Subsidiaries in accordance with GAAP on a consolidated basis. For the purposes of calculating Consolidated EBITDA for any period, if during such period the Company or any Subsidiary shall have made a Permitted Acquisition or sale of any business or Subsidiary permitted hereunder, Consolidated EBITDA for such period shall be calculated after giving effect to such Permitted Acquisition (and all associated Indebtedness) or such sale of any business or Subsidiary on a Pro Forma Basis as if such Permitted Acquisition or sale of any business or Subsidiary occurred on the first day of such period.</w:t>
      </w:r>
    </w:p>
    <w:p>
      <w:pPr>
        <w:spacing w:after="0" w:line="183"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Income</w:t>
      </w:r>
      <w:r>
        <w:rPr>
          <w:rFonts w:ascii="Times New Roman" w:cs="Times New Roman" w:eastAsia="Times New Roman" w:hAnsi="Times New Roman"/>
          <w:sz w:val="18"/>
          <w:szCs w:val="18"/>
          <w:color w:val="auto"/>
        </w:rPr>
        <w:t>” means, with reference to any period, the net income (or loss) of the Company and its Subsidiaries calculated in accordance with GAAP on a consolidated basis (without duplication) for such period.</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Leverage Ratio</w:t>
      </w:r>
      <w:r>
        <w:rPr>
          <w:rFonts w:ascii="Times New Roman" w:cs="Times New Roman" w:eastAsia="Times New Roman" w:hAnsi="Times New Roman"/>
          <w:sz w:val="18"/>
          <w:szCs w:val="18"/>
          <w:color w:val="auto"/>
        </w:rPr>
        <w:t xml:space="preserve">” means, as of the last day of any fiscal quarter, the ratio of (a) (i) Consolidated Total Debt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Liquidity as of such date to (b) Consolidated EBITDA for the Reference Period ended on such date.</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Tangible Net Worth</w:t>
      </w:r>
      <w:r>
        <w:rPr>
          <w:rFonts w:ascii="Times New Roman" w:cs="Times New Roman" w:eastAsia="Times New Roman" w:hAnsi="Times New Roman"/>
          <w:sz w:val="18"/>
          <w:szCs w:val="18"/>
          <w:color w:val="auto"/>
        </w:rPr>
        <w:t xml:space="preserve">” means, as of any date, (i) the consolidated stockholders’ equity of the Company as of such date (calculated excluding adjustments to translate foreign assets and liabilities for changes in foreign exchange rates made in accordance with Financial Accounting Standards Board Statement Nos. 52 and 133),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to the extent reflected in determining such consolidated stockholders’ equity as of such date, the amount of Intangible Assets of the Company and its Subsidiaries on a consolidated basis.</w:t>
      </w:r>
    </w:p>
    <w:p>
      <w:pPr>
        <w:spacing w:after="0" w:line="176"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Total Debt</w:t>
      </w:r>
      <w:r>
        <w:rPr>
          <w:rFonts w:ascii="Times New Roman" w:cs="Times New Roman" w:eastAsia="Times New Roman" w:hAnsi="Times New Roman"/>
          <w:sz w:val="18"/>
          <w:szCs w:val="18"/>
          <w:color w:val="auto"/>
        </w:rPr>
        <w:t>” means, as of any date of determination, the outstanding principal amount as of such date of all Indebtedness of the Company and its Subsidiaries on a consolidated basis.</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Total Tangible Assets</w:t>
      </w:r>
      <w:r>
        <w:rPr>
          <w:rFonts w:ascii="Times New Roman" w:cs="Times New Roman" w:eastAsia="Times New Roman" w:hAnsi="Times New Roman"/>
          <w:sz w:val="18"/>
          <w:szCs w:val="18"/>
          <w:color w:val="auto"/>
        </w:rPr>
        <w:t>” means the aggregate amount of all assets of the Company and its Subsidiaries on a consolidated basis other than Intangible Assets.</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right="3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b w:val="1"/>
          <w:bCs w:val="1"/>
          <w:i w:val="1"/>
          <w:i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Controlled</w:t>
      </w:r>
      <w:r>
        <w:rPr>
          <w:rFonts w:ascii="Times New Roman" w:cs="Times New Roman" w:eastAsia="Times New Roman" w:hAnsi="Times New Roman"/>
          <w:sz w:val="17"/>
          <w:szCs w:val="17"/>
          <w:color w:val="auto"/>
        </w:rPr>
        <w:t>” have meanings correlative thereto.</w:t>
      </w:r>
    </w:p>
    <w:p>
      <w:pPr>
        <w:spacing w:after="0" w:line="132" w:lineRule="exact"/>
        <w:rPr>
          <w:sz w:val="20"/>
          <w:szCs w:val="20"/>
          <w:color w:val="auto"/>
        </w:rPr>
      </w:pPr>
    </w:p>
    <w:p>
      <w:pPr>
        <w:ind w:right="10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CORRA Determination Date</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CORRA Rate Day</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204" w:hanging="213"/>
        <w:spacing w:after="0"/>
        <w:tabs>
          <w:tab w:leader="none" w:pos="1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444" w:right="2520" w:firstLine="547"/>
        <w:spacing w:after="0" w:line="498" w:lineRule="auto"/>
        <w:tabs>
          <w:tab w:leader="none" w:pos="13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w:t>
      </w:r>
      <w:r>
        <w:rPr>
          <w:rFonts w:ascii="Times New Roman" w:cs="Times New Roman" w:eastAsia="Times New Roman" w:hAnsi="Times New Roman"/>
          <w:sz w:val="18"/>
          <w:szCs w:val="18"/>
          <w:b w:val="1"/>
          <w:bCs w:val="1"/>
          <w:i w:val="1"/>
          <w:iCs w:val="1"/>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 means the Administrative Agent, the Issuing Banks, the Swingline Lenders or any other Lender.</w:t>
      </w:r>
    </w:p>
    <w:p>
      <w:pPr>
        <w:spacing w:after="0" w:line="225" w:lineRule="exact"/>
        <w:rPr>
          <w:sz w:val="20"/>
          <w:szCs w:val="20"/>
          <w:color w:val="auto"/>
        </w:rPr>
      </w:pPr>
    </w:p>
    <w:p>
      <w:pPr>
        <w:ind w:left="4" w:right="3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Daily Simple CORRA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i w:val="1"/>
          <w:iCs w:val="1"/>
          <w:color w:val="auto"/>
        </w:rPr>
        <w:t>CORRA Rate Day</w:t>
      </w:r>
      <w:r>
        <w:rPr>
          <w:rFonts w:ascii="Times New Roman" w:cs="Times New Roman" w:eastAsia="Times New Roman" w:hAnsi="Times New Roman"/>
          <w:sz w:val="17"/>
          <w:szCs w:val="17"/>
          <w:color w:val="auto"/>
        </w:rPr>
        <w:t>”), a rate per annum equal to CORRA for the day (such day a “</w:t>
      </w:r>
      <w:r>
        <w:rPr>
          <w:rFonts w:ascii="Times New Roman" w:cs="Times New Roman" w:eastAsia="Times New Roman" w:hAnsi="Times New Roman"/>
          <w:sz w:val="17"/>
          <w:szCs w:val="17"/>
          <w:b w:val="1"/>
          <w:bCs w:val="1"/>
          <w:i w:val="1"/>
          <w:iCs w:val="1"/>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Determination Date</w:t>
      </w:r>
      <w:r>
        <w:rPr>
          <w:rFonts w:ascii="Times New Roman" w:cs="Times New Roman" w:eastAsia="Times New Roman" w:hAnsi="Times New Roman"/>
          <w:sz w:val="17"/>
          <w:szCs w:val="17"/>
          <w:color w:val="auto"/>
        </w:rPr>
        <w:t>”) that is five (5) RFR Business Days prior to (i) if such CORRA Rate Day is an RFR Business Day, such CORRA Rate Day or</w:t>
      </w:r>
    </w:p>
    <w:p>
      <w:pPr>
        <w:spacing w:after="0" w:line="1" w:lineRule="exact"/>
        <w:rPr>
          <w:sz w:val="20"/>
          <w:szCs w:val="20"/>
          <w:color w:val="auto"/>
        </w:rPr>
      </w:pPr>
    </w:p>
    <w:p>
      <w:pPr>
        <w:ind w:left="4" w:hanging="4"/>
        <w:spacing w:after="0" w:line="251"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RFR Business Days prior to such CORRA Determination Date.</w:t>
      </w:r>
    </w:p>
    <w:p>
      <w:pPr>
        <w:spacing w:after="0" w:line="190"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the greater of (a)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(ii) Swiss Francs, SARON for the day that is five (5) RFR Business Days prior to (A) if such RFR Interest Day is an RFR Business Day, such RFR Interest Day or (B) if such RFR Interest Day is not an RFR Business Day, the RFR Business Day immediately preceding such RFR Interest Day, (iii) Singapore Dollars, SORA for the day that is five (5) RFR Business Days prior to (A) if such RFR Interest Day is an RFR Business Day, such RFR Interest Day or (B) if such RFR Interest Day is not an RFR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22" w:name="page23"/>
    <w:bookmarkEnd w:id="2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 the RFR Business Day immediately preceding such RFR Interest Day, (iv) U.S. Dollars, Daily Simple SOFR (following a Benchmark Transition Event and a Benchmark Replacement Date with respect to the Term SOFR Rate) and (v) Canadian Dollars, Daily Simple CORRA (following a Benchmark Transition Event and a Benchmark Replacement Date with respect to Term CORRA) and (b) 0%.</w:t>
      </w:r>
    </w:p>
    <w:p>
      <w:pPr>
        <w:spacing w:after="0" w:line="17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a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8"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Defaulting Lender</w:t>
      </w:r>
      <w:r>
        <w:rPr>
          <w:rFonts w:ascii="Times New Roman" w:cs="Times New Roman" w:eastAsia="Times New Roman" w:hAnsi="Times New Roman"/>
          <w:sz w:val="18"/>
          <w:szCs w:val="18"/>
          <w:color w:val="auto"/>
        </w:rPr>
        <w:t xml:space="preserve">” means any Lender that (a) has failed, within two (2) Business Days after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Credit Party’s receipt of such certification in form and substance satisfactory to it and the Administrative Agent, or (d) has, or has a Lender Parent that has, become the subject of a (A) Bankruptcy Event or (B) a Bail-In Action.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Borrower</w:t>
      </w:r>
      <w:r>
        <w:rPr>
          <w:rFonts w:ascii="Times New Roman" w:cs="Times New Roman" w:eastAsia="Times New Roman" w:hAnsi="Times New Roman"/>
          <w:sz w:val="18"/>
          <w:szCs w:val="18"/>
          <w:color w:val="auto"/>
        </w:rPr>
        <w:t>” has the meaning assigned to such term in the preamble.</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Designated Borrower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Borrower Request and Assumption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Disclosed Litigation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 Amount</w:t>
      </w:r>
      <w:r>
        <w:rPr>
          <w:rFonts w:ascii="Times New Roman" w:cs="Times New Roman" w:eastAsia="Times New Roman" w:hAnsi="Times New Roman"/>
          <w:sz w:val="18"/>
          <w:szCs w:val="18"/>
          <w:color w:val="auto"/>
        </w:rPr>
        <w:t>” of any amount of any currency means, at the time of determination thereof, (a) if such amount is expressed in U.S. Dollars, such amount, (b) if such amount is expressed in a Foreign Currency, the equivalent of such amount in U.S. Dollars determined by using the rate of exchange for the purchase of U.S.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U.S. Dollars with such Foreign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U.S. Dollars as reasonably determined by the Administrative Agent, in consultation with the Company, using any reasonable method of determination it deems reasonably appropriate) and (c) if such amount is denominated in any other currency, the equivalent of such amount in U.S. Dollars as reasonably determined by the Administrative Agent, in consultation with the Company, using any reasonable method of determination it deems reasonably appropriate.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 of America.</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ind w:right="100" w:firstLine="44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Electronic System</w:t>
      </w:r>
      <w:r>
        <w:rPr>
          <w:rFonts w:ascii="Times New Roman" w:cs="Times New Roman" w:eastAsia="Times New Roman" w:hAnsi="Times New Roman"/>
          <w:sz w:val="18"/>
          <w:szCs w:val="18"/>
          <w:color w:val="auto"/>
        </w:rPr>
        <w:t>” means any electronic system, including e-mail, e-fax,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ClearPar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4" w:name="page25"/>
    <w:bookmarkEnd w:id="24"/>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to pollution and the protection of the environment, or the release of any Hazardous Material.</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any trade or business (whether or not incorporated) that, together with any Borrower, is treated as a single employer under subsections (b) and (c) of Section 414 of the Code (and, solely for the purposes of Section 412 of the Code, including subsections (m) and (o) of Section 414 of the Code).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existence with respect to any Multiemployer Plan of an “accumulated funding deficiency” (as defined in Sections 412 and 431 of the Code or Sections 302 and 304 of ERISA), whether or not waived, or the determination that any Multiemployer Plan is in either “endangered status” or “critical status” (as defined in Section 432 of the Code or Section 305 of ERISA), or the failure of any Plan that is not a Multiemployer Plan to satisfy the minimum funding standards of Sections 412 and 430 of the Code or Sections 302 and 303 of ERISA, or the determination that any Plan that is not a Multiemployer Plan is in “at-risk” status (as defined in Section 430(i) of the Code or</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303(i) of ERISA) or the imposition of any lien on any Borrower or any of its ERISA Affiliates pursuant to Section 430(k) of the Code or Section 303(k) of ERISA; (c) the filing pursuant to Section 412(c) of the Code or Section 303(c) of ERISA of an application for a waiver of the minimum funding standard with respect to any Plan; (d) the incurrence by any Borrower or any of its ERISA Affiliates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of its ERISA Affiliates of any liability with respect to the withdrawal or partial withdrawal from any Multiemployer Plan; (g) the receipt by any Borrower or any ERISA Affiliate of any notice, or the receipt by any Multiemployer Plan from any Borrower or any ERISA Affiliate of any notice, concerning the imposition of Withdrawal Liability or a determination that a Multiemployer Plan is, or is expected to be, insolvent or in reorganization, within the meaning of Title IV of ERISA; (h) the withdrawal by any Borrower or any ERISA Affiliate from a Plan subject to Section 4063 of ERISA during a plan year in which it was a “substantial employer” (as defined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5" w:name="page26"/>
    <w:bookmarkEnd w:id="25"/>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Section 4001(a)(2) of ERISA); (i) the engagement by any Borrower or any ERISA Affiliate in a transaction that could reasonably be expected to be subject to Section 4069 or Section 4212(c) of ERISA; (j) the engagement by any Borrower in a non-exempt “prohibited transaction” (as defined under Section 406 of ERISA or Section 4975 of the Code) or a breach of a fiduciary duty under ERISA that could reasonably be expected to result in liability to the Company or any Subsidiary; (k) notification by the IRS of the failure of any Plan (and any related trust) that is intended to be qualified under Sections 401 and 501 of the Code to be so qualified; (l) the commencement, existence or threatening of a claim, action, suit or audit or other regulatory examination with respect to any Plan, other than a routine claim for benefits; or (m) the occurrence of an event with respect to any employee benefit plan described in Section 3(2) of ERISA that results in the imposition of an excise tax or any other liability on any Borrower or of the imposition of a Lien on the assets of any Borrower.</w:t>
      </w:r>
    </w:p>
    <w:p>
      <w:pPr>
        <w:spacing w:after="0" w:line="188"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as in effect from time to time.</w:t>
      </w:r>
    </w:p>
    <w:p>
      <w:pPr>
        <w:spacing w:after="0" w:line="15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EURIBO Rate</w:t>
      </w:r>
      <w:r>
        <w:rPr>
          <w:rFonts w:ascii="Times New Roman" w:cs="Times New Roman" w:eastAsia="Times New Roman" w:hAnsi="Times New Roman"/>
          <w:sz w:val="18"/>
          <w:szCs w:val="18"/>
          <w:color w:val="auto"/>
        </w:rPr>
        <w:t>” means, with respect to any Term Benchmark Borrowing denominated in Euro and for any Interest Period, the EURIBO Screen Rate at approximately 11:00 a.m., Brussels time, two (2) TARGET Days prior to the commencement of such Interest Period.</w:t>
      </w:r>
    </w:p>
    <w:p>
      <w:pPr>
        <w:spacing w:after="0" w:line="15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EURIBO Screen Rate</w:t>
      </w:r>
      <w:r>
        <w:rPr>
          <w:rFonts w:ascii="Times New Roman" w:cs="Times New Roman" w:eastAsia="Times New Roman" w:hAnsi="Times New Roman"/>
          <w:sz w:val="18"/>
          <w:szCs w:val="18"/>
          <w:color w:val="auto"/>
        </w:rPr>
        <w:t>” means, for any day and time, with respect to any Term Benchmark Borrowing denominated in Euro and for any Interest Period, the Euro interbank offered rate administered by the European Money Markets Institute (or any other person which takes over the administration of such rate) for Euro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the applicable date of determination. If such page or service ceases to be available, the Administrative Agent may specify another page or service displaying the relevant rate after consultation with the Borrower.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the single currency of the participating member states of the European Union.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means that certain Credit Agreement dated as of August 6, 2021, by and among the Company, the other borrowers party thereto, the lenders party thereto and JPMorgan Chase Bank, N.A., as administrative agent.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Letters of Credit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Termination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by the United States of America, (ii) imposed as a result of such Recipient being organized under the laws of, or having its principal office or, in the case of any Lender, its applicable lending office located in, the jurisdiction imposing such Tax (or any political subdivision thereof) or</w:t>
      </w:r>
    </w:p>
    <w:p>
      <w:pPr>
        <w:ind w:left="4" w:hanging="4"/>
        <w:spacing w:after="0" w:line="253"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Other Connection Taxes, (b) in the case of a Lender, U.S. federal or UK withholding Taxes (excluding, in the case of United Kingdom withholding Taxes, (x) the portion of United Kingdom withholding Taxes with respect to which the applicable Lender is entitled to claim a reduction under an income tax treaty, and (y) United Kingdom withholding Taxes on payments made by any guarantor under any guarantee of the obligations) that are 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would be required to be withheld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and (d) any withholding Taxes imposed under FATCA.</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“Facility Fee Rate</w:t>
      </w:r>
      <w:r>
        <w:rPr>
          <w:rFonts w:ascii="Times New Roman" w:cs="Times New Roman" w:eastAsia="Times New Roman" w:hAnsi="Times New Roman"/>
          <w:sz w:val="18"/>
          <w:szCs w:val="18"/>
          <w:color w:val="auto"/>
        </w:rPr>
        <w:t>” means the “Facility Fee Rate” per annum rate levels at each Tier under such heading as set forth in the table contained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definition of “Applicable Rate”.</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Reserve Bank of New York’s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Officer</w:t>
      </w:r>
      <w:r>
        <w:rPr>
          <w:rFonts w:ascii="Times New Roman" w:cs="Times New Roman" w:eastAsia="Times New Roman" w:hAnsi="Times New Roman"/>
          <w:sz w:val="18"/>
          <w:szCs w:val="18"/>
          <w:color w:val="auto"/>
        </w:rPr>
        <w:t>” means, with respect to any Borrower, the chief financial officer, principal accounting officer, treasurer or controller of such Borrower.</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EURIBO Rate, the Adjusted TIBO Rate, the Adjusted Term CORRA Rate, the Adjusted AUD Rate, each Adjusted Daily Simple RFR, the Japanese Prime Rate or the Central Bank Rate or the Canadian Prime Rate, as applicable. For the avoidance of doubt, the initial Floor for each of the Adjusted Term SOFR Rate, the Adjusted EURIBO Rate, the Adjusted TIBO Rate, the Adjusted Term CORRA Rate, the Adjusted AUD Rate, each Adjusted Daily Simple RFR, the Japanese Prime Rate, the Central Bank Rate or the Canadian Prime Rate shall be 0%.</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Currencies</w:t>
      </w:r>
      <w:r>
        <w:rPr>
          <w:rFonts w:ascii="Times New Roman" w:cs="Times New Roman" w:eastAsia="Times New Roman" w:hAnsi="Times New Roman"/>
          <w:sz w:val="18"/>
          <w:szCs w:val="18"/>
          <w:color w:val="auto"/>
        </w:rPr>
        <w:t>” means Agreed Currencies other than U.S. Dollars.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Currency Letter of Credit</w:t>
      </w:r>
      <w:r>
        <w:rPr>
          <w:rFonts w:ascii="Times New Roman" w:cs="Times New Roman" w:eastAsia="Times New Roman" w:hAnsi="Times New Roman"/>
          <w:sz w:val="18"/>
          <w:szCs w:val="18"/>
          <w:color w:val="auto"/>
        </w:rPr>
        <w:t>” means a Letter of Credit denominated in a Foreign Currency.</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Currency Payment Office</w:t>
      </w:r>
      <w:r>
        <w:rPr>
          <w:rFonts w:ascii="Times New Roman" w:cs="Times New Roman" w:eastAsia="Times New Roman" w:hAnsi="Times New Roman"/>
          <w:sz w:val="18"/>
          <w:szCs w:val="18"/>
          <w:color w:val="auto"/>
        </w:rPr>
        <w:t>” of the Administrative Agent shall mean, for each Foreign Currency, the office, branch, affiliate or correspondent bank of the Administrative Agent for such currency as specified from time to time by the Administrative Agent to each Borrower and each Lender.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Obligor</w:t>
      </w:r>
      <w:r>
        <w:rPr>
          <w:rFonts w:ascii="Times New Roman" w:cs="Times New Roman" w:eastAsia="Times New Roman" w:hAnsi="Times New Roman"/>
          <w:sz w:val="18"/>
          <w:szCs w:val="18"/>
          <w:color w:val="auto"/>
        </w:rPr>
        <w:t>” means a Designated Borrower that is a Foreign Subsidiary (including any Luxembourg Obligor).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of America, that are applicable to the circumstances as of the date of determination, consistently applied, or if the Company adopts the International Financial Reporting Standards (“</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IFRS, consistently applied.</w:t>
      </w:r>
    </w:p>
    <w:p>
      <w:pPr>
        <w:spacing w:after="0" w:line="179"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any security for the payment thereof, (b) to purchase or lease property, securities or services for the purpose of assuring the holder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8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HMRC DT Treaty Passport Scheme</w:t>
      </w:r>
      <w:r>
        <w:rPr>
          <w:rFonts w:ascii="Times New Roman" w:cs="Times New Roman" w:eastAsia="Times New Roman" w:hAnsi="Times New Roman"/>
          <w:sz w:val="18"/>
          <w:szCs w:val="18"/>
          <w:color w:val="auto"/>
        </w:rPr>
        <w:t>” means the Board of H.M. Revenue and Customs Double Taxation Treaty Passport scheme.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28" w:name="page29"/>
    <w:bookmarkEnd w:id="2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payable in accordance with customary practices), (e) all Indebtedness (excluding prepaid interest thereon) of another Person secured by (or for which the holder of such Indebtedness has an existing right, contingent or otherwise, to be secured by) any Lien on property owned or acquired by such Person, whether or not the Indebtedness secured thereby has been assumed or is limited in recourse, (f) all Guarantees by such Person of Indebtedness of another Person, (g) all Capital Lease Obligations of such Person, (h) all obligations, contingent or otherwise, of such Person arising under letters of credit, letters of guaranty, bankers’ acceptances and similar instruments (other than (i) commercial letters of credit issued in the ordinary course of business to the extent there is no overdue reimbursement obligation in respect thereof, (ii) solely for purposes of calculating the Consolidated Net Leverage Ratio, standby letters of credit and letters of guaranty issued in the ordinary course of business to the extent there is no overdue reimbursement obligation in respect thereof, and (iii) endorser liability with respect to bankers’ acceptances received by such Person as payment for goods or services in the ordinary course of business, so long as such Person is not the account party or drawer of the underlying draft), and (i) the outstanding principal amount of any Securitization Transaction of such Person, after taking into account reserve accounts. The Indebtedness of any Person shall include the Indebtedness of any other Person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the Company or any Borrower under any Loan Document and (b) to the extent not otherwise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hereof, Other Taxes.</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Index Debt</w:t>
      </w:r>
      <w:r>
        <w:rPr>
          <w:rFonts w:ascii="Times New Roman" w:cs="Times New Roman" w:eastAsia="Times New Roman" w:hAnsi="Times New Roman"/>
          <w:sz w:val="18"/>
          <w:szCs w:val="18"/>
          <w:color w:val="auto"/>
        </w:rPr>
        <w:t>” means senior, unsecured, long-term indebtedness for borrowed money of the Company that is not guaranteed by any other Person (other than a Subsidiary that is a Designated Borrower or guarantor of the Obligations) or subject to any other credit enhancement.</w:t>
      </w:r>
    </w:p>
    <w:p>
      <w:pPr>
        <w:spacing w:after="0" w:line="15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Ineligible Assignee</w:t>
      </w:r>
      <w:r>
        <w:rPr>
          <w:rFonts w:ascii="Times New Roman" w:cs="Times New Roman" w:eastAsia="Times New Roman" w:hAnsi="Times New Roman"/>
          <w:sz w:val="18"/>
          <w:szCs w:val="18"/>
          <w:color w:val="auto"/>
        </w:rPr>
        <w:t xml:space="preserve">” means (a) a natural person, (b) a Defaulting Lender or its Lender Parent, (c) any Borrower or any Affiliate or Subsidiary of a Borrower, or (d) a company, investment vehicle or trust for, or owned and operated for the primary benefit of, a natural person or a relative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company, investment vehicle or trust shall not constitute an Ineligible Assignee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82"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Regulation</w:t>
      </w:r>
      <w:r>
        <w:rPr>
          <w:rFonts w:ascii="Times New Roman" w:cs="Times New Roman" w:eastAsia="Times New Roman" w:hAnsi="Times New Roman"/>
          <w:sz w:val="18"/>
          <w:szCs w:val="18"/>
          <w:color w:val="auto"/>
        </w:rPr>
        <w:t>” means the Regulation (EU) 2015/848 of the European Parliament and of the Council of 20 May 2015 on insolvency proceedings (recast).</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Intangible Assets</w:t>
      </w:r>
      <w:r>
        <w:rPr>
          <w:rFonts w:ascii="Times New Roman" w:cs="Times New Roman" w:eastAsia="Times New Roman" w:hAnsi="Times New Roman"/>
          <w:sz w:val="18"/>
          <w:szCs w:val="18"/>
          <w:color w:val="auto"/>
        </w:rPr>
        <w:t>” means the amount of all unamortized debt discount and expense, goodwill, patents, trademarks, service marks, trade names, anticipated future benefit of tax loss carry-forwards, copyrights, organization or developmental expenses and other assets treated as intangible assets under GAAP (but not in any event including deferred taxes).</w:t>
      </w:r>
    </w:p>
    <w:p>
      <w:pPr>
        <w:spacing w:after="0" w:line="171" w:lineRule="exact"/>
        <w:rPr>
          <w:sz w:val="20"/>
          <w:szCs w:val="20"/>
          <w:color w:val="auto"/>
        </w:rPr>
      </w:pPr>
    </w:p>
    <w:p>
      <w:pPr>
        <w:jc w:val="center"/>
        <w:ind w:left="540" w:right="34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Election Request</w:t>
      </w:r>
      <w:r>
        <w:rPr>
          <w:rFonts w:ascii="Times New Roman" w:cs="Times New Roman" w:eastAsia="Times New Roman" w:hAnsi="Times New Roman"/>
          <w:sz w:val="18"/>
          <w:szCs w:val="18"/>
          <w:color w:val="auto"/>
        </w:rPr>
        <w:t xml:space="preserve">” means a request by the Company to convert or continue a Revolving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-21-</w:t>
      </w:r>
    </w:p>
    <w:p>
      <w:pPr>
        <w:sectPr>
          <w:pgSz w:w="11900" w:h="16838" w:orient="portrait"/>
          <w:cols w:equalWidth="0" w:num="1">
            <w:col w:w="11000"/>
          </w:cols>
          <w:pgMar w:left="440" w:top="266" w:right="459" w:bottom="1440" w:gutter="0" w:footer="0" w:header="0"/>
        </w:sectPr>
      </w:pPr>
    </w:p>
    <w:bookmarkStart w:id="29" w:name="page30"/>
    <w:bookmarkEnd w:id="29"/>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means (a) with respect to any ABR Loan (other than a Swingline Loan), any Canadian Prime Rate Loan, any Japanese Prime Rate Loan, or any CBR Loan,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Term Benchmark Loan, the last day of the Interest Period applicable to the Term Benchmark Borrowing of which such Loan is a part and, in the case of a Borrowing with an Interest Period of more than three (3) months’ duration, each day prior to the last day of such Interest Period that occurs at intervals of three (3) months’ duration after the first day of such Interest Period and the Maturity Date, and (d) with respect to any Swingline Loan, the day that such Loan is required to be repaid and the Maturity Date.</w:t>
      </w:r>
    </w:p>
    <w:p>
      <w:pPr>
        <w:spacing w:after="0" w:line="185" w:lineRule="exact"/>
        <w:rPr>
          <w:sz w:val="20"/>
          <w:szCs w:val="20"/>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Period</w:t>
      </w:r>
      <w:r>
        <w:rPr>
          <w:rFonts w:ascii="Times New Roman" w:cs="Times New Roman" w:eastAsia="Times New Roman" w:hAnsi="Times New Roman"/>
          <w:sz w:val="17"/>
          <w:szCs w:val="17"/>
          <w:color w:val="auto"/>
        </w:rPr>
        <w:t>” means (x) with respect to any Term Benchmark Borrowing denominated in U.S. Dollars, Euro, Australian Dollars or Japanese Yen, the period commencing on the date of such Borrowing and ending on the numerically corresponding day in the calendar month that is one (1), three</w:t>
      </w:r>
    </w:p>
    <w:p>
      <w:pPr>
        <w:spacing w:after="0" w:line="1" w:lineRule="exact"/>
        <w:rPr>
          <w:sz w:val="20"/>
          <w:szCs w:val="20"/>
          <w:color w:val="auto"/>
        </w:rPr>
      </w:pPr>
    </w:p>
    <w:p>
      <w:pPr>
        <w:ind w:left="4" w:right="40" w:hanging="4"/>
        <w:spacing w:after="0" w:line="25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six (6) months thereafter (in each case, subject to the availability for the Benchmark applicable to the relevant Loan or Commitment for any Agreed Currency other than Canadian Dollars), as the Company may elect and (y) with respect to any Term Benchmark Borrowing denominated in Canadian Dollars, the period commencing on the date of such Borrowing and ending on the numerically corresponding day in the calendar month that is one or three months thereafter (subject to the availability for the Benchmark applicable to the relevant Loan or Commitment for Canadian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8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capital stock or other Equity Interests of another Person, (b) a loan, advance or capital contribution to, Guarantee or guaranty of any obligation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Issuing Bank</w:t>
      </w:r>
      <w:r>
        <w:rPr>
          <w:rFonts w:ascii="Times New Roman" w:cs="Times New Roman" w:eastAsia="Times New Roman" w:hAnsi="Times New Roman"/>
          <w:sz w:val="18"/>
          <w:szCs w:val="18"/>
          <w:color w:val="auto"/>
        </w:rPr>
        <w:t xml:space="preserve">” means JPMorgan Chase Bank, N.A., Citibank, N.A., and any other Lender that agrees to act as an Issuing Bank, each in its capacity as the issuer of, and with respect to, all Letters of Credit hereunder, and its successors in such capacity as provided in </w:t>
      </w:r>
      <w:r>
        <w:rPr>
          <w:rFonts w:ascii="Times New Roman" w:cs="Times New Roman" w:eastAsia="Times New Roman" w:hAnsi="Times New Roman"/>
          <w:sz w:val="18"/>
          <w:szCs w:val="18"/>
          <w:u w:val="single" w:color="auto"/>
          <w:color w:val="auto"/>
        </w:rPr>
        <w:t>Section 2.06(i)</w:t>
      </w:r>
      <w:r>
        <w:rPr>
          <w:rFonts w:ascii="Times New Roman" w:cs="Times New Roman" w:eastAsia="Times New Roman" w:hAnsi="Times New Roman"/>
          <w:sz w:val="18"/>
          <w:szCs w:val="18"/>
          <w:color w:val="auto"/>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to the “Issuing Bank” shall be deemed to be a reference to the relevant Issuing Bank.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30" w:name="page31"/>
    <w:bookmarkEnd w:id="30"/>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Japanese Prime Rate</w:t>
      </w:r>
      <w:r>
        <w:rPr>
          <w:rFonts w:ascii="Times New Roman" w:cs="Times New Roman" w:eastAsia="Times New Roman" w:hAnsi="Times New Roman"/>
          <w:sz w:val="18"/>
          <w:szCs w:val="18"/>
          <w:color w:val="auto"/>
        </w:rPr>
        <w:t xml:space="preserve">” means for any Loan denominated in Japanese Yen the greater of (a) (i) the Japanese local bank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Japanese Prime Rate Adjustment and (b) the Floor.</w:t>
      </w:r>
    </w:p>
    <w:p>
      <w:pPr>
        <w:spacing w:after="0" w:line="15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Japanese Prime Rate Adjustment</w:t>
      </w:r>
      <w:r>
        <w:rPr>
          <w:rFonts w:ascii="Times New Roman" w:cs="Times New Roman" w:eastAsia="Times New Roman" w:hAnsi="Times New Roman"/>
          <w:sz w:val="18"/>
          <w:szCs w:val="18"/>
          <w:color w:val="auto"/>
        </w:rPr>
        <w:t xml:space="preserve">” means, for any day, for any Loan denominated in Japanese Yen, a rate equal to the difference (which may be a positive or negative value or zero) of (i) the average of the TIBO Rate for the five most recent Business Days preceding such day for which the TIBO Screen Rate was available (excluding, from such averaging, the highest and the lowest TIBO Rate applicable during such period of five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Japanese Prime Rate in effect on the last Business Day in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the Japanese Prime Rate shall be determined disregarding clause (a)(ii) of the definition of such term. For purposes of this definition, the TIBO Rate on any day shall be based on the TIBO Screen Rate on such day at approximately the time referred to in the definition of such term for deposits in Japanese Yen for a maturity of one month.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Japanese Prime Rate Loan</w:t>
      </w:r>
      <w:r>
        <w:rPr>
          <w:rFonts w:ascii="Times New Roman" w:cs="Times New Roman" w:eastAsia="Times New Roman" w:hAnsi="Times New Roman"/>
          <w:sz w:val="18"/>
          <w:szCs w:val="18"/>
          <w:color w:val="auto"/>
        </w:rPr>
        <w:t>” means a Loan which bears interest at the Japanese Prime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Japanese 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the lawful currency of Japan.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Disbursement</w:t>
      </w:r>
      <w:r>
        <w:rPr>
          <w:rFonts w:ascii="Times New Roman" w:cs="Times New Roman" w:eastAsia="Times New Roman" w:hAnsi="Times New Roman"/>
          <w:sz w:val="18"/>
          <w:szCs w:val="18"/>
          <w:color w:val="auto"/>
        </w:rPr>
        <w:t>” means a payment made by the Issuing Bank pursuant to a Letter of Credit.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that have not yet been reimbursed by or on behalf of the Borrowers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relevant Issuing Bank and the Lenders shall have no further obligations to make any payments or disbursements under any circumstances with respect to any Letter of Credit.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or pursuant to an Assignment and Assumption, other than any such Person that ceases to be a party hereto pursuant to an Assignment and Assumption. Unless the context otherwise requires, the term “Lenders” includes the Swingline Lenders and the Issuing Banks.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Letter of Credit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each Issuing Bank, the commitment of such Issuing Bank to issue Letters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The initial amount of each Issuing Bank’s Letter of Credit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if an Issuing Bank has entered into an Assignment and Assumption, the amount set forth for such Issuing Bank as its Letter of Credit Commitment in the Register maintained by the Administrative Agent. The initial aggregate amount of the Letter of Credit Commitment is $50,000,000.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6" w:right="479" w:bottom="1440" w:gutter="0" w:footer="0" w:header="0"/>
        </w:sectPr>
      </w:pPr>
    </w:p>
    <w:bookmarkStart w:id="31" w:name="page32"/>
    <w:bookmarkEnd w:id="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6"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means at any time, the lesser of (i) the amount of unrestricted and unencumbered (other than Permitted Encumbrances) cash and Cash Equivalents of the Company and its Subsidiaries at such time and (ii) $200,000,000.</w:t>
      </w:r>
    </w:p>
    <w:p>
      <w:pPr>
        <w:spacing w:after="0" w:line="155" w:lineRule="exact"/>
        <w:rPr>
          <w:sz w:val="20"/>
          <w:szCs w:val="20"/>
          <w:color w:val="auto"/>
        </w:rPr>
      </w:pPr>
    </w:p>
    <w:p>
      <w:pPr>
        <w:ind w:left="4" w:right="2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means, collectively, this Agreement, each promissory note delivered pursuant to this Agreement, any Letter of Credit applications and any agreements between any Borrower and any Issuing Bank regarding such Issuing Bank’s Letter of Credit Commitment or the respective rights and obligations between any Borrower and such Issuing Bank in connection with the issuance of Letters of Credit, and any other agreements, instruments, documents and certificates executed by or on behalf of any Borrower and delivered to or in favor of the Credit Parties concurrently herewith or hereafter in connection with the Transactions hereunder, including any amendments, modifications or supplements thereto or waivers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225" w:lineRule="exact"/>
        <w:rPr>
          <w:sz w:val="20"/>
          <w:szCs w:val="20"/>
          <w:color w:val="auto"/>
        </w:rPr>
      </w:pPr>
    </w:p>
    <w:p>
      <w:pPr>
        <w:ind w:left="4" w:right="2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Local Time</w:t>
      </w:r>
      <w:r>
        <w:rPr>
          <w:rFonts w:ascii="Times New Roman" w:cs="Times New Roman" w:eastAsia="Times New Roman" w:hAnsi="Times New Roman"/>
          <w:sz w:val="17"/>
          <w:szCs w:val="17"/>
          <w:color w:val="auto"/>
        </w:rPr>
        <w:t>” means (i) in the case of a Loan, Borrowing or LC Disbursement denominated in U.S. Dollars, New York City time, and (ii) in the case of a Loan, Borrowing or LC Disbursement denominated in a Foreign Currency, local time (it being understood that such local time shall mean</w:t>
      </w:r>
    </w:p>
    <w:p>
      <w:pPr>
        <w:spacing w:after="0" w:line="1" w:lineRule="exact"/>
        <w:rPr>
          <w:sz w:val="20"/>
          <w:szCs w:val="20"/>
          <w:color w:val="auto"/>
        </w:rPr>
      </w:pPr>
    </w:p>
    <w:p>
      <w:pPr>
        <w:ind w:left="4" w:hanging="4"/>
        <w:spacing w:after="0" w:line="255"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England time with respect to any Foreign Currency (other than Euro and Canadian Dollars), (b) Brussels, Belgium time with respect to Euro and (c) Toronto, Canada time with respect to Canadian Dollars, in each case of the foregoing clauses (a), (b) and (c) unless otherwise notified by the Administrative Agent).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Luxembourg</w:t>
      </w:r>
      <w:r>
        <w:rPr>
          <w:rFonts w:ascii="Times New Roman" w:cs="Times New Roman" w:eastAsia="Times New Roman" w:hAnsi="Times New Roman"/>
          <w:sz w:val="18"/>
          <w:szCs w:val="18"/>
          <w:color w:val="auto"/>
        </w:rPr>
        <w:t>” means the Grand Duchy of Luxembourg.</w:t>
      </w:r>
    </w:p>
    <w:p>
      <w:pPr>
        <w:spacing w:after="0" w:line="225"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Luxembourg Debtor Relief Laws</w:t>
      </w:r>
      <w:r>
        <w:rPr>
          <w:rFonts w:ascii="Times New Roman" w:cs="Times New Roman" w:eastAsia="Times New Roman" w:hAnsi="Times New Roman"/>
          <w:sz w:val="17"/>
          <w:szCs w:val="17"/>
          <w:color w:val="auto"/>
        </w:rPr>
        <w:t>” means (i) bankruptcy (</w:t>
      </w:r>
      <w:r>
        <w:rPr>
          <w:rFonts w:ascii="Times New Roman" w:cs="Times New Roman" w:eastAsia="Times New Roman" w:hAnsi="Times New Roman"/>
          <w:sz w:val="17"/>
          <w:szCs w:val="17"/>
          <w:i w:val="1"/>
          <w:iCs w:val="1"/>
          <w:color w:val="auto"/>
        </w:rPr>
        <w:t>faillite</w:t>
      </w:r>
      <w:r>
        <w:rPr>
          <w:rFonts w:ascii="Times New Roman" w:cs="Times New Roman" w:eastAsia="Times New Roman" w:hAnsi="Times New Roman"/>
          <w:sz w:val="17"/>
          <w:szCs w:val="17"/>
          <w:color w:val="auto"/>
        </w:rPr>
        <w:t xml:space="preserve">) within the meaning of Articles 437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of the Luxembourg Commercial Code, (ii) judicial reorganisation proceedings in the form of a mutual agreement (</w:t>
      </w:r>
      <w:r>
        <w:rPr>
          <w:rFonts w:ascii="Times New Roman" w:cs="Times New Roman" w:eastAsia="Times New Roman" w:hAnsi="Times New Roman"/>
          <w:sz w:val="17"/>
          <w:szCs w:val="17"/>
          <w:i w:val="1"/>
          <w:iCs w:val="1"/>
          <w:color w:val="auto"/>
        </w:rPr>
        <w:t>réorganisation judiciaire par accord amiable</w:t>
      </w:r>
      <w:r>
        <w:rPr>
          <w:rFonts w:ascii="Times New Roman" w:cs="Times New Roman" w:eastAsia="Times New Roman" w:hAnsi="Times New Roman"/>
          <w:sz w:val="17"/>
          <w:szCs w:val="17"/>
          <w:color w:val="auto"/>
        </w:rPr>
        <w:t>), a collective agreement (</w:t>
      </w:r>
      <w:r>
        <w:rPr>
          <w:rFonts w:ascii="Times New Roman" w:cs="Times New Roman" w:eastAsia="Times New Roman" w:hAnsi="Times New Roman"/>
          <w:sz w:val="17"/>
          <w:szCs w:val="17"/>
          <w:i w:val="1"/>
          <w:iCs w:val="1"/>
          <w:color w:val="auto"/>
        </w:rPr>
        <w:t>réorganisation judiciaire par accord collectif</w:t>
      </w:r>
      <w:r>
        <w:rPr>
          <w:rFonts w:ascii="Times New Roman" w:cs="Times New Roman" w:eastAsia="Times New Roman" w:hAnsi="Times New Roman"/>
          <w:sz w:val="17"/>
          <w:szCs w:val="17"/>
          <w:color w:val="auto"/>
        </w:rPr>
        <w:t>) or a judicial reorganisation by transfer by court order (</w:t>
      </w:r>
      <w:r>
        <w:rPr>
          <w:rFonts w:ascii="Times New Roman" w:cs="Times New Roman" w:eastAsia="Times New Roman" w:hAnsi="Times New Roman"/>
          <w:sz w:val="17"/>
          <w:szCs w:val="17"/>
          <w:i w:val="1"/>
          <w:iCs w:val="1"/>
          <w:color w:val="auto"/>
        </w:rPr>
        <w:t>réorganisation judiciaire par transfert par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décision de justice</w:t>
      </w:r>
      <w:r>
        <w:rPr>
          <w:rFonts w:ascii="Times New Roman" w:cs="Times New Roman" w:eastAsia="Times New Roman" w:hAnsi="Times New Roman"/>
          <w:sz w:val="17"/>
          <w:szCs w:val="17"/>
          <w:color w:val="auto"/>
        </w:rPr>
        <w:t>) within the meaning of Luxembourg law of 7 August 2023 on business preservation and modernization of the bankruptcy law,</w:t>
      </w:r>
    </w:p>
    <w:p>
      <w:pPr>
        <w:ind w:left="4" w:right="20" w:hanging="4"/>
        <w:spacing w:after="0" w:line="260"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xml:space="preserve">) within the meaning of Articles 593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Luxembourg Commercial Code, and (iv) voluntary or compulsory liquidation pursuant to the Luxembourg law of August 10, 1915 on commercial companies.</w:t>
      </w:r>
    </w:p>
    <w:p>
      <w:pPr>
        <w:spacing w:after="0" w:line="177"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Luxembourg Obligor</w:t>
      </w:r>
      <w:r>
        <w:rPr>
          <w:rFonts w:ascii="Times New Roman" w:cs="Times New Roman" w:eastAsia="Times New Roman" w:hAnsi="Times New Roman"/>
          <w:sz w:val="18"/>
          <w:szCs w:val="18"/>
          <w:color w:val="auto"/>
        </w:rPr>
        <w:t>” means Cabot Luxembourg and any other Foreign Obligor that (i) is organized under the laws of the Grand-Duchy of Luxembourg, (ii) has its center of main interests, within the meaning of the Insolvency Regulation, in Luxembourg or (iii) has an establishment, within the meaning of the Insolvency Regulation, in Luxembourg.</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Luxembourg Relief</w:t>
      </w:r>
      <w:r>
        <w:rPr>
          <w:rFonts w:ascii="Times New Roman" w:cs="Times New Roman" w:eastAsia="Times New Roman" w:hAnsi="Times New Roman"/>
          <w:sz w:val="18"/>
          <w:szCs w:val="18"/>
          <w:color w:val="auto"/>
        </w:rPr>
        <w:t>” means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suspension of 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judicial reorganisation proceedings in the form of a mutual agreement (</w:t>
      </w:r>
      <w:r>
        <w:rPr>
          <w:rFonts w:ascii="Times New Roman" w:cs="Times New Roman" w:eastAsia="Times New Roman" w:hAnsi="Times New Roman"/>
          <w:sz w:val="18"/>
          <w:szCs w:val="18"/>
          <w:i w:val="1"/>
          <w:iCs w:val="1"/>
          <w:color w:val="auto"/>
        </w:rPr>
        <w:t>réorganisation judiciaire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accord amiable</w:t>
      </w:r>
      <w:r>
        <w:rPr>
          <w:rFonts w:ascii="Times New Roman" w:cs="Times New Roman" w:eastAsia="Times New Roman" w:hAnsi="Times New Roman"/>
          <w:sz w:val="18"/>
          <w:szCs w:val="18"/>
          <w:color w:val="auto"/>
        </w:rPr>
        <w:t>), a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or a judicial reorganisation by transfer by court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judiciaire par transfert par décision de justice</w:t>
      </w:r>
      <w:r>
        <w:rPr>
          <w:rFonts w:ascii="Times New Roman" w:cs="Times New Roman" w:eastAsia="Times New Roman" w:hAnsi="Times New Roman"/>
          <w:sz w:val="18"/>
          <w:szCs w:val="18"/>
          <w:color w:val="auto"/>
        </w:rPr>
        <w:t>), a general settlement with creditors and voluntary or compulsory liquidation,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are understood within the Luxembourg Debtor Relief Laws, and also means any other proceedings affecting the rights of creditors generally 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appointment of an interim administrator (</w:t>
      </w:r>
      <w:r>
        <w:rPr>
          <w:rFonts w:ascii="Times New Roman" w:cs="Times New Roman" w:eastAsia="Times New Roman" w:hAnsi="Times New Roman"/>
          <w:sz w:val="18"/>
          <w:szCs w:val="18"/>
          <w:i w:val="1"/>
          <w:iCs w:val="1"/>
          <w:color w:val="auto"/>
        </w:rPr>
        <w:t>administrateur provisoire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Acquisition</w:t>
      </w:r>
      <w:r>
        <w:rPr>
          <w:rFonts w:ascii="Times New Roman" w:cs="Times New Roman" w:eastAsia="Times New Roman" w:hAnsi="Times New Roman"/>
          <w:sz w:val="18"/>
          <w:szCs w:val="18"/>
          <w:color w:val="auto"/>
        </w:rPr>
        <w:t>” means any Permitted Acquisition where the aggregate cash consideration exceeds $500,000,000.</w:t>
      </w:r>
    </w:p>
    <w:p>
      <w:pPr>
        <w:spacing w:after="0" w:line="22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 material adverse effect on (a) the business, assets, property or financial condition of the Company and its Subsidiaries taken as a whole, or (b) the validity or enforceability of any material provision of any Loan Document or the rights or remedies of the Credit Parties thereunder.</w:t>
      </w:r>
    </w:p>
    <w:p>
      <w:pPr>
        <w:spacing w:after="0" w:line="17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means May 12, 2031 (the fifth anniversary of the Effective Date), as the same may be extended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if such date is not a Business Day, the Maturity Date shall be the next preceding Business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Non-U.S. Administrative Agent</w:t>
      </w:r>
      <w:r>
        <w:rPr>
          <w:rFonts w:ascii="Times New Roman" w:cs="Times New Roman" w:eastAsia="Times New Roman" w:hAnsi="Times New Roman"/>
          <w:sz w:val="18"/>
          <w:szCs w:val="18"/>
          <w:color w:val="auto"/>
        </w:rPr>
        <w:t>” means J.P. Morgan SE (or any of its designated branch offices or affiliates), in its capacity as administrative agent for the Lenders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would be less than zero, such rate shall be deemed to be zero for purposes of this Agreement.</w:t>
      </w:r>
    </w:p>
    <w:p>
      <w:pPr>
        <w:spacing w:after="0" w:line="17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Obligations</w:t>
      </w:r>
      <w:r>
        <w:rPr>
          <w:rFonts w:ascii="Times New Roman" w:cs="Times New Roman" w:eastAsia="Times New Roman" w:hAnsi="Times New Roman"/>
          <w:sz w:val="17"/>
          <w:szCs w:val="17"/>
          <w:color w:val="auto"/>
        </w:rPr>
        <w:t>” means all advances to, and debts, liabilities, obligations, covenants and duties of, any Borrower arising under any Loan Document or otherwise with respect to any Loan or Letter of Credit, whether direct or indirect, absolute or contingent, due or to become due, now existing or hereafter arising and including interest and fees that accrue after the commencement by or against any Borrower of any proceeding under any debtor relief laws naming such Borrower as the debtor in such proceeding, regardless of whether such interest and fees are allowed claims in such proceeding.</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33" w:name="page34"/>
    <w:bookmarkEnd w:id="33"/>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2"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solely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Letter of Credit or Loan Document).</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grant of a participation or other transfer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Overnight Rate</w:t>
      </w:r>
      <w:r>
        <w:rPr>
          <w:rFonts w:ascii="Times New Roman" w:cs="Times New Roman" w:eastAsia="Times New Roman" w:hAnsi="Times New Roman"/>
          <w:sz w:val="18"/>
          <w:szCs w:val="18"/>
          <w:color w:val="auto"/>
        </w:rPr>
        <w:t>” means, for any day, (a) with respect to any amount denominated in U.S. Dollars, the NYFRB Rate and (b) with respect to any amount denominated in a Foreign Currency, an overnight rate determined by the Administrative Agent or the relevant Issuing Bank, as the case may be, in accordance with banking industry rules on interbank compensation.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66" w:right="51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Permitted Acquisition</w:t>
      </w:r>
      <w:r>
        <w:rPr>
          <w:rFonts w:ascii="Times New Roman" w:cs="Times New Roman" w:eastAsia="Times New Roman" w:hAnsi="Times New Roman"/>
          <w:sz w:val="18"/>
          <w:szCs w:val="18"/>
          <w:color w:val="auto"/>
        </w:rPr>
        <w:t>” means any Acquisition by the Company or any Subsidiary that satisfies the following conditions:</w:t>
      </w:r>
    </w:p>
    <w:p>
      <w:pPr>
        <w:spacing w:after="0" w:line="229" w:lineRule="exact"/>
        <w:rPr>
          <w:sz w:val="20"/>
          <w:szCs w:val="20"/>
          <w:color w:val="auto"/>
        </w:rPr>
      </w:pPr>
    </w:p>
    <w:p>
      <w:pPr>
        <w:ind w:right="180" w:firstLine="436"/>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of the Equity Interests of any Person, the board of directors (or other comparable governing body) of such other Person shall have approved the Acquisition; and</w:t>
      </w:r>
    </w:p>
    <w:p>
      <w:pPr>
        <w:spacing w:after="0" w:line="161" w:lineRule="exact"/>
        <w:rPr>
          <w:rFonts w:ascii="Times New Roman" w:cs="Times New Roman" w:eastAsia="Times New Roman" w:hAnsi="Times New Roman"/>
          <w:sz w:val="18"/>
          <w:szCs w:val="18"/>
          <w:color w:val="auto"/>
        </w:rPr>
      </w:pPr>
    </w:p>
    <w:p>
      <w:pPr>
        <w:ind w:firstLine="436"/>
        <w:spacing w:after="0" w:line="273" w:lineRule="auto"/>
        <w:tabs>
          <w:tab w:leader="none" w:pos="6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no Default shall exist and be continuing immediately before or immediately after giving effect thereto, (ii) the representations and warranties made by the Borrowers in any Loan Document (other than the representations and warranties contained in </w:t>
      </w:r>
      <w:r>
        <w:rPr>
          <w:rFonts w:ascii="Times New Roman" w:cs="Times New Roman" w:eastAsia="Times New Roman" w:hAnsi="Times New Roman"/>
          <w:sz w:val="17"/>
          <w:szCs w:val="17"/>
          <w:u w:val="single" w:color="auto"/>
          <w:color w:val="auto"/>
        </w:rPr>
        <w:t>Sections 3.04(b)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3.09</w:t>
      </w:r>
      <w:r>
        <w:rPr>
          <w:rFonts w:ascii="Times New Roman" w:cs="Times New Roman" w:eastAsia="Times New Roman" w:hAnsi="Times New Roman"/>
          <w:sz w:val="17"/>
          <w:szCs w:val="17"/>
          <w:color w:val="auto"/>
        </w:rPr>
        <w:t xml:space="preserve">) shall be true and correct in all material respects (or in all respects if the applicable representation or warranty is already qualified by concepts of materiality) on and as of the date of such Acquisition (after giving effect thereto), and (iii) in the case of an Acquisition of any Person where the aggregate cash consideration exceeds $200,000,000, the Company shall have delivered to the Administrative Agent a certificate demonstrating that, upon giving effect to such Acquisition on a Pro Forma Basis, the Borrowers would be in compliance with the Consolidated Net Leverage Ratio covenant set forth in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as of the most recent fiscal quarter for which the Company has delivered financial statements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540" w:firstLine="436"/>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imposed by law (other than Liens imposed under ERISA) for Taxes that are not yet due or are being contested in compliance with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carriers’, warehousemen’s, mechanics’, materialmen’s, repairmen’s, lessors’ and other like Liens arising in the ordinary course of business and securing obligations that are not overdue by more than thirty (30) days or are being contested in compliance with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connection with workers’ compensation, unemployment insurance and other social security laws or regulations (other than any Lien imposed under ERISA);</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right="200" w:firstLine="436"/>
        <w:spacing w:after="0" w:line="312" w:lineRule="auto"/>
        <w:tabs>
          <w:tab w:leader="none" w:pos="66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zoning restrictions, rights-of-way and similar encumbrances affecting real property that do not secure any substantial amount and do not materially detract from the value of the affected property or materially interfere with the ordinary conduct of business of the applicable Person;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shall not include any Lien securing Indebtedness.</w:t>
      </w:r>
    </w:p>
    <w:p>
      <w:pPr>
        <w:spacing w:after="0" w:line="225"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Investments</w:t>
      </w:r>
      <w:r>
        <w:rPr>
          <w:rFonts w:ascii="Times New Roman" w:cs="Times New Roman" w:eastAsia="Times New Roman" w:hAnsi="Times New Roman"/>
          <w:sz w:val="17"/>
          <w:szCs w:val="17"/>
          <w:color w:val="auto"/>
        </w:rPr>
        <w:t xml:space="preserve">” means (i) cash and Cash Equivalents and (ii) any Investment by the Company or any Subsidiary that satisfies the following conditions: (a) no Default shall exist and be continuing immediately before or immediately after giving effect thereto, (b) the representations and warranties made by the Borrowers in any Loan Document (other than the representations and warranties contained in </w:t>
      </w:r>
      <w:r>
        <w:rPr>
          <w:rFonts w:ascii="Times New Roman" w:cs="Times New Roman" w:eastAsia="Times New Roman" w:hAnsi="Times New Roman"/>
          <w:sz w:val="17"/>
          <w:szCs w:val="17"/>
          <w:u w:val="single" w:color="auto"/>
          <w:color w:val="auto"/>
        </w:rPr>
        <w:t>Sections 3.04(b)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shall be true and correct in all material respects (or in all respects if the applicable representation or warranty is already qualified by concepts of materiality) on and as of the date of such Investment (after giving effect thereto), and (c) in the case of an Investment in any Person (other than the Company or any of its Subsidiaries) where the aggregate amount of such Investment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35" w:name="page36"/>
    <w:bookmarkEnd w:id="3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exceeds $200,000,000, the Company shall have delivered to the Administrative Agent a certificate demonstrating that, upon giving effect to such Investment on a Pro Forma Basis, the Borrowers would be in compliance with the Consolidated Net Leverage Ratio covenant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as of the most recent fiscal quarter for which the Company has delivered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Borrower or any of its ERISA Affiliates is (or, if such plan were terminated, would under Section 4069 of ERISA be deemed to be) an “employer” as defined in Section 3(5) of ERISA.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10.01(d)(i)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Pounds 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7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Forma Basis</w:t>
      </w:r>
      <w:r>
        <w:rPr>
          <w:rFonts w:ascii="Times New Roman" w:cs="Times New Roman" w:eastAsia="Times New Roman" w:hAnsi="Times New Roman"/>
          <w:sz w:val="18"/>
          <w:szCs w:val="18"/>
          <w:color w:val="auto"/>
        </w:rPr>
        <w:t xml:space="preserve">” means, for purposes of calculating the Consolidated Net Leverage Ratio covenant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that any Acquisition, Investment or any sale of any business or Subsidiary shall be deemed to have occurred as of the first day of the most recent four (4) fiscal quarter period preceding the date of such transaction for which the Company has delivered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connection with the foregoing, (a) income statement items (whether positive or negative) attributable to the Person or property acquired, or business or Subsidiary sold, shall be included to the extent relating to any period applicable in such calculations to the extent (i) such items are not otherwise included in such income statement items for the Company and its Subsidiaries in accordance with GAAP or in accordance with any defined terms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(ii) such items are supported by audited financial statements or other information reasonably satisfactory to the Administrative Agent and (b) any Indebtedness incurred or assumed by the Company or any Subsidiary (including the Person or property acquired) in connection with such transaction and any Indebtedness of the Person or property acquired which is not retired in connection with such transaction shall be deemed to have been incurred as of the first day of the applicable period.</w:t>
      </w:r>
    </w:p>
    <w:p>
      <w:pPr>
        <w:spacing w:after="0" w:line="18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“PTE” </w:t>
      </w:r>
      <w:r>
        <w:rPr>
          <w:rFonts w:ascii="Times New Roman" w:cs="Times New Roman" w:eastAsia="Times New Roman" w:hAnsi="Times New Roman"/>
          <w:sz w:val="18"/>
          <w:szCs w:val="18"/>
          <w:color w:val="auto"/>
        </w:rPr>
        <w:t>means a prohibited transaction class exemption issued by the U.S. Department of Labor, as any such exemption may be amended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to time.</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“Public-Sider” </w:t>
      </w:r>
      <w:r>
        <w:rPr>
          <w:rFonts w:ascii="Times New Roman" w:cs="Times New Roman" w:eastAsia="Times New Roman" w:hAnsi="Times New Roman"/>
          <w:sz w:val="18"/>
          <w:szCs w:val="18"/>
          <w:color w:val="auto"/>
        </w:rPr>
        <w:t>means a Lender whose representatives may trade in securities of the Borrower or its controlling person or any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financial statements provided by the Company under the terms of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6" w:name="page37"/>
    <w:bookmarkEnd w:id="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means, as applicable, (a) the Administrative Agent, (b) any Lender and (c) any Issuing Bank.</w:t>
      </w:r>
    </w:p>
    <w:p>
      <w:pPr>
        <w:spacing w:after="0" w:line="225"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means, as of the last day of any fiscal quarter, the period of four (4) consecutive fiscal quarters of the Company and its Subsidiaries ending on such date.</w:t>
      </w:r>
    </w:p>
    <w:p>
      <w:pPr>
        <w:spacing w:after="0" w:line="15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Time</w:t>
      </w:r>
      <w:r>
        <w:rPr>
          <w:rFonts w:ascii="Times New Roman" w:cs="Times New Roman" w:eastAsia="Times New Roman" w:hAnsi="Times New Roman"/>
          <w:sz w:val="18"/>
          <w:szCs w:val="18"/>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such Benchmark is the TIBO Rate, 11:00 a.m., Japan time, two (2) Business Days preceding the date of such setting, (iv) if the RFR for such Benchmark is SONIA, then four (4) RFR Business Days prior to such setting, (v) if the RFR for such Benchmark is SARON, then five (5) RFR Business Days prior to such setting, (vi) if the RFR for such Benchmark is SORA, then five (5) RFR Business Days prior to such setting, (vii) if, following a Benchmark Transition Event and Benchmark Replacement Date with respect to the Term SOFR Rate, the RFR for such Benchmark is Daily Simple SOFR, then four (4) RFR Business Days prior to such setting, (viii) if, following a Benchmark Transition Event and Benchmark Replacement Date with respect to Term CORRA, the RFR for such Benchmark is Daily Simple CORRA, then four RFR Business Days prior to such setting, (ix) if such Benchmark is the Adjusted Term CORRA Rate, 1:00 p.m. Toronto local time on the day that is two Business Days preceding the date of such setting, or (x) if such Benchmark is none of the Term SOFR Rate, Daily Simple SOFR, Daily Simple CORRA, the Adjusted Term CORRA Rate, the EURIBO Rate, the TIBO Rate, SONIA, SARON or SORA, the time determined by the Administrative Agent in its reasonable discretion after consultation with the Company.</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partners, directors, officers, employees, agents and advisors of such Person and such Person’s Affiliates.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Relevant Adjusted Rate</w:t>
      </w:r>
      <w:r>
        <w:rPr>
          <w:rFonts w:ascii="Times New Roman" w:cs="Times New Roman" w:eastAsia="Times New Roman" w:hAnsi="Times New Roman"/>
          <w:sz w:val="17"/>
          <w:szCs w:val="17"/>
          <w:color w:val="auto"/>
        </w:rPr>
        <w:t>” means (i) with respect to any Term Benchmark Borrowing denominated in U.S. Dollars, the Adjusted Term SOFR Rate,</w:t>
      </w:r>
    </w:p>
    <w:p>
      <w:pPr>
        <w:spacing w:after="0" w:line="43" w:lineRule="exact"/>
        <w:rPr>
          <w:sz w:val="20"/>
          <w:szCs w:val="20"/>
          <w:color w:val="auto"/>
        </w:rPr>
      </w:pPr>
    </w:p>
    <w:p>
      <w:pPr>
        <w:ind w:left="4" w:hanging="4"/>
        <w:spacing w:after="0" w:line="253"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 the Adjusted EURIBO Rate, (iii) with respect to any Term Benchmark Borrowing denominated in Japanese Yen, the Adjusted TIBO Rate, (iv) with respect to any Term Benchmark Borrowing denominated in Canadian Dollars, the Adjusted Term CORRA Rate, (v) with respect to any Term Benchmark Borrowing denominated in Australian Dollars, the Adjusted AUD Rate or (vi) with respect to any RFR Borrowing denominated in Pounds Sterling, Swiss Francs, Singapore Dollars, U.S. Dollars or Canadian Dollars, the applicable Adjusted Daily Simple RFR, as applicable.</w:t>
      </w:r>
    </w:p>
    <w:p>
      <w:pPr>
        <w:spacing w:after="0" w:line="183"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U.S.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66" w:right="439" w:bottom="1440" w:gutter="0" w:footer="0" w:header="0"/>
        </w:sectPr>
      </w:pPr>
    </w:p>
    <w:bookmarkStart w:id="37" w:name="page38"/>
    <w:bookmarkEnd w:id="3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any successor thereto, (iv) with respect to a Benchmark Replacement in respect of Loans denominated in Japanese Yen, the Bank of Japan, or a committee officially endorsed or convened by the Bank of Japan or, in each case, any successor thereto, (v) with respect to a Benchmark Replacement in respect of Loans denominated in Swiss Francs, the Swiss National Bank, or a committee officially endorsed or convened by the Swiss National Bank or, in each case, any successor thereto, (vi) with respect to a Benchmark Replacement in respect of Loans denominated in Canadian Dollars, the Bank of Canada, or a committee officially endorsed or convened by the Bank of Canada or, in each case, any successor thereto and (vii)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w:t>
      </w:r>
    </w:p>
    <w:p>
      <w:pPr>
        <w:spacing w:after="0" w:line="3" w:lineRule="exact"/>
        <w:rPr>
          <w:sz w:val="20"/>
          <w:szCs w:val="20"/>
          <w:color w:val="auto"/>
        </w:rPr>
      </w:pPr>
    </w:p>
    <w:p>
      <w:pPr>
        <w:ind w:left="4" w:right="240" w:hanging="4"/>
        <w:spacing w:after="0" w:line="253"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Rate</w:t>
      </w:r>
      <w:r>
        <w:rPr>
          <w:rFonts w:ascii="Times New Roman" w:cs="Times New Roman" w:eastAsia="Times New Roman" w:hAnsi="Times New Roman"/>
          <w:sz w:val="18"/>
          <w:szCs w:val="18"/>
          <w:color w:val="auto"/>
        </w:rPr>
        <w:t>” means (i) with respect to any Term Benchmark Borrowing denominated in U.S. Dollars, the Term SOFR Rate, (ii) with respect to any Term Benchmark Borrowing denominated in Euro, the EURIBO Rate, (iii) with respect to any Term Benchmark Borrowing denominated in Japanese Yen, the TIBO Rate, (iv) with respect to any Term Benchmark Borrowing denominated in Canadian Dollars, the Term CORRA, (v) with respect to any Term Benchmark Borrowing denominated in Australian Dollars, the AUD Rate, as applicable or (vi) with respect to any RFR Borrowing denominated in Pounds Sterling, Swiss Francs, Singapore Dollars, U.S. Dollars or Canadian Dollars, the applicable Daily Simple RFR, in each case, as applicable.</w:t>
      </w:r>
    </w:p>
    <w:p>
      <w:pPr>
        <w:spacing w:after="0" w:line="182"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Screen Rate</w:t>
      </w:r>
      <w:r>
        <w:rPr>
          <w:rFonts w:ascii="Times New Roman" w:cs="Times New Roman" w:eastAsia="Times New Roman" w:hAnsi="Times New Roman"/>
          <w:sz w:val="18"/>
          <w:szCs w:val="18"/>
          <w:color w:val="auto"/>
        </w:rPr>
        <w:t>” means (i) with respect to any Term Benchmark Borrowing denominated in U.S. Dollars, the Term SOFR Rate, (ii) with respect to any Term Benchmark Borrowing denominated in Euro, the EURIBO Screen Rate, (iii) with respect to any Term Benchmark Borrowing denominated in Japanese Yen, the TIBO Screen Rate, (iv) with respect to any Term Benchmark Borrowing denominated in Canadian Dollars, the Term CORRA or (v) with respect to any Term Benchmark Borrowing denominated in Australian Dollars, the AUD Screen Rate, as applicable.</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Lenders</w:t>
      </w:r>
      <w:r>
        <w:rPr>
          <w:rFonts w:ascii="Times New Roman" w:cs="Times New Roman" w:eastAsia="Times New Roman" w:hAnsi="Times New Roman"/>
          <w:sz w:val="18"/>
          <w:szCs w:val="18"/>
          <w:color w:val="auto"/>
        </w:rPr>
        <w:t xml:space="preserve">” means, at any time, Lenders having Revolving Credit Exposures and unused Commitments representing more than fifty percent (50%) of the sum of the Total Revolving Credit Exposures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declaring the Loans to be due and payable pursuant to Article VII, and for all purposes after the Loans become due and payable pursuant to Article VII or the Commitments expire or terminate, then, as to each Lender, clause (a) of the definition of Swingline Exposure shall only be applicable for purposes of determining its Revolving Credit Exposure to the extent such Lender shall have funded its participation in the outstanding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the purpose of determining the Required Lenders needed for any waiver, amendment, modification or consent, any Lender that is the Borrower, or any Affiliate of the Borrower shall be disregarded. For the avoidance of doubt, assignments to any Borrower, or any Affiliate or Subsidiary of any Borrower shall not be permitted hereunder in accordance with Section 10.04(b).</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162"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38" w:name="page39"/>
    <w:bookmarkEnd w:id="38"/>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Loans, its LC Exposure and its Swingline Exposure at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RFR</w:t>
      </w:r>
      <w:r>
        <w:rPr>
          <w:rFonts w:ascii="Times New Roman" w:cs="Times New Roman" w:eastAsia="Times New Roman" w:hAnsi="Times New Roman"/>
          <w:sz w:val="18"/>
          <w:szCs w:val="18"/>
          <w:color w:val="auto"/>
        </w:rPr>
        <w:t>” means, for any RFR Loan denominated in (a) Pounds Sterling, SONIA, (b) Swiss Francs, SARON, (c) Singapore Dollars, SORA, (d) U.S. Dollars, (solely following a Benchmark Transition Event and a Benchmark Replacement Date with respect to the Term SOFR Rate) Daily Simple SOFR and (e) Canadian Dollars, (solely following a Benchmark Transition Event and a Benchmark Replacement Date with respect to Term CORRA) Daily Simple CORRA, and when used in reference to any Loan or Borrowing, means that such Loan, or the Loans comprising such Borrowing, bears interest at a rate determined by reference to the applicable Adjusted Daily Simple RFR.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RFR Business Day</w:t>
      </w:r>
      <w:r>
        <w:rPr>
          <w:rFonts w:ascii="Times New Roman" w:cs="Times New Roman" w:eastAsia="Times New Roman" w:hAnsi="Times New Roman"/>
          <w:sz w:val="18"/>
          <w:szCs w:val="18"/>
          <w:color w:val="auto"/>
        </w:rPr>
        <w:t>” means, for any Loan denominated in (a) Pounds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(c) Singapore Dollars, any day except for (i) a Saturday, (ii) a Sunday or (iii) a day on which banks are closed for the settlement of payments and foreign exchange transactions in Singapore, (d) U.S. Dollars, a U.S. Government Securities Business Day and (e) Canadian Dollars, any day except for (i) a Saturday, (ii) a Sunday or (iii) a day on which commercial banks in Toronto are authorized or required by law to remain closed.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RFR Loan</w:t>
      </w:r>
      <w:r>
        <w:rPr>
          <w:rFonts w:ascii="Times New Roman" w:cs="Times New Roman" w:eastAsia="Times New Roman" w:hAnsi="Times New Roman"/>
          <w:sz w:val="18"/>
          <w:szCs w:val="18"/>
          <w:color w:val="auto"/>
        </w:rPr>
        <w:t>” means a Loan that bears interest at a rate based on the Adjusted Daily Simple RFR.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Standard &amp; Poor’s.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comprehensive Sanctions (as of the Effective Date, the so-called Donetsk People’s Republic, the so-called Luhansk People’s Republic, the Crimea, Zaporizhzhia and Kherson Regions of Ukraine, Cuba, Iran and North Korea).</w:t>
      </w:r>
    </w:p>
    <w:p>
      <w:pPr>
        <w:spacing w:after="0" w:line="17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means, at any time, any Person subject or target of any Sanctions, including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79"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9" w:name="page40"/>
    <w:bookmarkEnd w:id="39"/>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SARON</w:t>
      </w:r>
      <w:r>
        <w:rPr>
          <w:rFonts w:ascii="Times New Roman" w:cs="Times New Roman" w:eastAsia="Times New Roman" w:hAnsi="Times New Roman"/>
          <w:sz w:val="18"/>
          <w:szCs w:val="18"/>
          <w:color w:val="auto"/>
        </w:rPr>
        <w:t>” means, with respect to any Business Day, a rate per annum equal to the Swiss Average Rate Overnight for such Business Day published by the SARON Administrator on the SARON Administrator’s Website.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SARON Administrator</w:t>
      </w:r>
      <w:r>
        <w:rPr>
          <w:rFonts w:ascii="Times New Roman" w:cs="Times New Roman" w:eastAsia="Times New Roman" w:hAnsi="Times New Roman"/>
          <w:sz w:val="18"/>
          <w:szCs w:val="18"/>
          <w:color w:val="auto"/>
        </w:rPr>
        <w:t>” means the SIX Swiss Exchange AG (or any successor administrator of the Swiss Average Rate Overnight).</w:t>
      </w:r>
    </w:p>
    <w:p>
      <w:pPr>
        <w:spacing w:after="0" w:line="225" w:lineRule="exact"/>
        <w:rPr>
          <w:sz w:val="20"/>
          <w:szCs w:val="20"/>
          <w:color w:val="auto"/>
        </w:rPr>
      </w:pPr>
    </w:p>
    <w:p>
      <w:pPr>
        <w:jc w:val="both"/>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SARON Administrator’s Website</w:t>
      </w:r>
      <w:r>
        <w:rPr>
          <w:rFonts w:ascii="Times New Roman" w:cs="Times New Roman" w:eastAsia="Times New Roman" w:hAnsi="Times New Roman"/>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5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or all of the functions of said Commission.</w:t>
      </w:r>
    </w:p>
    <w:p>
      <w:pPr>
        <w:spacing w:after="0" w:line="155"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Securitization Transaction</w:t>
      </w:r>
      <w:r>
        <w:rPr>
          <w:rFonts w:ascii="Times New Roman" w:cs="Times New Roman" w:eastAsia="Times New Roman" w:hAnsi="Times New Roman"/>
          <w:sz w:val="18"/>
          <w:szCs w:val="18"/>
          <w:color w:val="auto"/>
        </w:rPr>
        <w:t>” means any financing transaction or series of financing transactions (including factoring arrangements) pursuant to which the Company or any Subsidiary may sell, convey or otherwise transfer, or grant a security interest in, accounts, payments, receivables, rights to future lease payments or residuals or similar rights to payment to a special purpose subsidiary or affiliate of the Company.</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Subsidiary</w:t>
      </w:r>
      <w:r>
        <w:rPr>
          <w:rFonts w:ascii="Times New Roman" w:cs="Times New Roman" w:eastAsia="Times New Roman" w:hAnsi="Times New Roman"/>
          <w:sz w:val="18"/>
          <w:szCs w:val="18"/>
          <w:color w:val="auto"/>
        </w:rPr>
        <w:t xml:space="preserve">” means each Domestic Subsidiary now existing or hereafter acquired or formed, and each successor thereto, with respect to which,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such acquisition or formation, or at any other time thereafter:</w:t>
      </w:r>
    </w:p>
    <w:p>
      <w:pPr>
        <w:spacing w:after="0" w:line="159" w:lineRule="exact"/>
        <w:rPr>
          <w:sz w:val="20"/>
          <w:szCs w:val="20"/>
          <w:color w:val="auto"/>
        </w:rPr>
      </w:pPr>
    </w:p>
    <w:p>
      <w:pPr>
        <w:ind w:right="660" w:firstLine="436"/>
        <w:spacing w:after="0" w:line="28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other Subsidiaries’ Investments in such Domestic Subsidiary exceed ten percent (10%) of the total assets of the Company and its Subsidiaries on a consolidated basis;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other Subsidiaries’ proportionate share of the total assets (after intercompany eliminations) of such Domestic Subsidiary exceeds ten percent (10%) of the total assets of the Company and its Subsidiaries on a consolidated basis; or</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other Subsidiaries’ equity in the income from continuing operations before income taxes, extraordinary items and cumulative effect of a change in accounting principle of such Domestic Subsidiary exceeds ten percent (10%) of such income of the Company and its Subsidiaries on a consolidated basis.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Singapore Dollars</w:t>
      </w:r>
      <w:r>
        <w:rPr>
          <w:rFonts w:ascii="Times New Roman" w:cs="Times New Roman" w:eastAsia="Times New Roman" w:hAnsi="Times New Roman"/>
          <w:sz w:val="18"/>
          <w:szCs w:val="18"/>
          <w:color w:val="auto"/>
        </w:rPr>
        <w:t>” means the lawful currency of Singapore.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Administrator’s Website</w:t>
      </w:r>
      <w:r>
        <w:rPr>
          <w:rFonts w:ascii="Times New Roman" w:cs="Times New Roman" w:eastAsia="Times New Roman" w:hAnsi="Times New Roman"/>
          <w:sz w:val="18"/>
          <w:szCs w:val="18"/>
          <w:color w:val="auto"/>
        </w:rPr>
        <w:t>” means the Federal Reserve Bank of New York’s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40" w:name="page41"/>
    <w:bookmarkEnd w:id="40"/>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SORA</w:t>
      </w:r>
      <w:r>
        <w:rPr>
          <w:rFonts w:ascii="Times New Roman" w:cs="Times New Roman" w:eastAsia="Times New Roman" w:hAnsi="Times New Roman"/>
          <w:sz w:val="18"/>
          <w:szCs w:val="18"/>
          <w:color w:val="auto"/>
        </w:rPr>
        <w:t>” means, with respect to any Business Day, a rate per annum equal to the Singapore Overnight Rate Average published by the SORA Administrator on the SORA Administrator’s Website, and in any case, if SORA is less than zero, SORA shall be deemed to be zero.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SORA Administrator</w:t>
      </w:r>
      <w:r>
        <w:rPr>
          <w:rFonts w:ascii="Times New Roman" w:cs="Times New Roman" w:eastAsia="Times New Roman" w:hAnsi="Times New Roman"/>
          <w:sz w:val="18"/>
          <w:szCs w:val="18"/>
          <w:color w:val="auto"/>
        </w:rPr>
        <w:t>” means the Monetary Authority of Singapore (or any successor administrator of the Singapore Overnight Rate Average).</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SORA Administrator’s Website</w:t>
      </w:r>
      <w:r>
        <w:rPr>
          <w:rFonts w:ascii="Times New Roman" w:cs="Times New Roman" w:eastAsia="Times New Roman" w:hAnsi="Times New Roman"/>
          <w:sz w:val="18"/>
          <w:szCs w:val="18"/>
          <w:color w:val="auto"/>
        </w:rPr>
        <w:t>” means the Statistics page of the Monetary Authority of Singapore website, http://www.mas.gov.sg, or any successor website officially designated by SORA Administrator from time to time (or as published by its authorized distributors).</w:t>
      </w:r>
    </w:p>
    <w:p>
      <w:pPr>
        <w:spacing w:after="0" w:line="15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applicable Relevant Adjusted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subsidiary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Supported QFC</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41" w:name="page42"/>
    <w:bookmarkEnd w:id="41"/>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Company or its Subsidiaries shall be a Swap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Swingline Borrowing</w:t>
      </w:r>
      <w:r>
        <w:rPr>
          <w:rFonts w:ascii="Times New Roman" w:cs="Times New Roman" w:eastAsia="Times New Roman" w:hAnsi="Times New Roman"/>
          <w:sz w:val="18"/>
          <w:szCs w:val="18"/>
          <w:color w:val="auto"/>
        </w:rPr>
        <w:t>” means a borrowing of a Swingline Loan.</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Swingline Commitment</w:t>
      </w:r>
      <w:r>
        <w:rPr>
          <w:rFonts w:ascii="Times New Roman" w:cs="Times New Roman" w:eastAsia="Times New Roman" w:hAnsi="Times New Roman"/>
          <w:sz w:val="18"/>
          <w:szCs w:val="18"/>
          <w:color w:val="auto"/>
        </w:rPr>
        <w:t xml:space="preserve">” means, as to any Lender, (a) the applicable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(b) if such Lender has entered into an Assignment and Assumption, the amount set forth for such Lender as its Swingline Commitment in the Register.</w:t>
      </w:r>
    </w:p>
    <w:p>
      <w:pPr>
        <w:spacing w:after="0" w:line="155" w:lineRule="exact"/>
        <w:rPr>
          <w:sz w:val="20"/>
          <w:szCs w:val="20"/>
          <w:color w:val="auto"/>
        </w:rPr>
      </w:pPr>
    </w:p>
    <w:p>
      <w:pPr>
        <w:jc w:val="both"/>
        <w:ind w:right="4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Lenders in such Swingline Loans).</w:t>
      </w:r>
    </w:p>
    <w:p>
      <w:pPr>
        <w:spacing w:after="0" w:line="179"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Swingline Lenders</w:t>
      </w:r>
      <w:r>
        <w:rPr>
          <w:rFonts w:ascii="Times New Roman" w:cs="Times New Roman" w:eastAsia="Times New Roman" w:hAnsi="Times New Roman"/>
          <w:sz w:val="18"/>
          <w:szCs w:val="18"/>
          <w:color w:val="auto"/>
        </w:rPr>
        <w:t xml:space="preserve">” means, collectively, JPMorgan Chase Bank, N.A., and any Lender that assumes all or any portion of another Lender’s Swingline Commitment in accordance with </w:t>
      </w:r>
      <w:r>
        <w:rPr>
          <w:rFonts w:ascii="Times New Roman" w:cs="Times New Roman" w:eastAsia="Times New Roman" w:hAnsi="Times New Roman"/>
          <w:sz w:val="18"/>
          <w:szCs w:val="18"/>
          <w:u w:val="single" w:color="auto"/>
          <w:color w:val="auto"/>
        </w:rPr>
        <w:t>Section 2.05(a)(ii)</w:t>
      </w:r>
      <w:r>
        <w:rPr>
          <w:rFonts w:ascii="Times New Roman" w:cs="Times New Roman" w:eastAsia="Times New Roman" w:hAnsi="Times New Roman"/>
          <w:sz w:val="18"/>
          <w:szCs w:val="18"/>
          <w:color w:val="auto"/>
        </w:rPr>
        <w:t>, each in its capacity as a lender of Swingline Loans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Swiss Francs</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Syndication Agent</w:t>
      </w:r>
      <w:r>
        <w:rPr>
          <w:rFonts w:ascii="Times New Roman" w:cs="Times New Roman" w:eastAsia="Times New Roman" w:hAnsi="Times New Roman"/>
          <w:sz w:val="18"/>
          <w:szCs w:val="18"/>
          <w:color w:val="auto"/>
        </w:rPr>
        <w:t>” means Citibank, N.A., in its capacity as Syndication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reasonably determined by the Administrative Agent to be a suitable replacement) is open for the settlement of payments in Euro.</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Benchmark</w:t>
      </w:r>
      <w:r>
        <w:rPr>
          <w:rFonts w:ascii="Times New Roman" w:cs="Times New Roman" w:eastAsia="Times New Roman" w:hAnsi="Times New Roman"/>
          <w:sz w:val="18"/>
          <w:szCs w:val="18"/>
          <w:color w:val="auto"/>
        </w:rPr>
        <w:t>”, when used in reference to any Loan or Borrowing, means that such Loan, or the Loans comprising such Borrowing, bears interest at a rate determined by reference to the Adjusted Term SOFR Rate, the Adjusted EURIBO Rate, the Adjusted TIBO Rate, the Adjusted Term CORRA Rate or the Adjusted AUD Rate.</w:t>
      </w:r>
    </w:p>
    <w:p>
      <w:pPr>
        <w:spacing w:after="0" w:line="17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CORRA</w:t>
      </w:r>
      <w:r>
        <w:rPr>
          <w:rFonts w:ascii="Times New Roman" w:cs="Times New Roman" w:eastAsia="Times New Roman" w:hAnsi="Times New Roman"/>
          <w:sz w:val="18"/>
          <w:szCs w:val="18"/>
          <w:color w:val="auto"/>
        </w:rPr>
        <w:t>” means, for any calculation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8"/>
          <w:szCs w:val="18"/>
          <w:b w:val="1"/>
          <w:bCs w:val="1"/>
          <w:i w:val="1"/>
          <w:iCs w:val="1"/>
          <w:color w:val="auto"/>
        </w:rPr>
        <w:t>Periodic Term CORRA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42" w:name="page43"/>
    <w:bookmarkEnd w:id="4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CORRA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CORRA Notice</w:t>
      </w:r>
      <w:r>
        <w:rPr>
          <w:rFonts w:ascii="Times New Roman" w:cs="Times New Roman" w:eastAsia="Times New Roman" w:hAnsi="Times New Roman"/>
          <w:sz w:val="18"/>
          <w:szCs w:val="18"/>
          <w:color w:val="auto"/>
        </w:rPr>
        <w:t>” means a notification by the Administrative Agent to the Lenders and the Company of the occurrence of a Term CORRA Reelection Event.</w:t>
      </w:r>
    </w:p>
    <w:p>
      <w:pPr>
        <w:spacing w:after="0" w:line="155"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CORRA Reelection Event</w:t>
      </w:r>
      <w:r>
        <w:rPr>
          <w:rFonts w:ascii="Times New Roman" w:cs="Times New Roman" w:eastAsia="Times New Roman" w:hAnsi="Times New Roman"/>
          <w:sz w:val="17"/>
          <w:szCs w:val="17"/>
          <w:color w:val="auto"/>
        </w:rPr>
        <w:t xml:space="preserve">”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w:t>
      </w:r>
      <w:r>
        <w:rPr>
          <w:rFonts w:ascii="Times New Roman" w:cs="Times New Roman" w:eastAsia="Times New Roman" w:hAnsi="Times New Roman"/>
          <w:sz w:val="17"/>
          <w:szCs w:val="17"/>
          <w:u w:val="single" w:color="auto"/>
          <w:color w:val="auto"/>
        </w:rPr>
        <w:t>Section 2.14(b)</w:t>
      </w:r>
      <w:r>
        <w:rPr>
          <w:rFonts w:ascii="Times New Roman" w:cs="Times New Roman" w:eastAsia="Times New Roman" w:hAnsi="Times New Roman"/>
          <w:sz w:val="17"/>
          <w:szCs w:val="17"/>
          <w:color w:val="auto"/>
        </w:rPr>
        <w:t xml:space="preserve"> that is not Term CORRA.</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SOFR Rate</w:t>
      </w:r>
      <w:r>
        <w:rPr>
          <w:rFonts w:ascii="Times New Roman" w:cs="Times New Roman" w:eastAsia="Times New Roman" w:hAnsi="Times New Roman"/>
          <w:sz w:val="17"/>
          <w:szCs w:val="17"/>
          <w:color w:val="auto"/>
        </w:rPr>
        <w:t>” 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b w:val="1"/>
          <w:bCs w:val="1"/>
          <w:i w:val="1"/>
          <w:iCs w:val="1"/>
          <w:color w:val="auto"/>
        </w:rPr>
        <w:t>Term SOFR Determination Day</w:t>
      </w:r>
      <w:r>
        <w:rPr>
          <w:rFonts w:ascii="Times New Roman" w:cs="Times New Roman" w:eastAsia="Times New Roman" w:hAnsi="Times New Roman"/>
          <w:sz w:val="18"/>
          <w:szCs w:val="18"/>
          <w:color w:val="auto"/>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TIBO Rate</w:t>
      </w:r>
      <w:r>
        <w:rPr>
          <w:rFonts w:ascii="Times New Roman" w:cs="Times New Roman" w:eastAsia="Times New Roman" w:hAnsi="Times New Roman"/>
          <w:sz w:val="18"/>
          <w:szCs w:val="18"/>
          <w:color w:val="auto"/>
        </w:rPr>
        <w:t>” means, with respect to any Term Benchmark Borrowing denominated in Japanese Yen and for any Interest Period, the TIBO Screen Rate two (2) Business Days prior to the commencement of such Interest Period.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3" w:name="page44"/>
    <w:bookmarkEnd w:id="43"/>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TIBO Screen Rate</w:t>
      </w:r>
      <w:r>
        <w:rPr>
          <w:rFonts w:ascii="Times New Roman" w:cs="Times New Roman" w:eastAsia="Times New Roman" w:hAnsi="Times New Roman"/>
          <w:sz w:val="18"/>
          <w:szCs w:val="18"/>
          <w:color w:val="auto"/>
        </w:rPr>
        <w:t>” means, for any day and time, for any Interest Period, the Tokyo interbank offered rate administered by the Ippan Shadan Hojin JBA TIBOR Administration (or any other person which takes over the administration of such rate) for Japanese Yen for the relevant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on the applicable date of determination.</w:t>
      </w:r>
    </w:p>
    <w:p>
      <w:pPr>
        <w:spacing w:after="0" w:line="1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Capitalization</w:t>
      </w:r>
      <w:r>
        <w:rPr>
          <w:rFonts w:ascii="Times New Roman" w:cs="Times New Roman" w:eastAsia="Times New Roman" w:hAnsi="Times New Roman"/>
          <w:sz w:val="18"/>
          <w:szCs w:val="18"/>
          <w:color w:val="auto"/>
        </w:rPr>
        <w:t xml:space="preserve">” means, as of any date, Consolidated Total Debt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consolidated stockholders’ equity of the Company and its Subsidiaries (calculated excluding adjustments to translate foreign assets and liabilities for changes in foreign exchange rates made in accordance with Financial Accounting Standards Board Statement Nos. 52 and 133), all as would be presented according to GAAP in a consolidated balance sheet of the Company as of such date.</w:t>
      </w:r>
    </w:p>
    <w:p>
      <w:pPr>
        <w:spacing w:after="0" w:line="176"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Revolving Credit Exposure</w:t>
      </w:r>
      <w:r>
        <w:rPr>
          <w:rFonts w:ascii="Times New Roman" w:cs="Times New Roman" w:eastAsia="Times New Roman" w:hAnsi="Times New Roman"/>
          <w:sz w:val="18"/>
          <w:szCs w:val="18"/>
          <w:color w:val="auto"/>
        </w:rPr>
        <w:t xml:space="preserve">” means, the sum of the outstanding principal amount of all Lenders’ Revolving Loans, their LC Exposure and their Swingline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clause (a) of the definition of Swingline Exposure shall only be applicable to the extent Lenders shall have funded their respective participations in the outstanding Swingline Loans.</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the execution, delivery and performance by each Borrower of each Loan Document to which it is a party, the borrowing of Loans, the use of the proceeds thereof and the issuance of Letters of Credit hereunder.</w:t>
      </w:r>
    </w:p>
    <w:p>
      <w:pPr>
        <w:spacing w:after="0" w:line="15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a Relevant Adjusted Rate, the Alternate Base Rate, the Canadian Prime Rate, the Japanese Prime Rate or the Central Bank Rate.</w:t>
      </w:r>
    </w:p>
    <w:p>
      <w:pPr>
        <w:spacing w:after="0" w:line="171" w:lineRule="exact"/>
        <w:rPr>
          <w:sz w:val="20"/>
          <w:szCs w:val="20"/>
          <w:color w:val="auto"/>
        </w:rPr>
      </w:pPr>
    </w:p>
    <w:p>
      <w:pPr>
        <w:jc w:val="both"/>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Borrower</w:t>
      </w:r>
      <w:r>
        <w:rPr>
          <w:rFonts w:ascii="Times New Roman" w:cs="Times New Roman" w:eastAsia="Times New Roman" w:hAnsi="Times New Roman"/>
          <w:sz w:val="18"/>
          <w:szCs w:val="18"/>
          <w:color w:val="auto"/>
        </w:rPr>
        <w:t>” means any Borrower (a) that is organized or formed under the laws of the United Kingdom and (b) payments from which under this Agreement or any other Loan Document are subject to withholding Taxes imposed by the laws of the United Kingdom.</w:t>
      </w:r>
    </w:p>
    <w:p>
      <w:pPr>
        <w:spacing w:after="0" w:line="155"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UKPTIL</w:t>
      </w:r>
      <w:r>
        <w:rPr>
          <w:rFonts w:ascii="Times New Roman" w:cs="Times New Roman" w:eastAsia="Times New Roman" w:hAnsi="Times New Roman"/>
          <w:sz w:val="18"/>
          <w:szCs w:val="18"/>
          <w:color w:val="auto"/>
        </w:rPr>
        <w:t>” has the meaning assigned to such term in Section 3.14.</w:t>
      </w:r>
    </w:p>
    <w:p>
      <w:pPr>
        <w:spacing w:after="0" w:line="225"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Administrative Agent</w:t>
      </w:r>
      <w:r>
        <w:rPr>
          <w:rFonts w:ascii="Times New Roman" w:cs="Times New Roman" w:eastAsia="Times New Roman" w:hAnsi="Times New Roman"/>
          <w:sz w:val="18"/>
          <w:szCs w:val="18"/>
          <w:color w:val="auto"/>
        </w:rPr>
        <w:t>” means JPMorgan Chase Bank, N.A. (or any of its designated branch offices or affiliates), in its capacity as administrative agent for the Lenders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44" w:name="page45"/>
    <w:bookmarkEnd w:id="44"/>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Revolving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Term Benchmark Loan</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b w:val="1"/>
          <w:bCs w:val="1"/>
          <w:i w:val="1"/>
          <w:iCs w:val="1"/>
          <w:color w:val="auto"/>
        </w:rPr>
        <w:t>RFR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Term Benchmark Revolving Loan</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b w:val="1"/>
          <w:bCs w:val="1"/>
          <w:i w:val="1"/>
          <w:iCs w:val="1"/>
          <w:color w:val="auto"/>
        </w:rPr>
        <w:t>RFR Revolving 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Revolving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Benchmark Borrowing</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b w:val="1"/>
          <w:bCs w:val="1"/>
          <w:i w:val="1"/>
          <w:iCs w:val="1"/>
          <w:color w:val="auto"/>
        </w:rPr>
        <w:t>RFR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Term Benchmark Revolving Borrowing</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b w:val="1"/>
          <w:bCs w:val="1"/>
          <w:i w:val="1"/>
          <w:iCs w:val="1"/>
          <w:color w:val="auto"/>
        </w:rPr>
        <w:t>RFR Revolving Borrowing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45" w:name="page46"/>
    <w:bookmarkEnd w:id="45"/>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Such amendment, regardless of whether requested by the Company or the Required Lenders, shall be negotiated in good faith by the Company, the Administrative Agent and the Lenders.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Company or any Subsidiary at “fair value”, as defined therein.</w:t>
      </w:r>
    </w:p>
    <w:p>
      <w:pPr>
        <w:spacing w:after="0" w:line="19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upon such maximum amount being available to be drawn at such time.</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U.S. Dollars or a Foreign Currency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6" w:name="page47"/>
    <w:bookmarkEnd w:id="46"/>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Luxembourg Terms</w:t>
      </w:r>
      <w:r>
        <w:rPr>
          <w:rFonts w:ascii="Times New Roman" w:cs="Times New Roman" w:eastAsia="Times New Roman" w:hAnsi="Times New Roman"/>
          <w:sz w:val="18"/>
          <w:szCs w:val="18"/>
          <w:color w:val="auto"/>
        </w:rPr>
        <w:t xml:space="preserve">. Notwithstanding any other provision of this Agreement to the contrary, in this Agreement where it relates to Cabot Luxembourg or any Luxembourg Obligor, a reference to: (a) a receiver, conservator, trustee, administrator, custodian, compulsory manager or other similar officer includes a </w:t>
      </w:r>
      <w:r>
        <w:rPr>
          <w:rFonts w:ascii="Times New Roman" w:cs="Times New Roman" w:eastAsia="Times New Roman" w:hAnsi="Times New Roman"/>
          <w:sz w:val="18"/>
          <w:szCs w:val="18"/>
          <w:i w:val="1"/>
          <w:iCs w:val="1"/>
          <w:color w:val="auto"/>
        </w:rPr>
        <w:t>juge délégué, juge-commissaire, mandataire de justice, administrateur provisoire, conciliateur d’entreprise,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(b) liquidation, bankruptcy, insolvency, reorganization, moratorium or any similar proceeding shall include (i) insolvency/bankruptcy</w:t>
      </w:r>
      <w:r>
        <w:rPr>
          <w:rFonts w:ascii="Times New Roman" w:cs="Times New Roman" w:eastAsia="Times New Roman" w:hAnsi="Times New Roman"/>
          <w:sz w:val="18"/>
          <w:szCs w:val="18"/>
          <w:i w:val="1"/>
          <w:iCs w:val="1"/>
          <w:color w:val="auto"/>
        </w:rPr>
        <w:t xml:space="preserve"> (faillite) </w:t>
      </w:r>
      <w:r>
        <w:rPr>
          <w:rFonts w:ascii="Times New Roman" w:cs="Times New Roman" w:eastAsia="Times New Roman" w:hAnsi="Times New Roman"/>
          <w:sz w:val="18"/>
          <w:szCs w:val="18"/>
          <w:color w:val="auto"/>
        </w:rPr>
        <w:t>within the meaning of Articles 437 ff. of the Luxembourg Commercial Code, (ii) suspension of payments</w:t>
      </w:r>
      <w:r>
        <w:rPr>
          <w:rFonts w:ascii="Times New Roman" w:cs="Times New Roman" w:eastAsia="Times New Roman" w:hAnsi="Times New Roman"/>
          <w:sz w:val="18"/>
          <w:szCs w:val="18"/>
          <w:i w:val="1"/>
          <w:iCs w:val="1"/>
          <w:color w:val="auto"/>
        </w:rPr>
        <w:t xml:space="preserve"> (sursis de paiement) </w:t>
      </w:r>
      <w:r>
        <w:rPr>
          <w:rFonts w:ascii="Times New Roman" w:cs="Times New Roman" w:eastAsia="Times New Roman" w:hAnsi="Times New Roman"/>
          <w:sz w:val="18"/>
          <w:szCs w:val="18"/>
          <w:color w:val="auto"/>
        </w:rPr>
        <w:t>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of Articles 593 ff. of the Luxembourg Commercial Code , (iii) administrative dissolution without liquidation (</w:t>
      </w:r>
      <w:r>
        <w:rPr>
          <w:rFonts w:ascii="Times New Roman" w:cs="Times New Roman" w:eastAsia="Times New Roman" w:hAnsi="Times New Roman"/>
          <w:sz w:val="18"/>
          <w:szCs w:val="18"/>
          <w:i w:val="1"/>
          <w:iCs w:val="1"/>
          <w:color w:val="auto"/>
        </w:rPr>
        <w:t>dissolution administrative sans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within the meaning of the Luxembourg law of October 28, 2022 creating the procedure for administrative dissolution without liquidation,</w:t>
      </w:r>
    </w:p>
    <w:p>
      <w:pPr>
        <w:spacing w:after="0" w:line="3" w:lineRule="exact"/>
        <w:rPr>
          <w:sz w:val="20"/>
          <w:szCs w:val="20"/>
          <w:color w:val="auto"/>
        </w:rPr>
      </w:pPr>
    </w:p>
    <w:p>
      <w:pPr>
        <w:ind w:left="4" w:right="60" w:hanging="4"/>
        <w:spacing w:after="0" w:line="250"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compulsory winding-up pursuant to the law of 10 August 1915 on commercial companies, as amended or (v) judicial reorganisation proceedings in the form of a mutual agreement (</w:t>
      </w:r>
      <w:r>
        <w:rPr>
          <w:rFonts w:ascii="Times New Roman" w:cs="Times New Roman" w:eastAsia="Times New Roman" w:hAnsi="Times New Roman"/>
          <w:sz w:val="18"/>
          <w:szCs w:val="18"/>
          <w:i w:val="1"/>
          <w:iCs w:val="1"/>
          <w:color w:val="auto"/>
        </w:rPr>
        <w:t>réorganisation judiciaire par accord amiable</w:t>
      </w:r>
      <w:r>
        <w:rPr>
          <w:rFonts w:ascii="Times New Roman" w:cs="Times New Roman" w:eastAsia="Times New Roman" w:hAnsi="Times New Roman"/>
          <w:sz w:val="18"/>
          <w:szCs w:val="18"/>
          <w:color w:val="auto"/>
        </w:rPr>
        <w:t>), a collective agreement (</w:t>
      </w:r>
      <w:r>
        <w:rPr>
          <w:rFonts w:ascii="Times New Roman" w:cs="Times New Roman" w:eastAsia="Times New Roman" w:hAnsi="Times New Roman"/>
          <w:sz w:val="18"/>
          <w:szCs w:val="18"/>
          <w:i w:val="1"/>
          <w:iCs w:val="1"/>
          <w:color w:val="auto"/>
        </w:rPr>
        <w:t>réorganisation judiciaire 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 collectif</w:t>
      </w:r>
      <w:r>
        <w:rPr>
          <w:rFonts w:ascii="Times New Roman" w:cs="Times New Roman" w:eastAsia="Times New Roman" w:hAnsi="Times New Roman"/>
          <w:sz w:val="18"/>
          <w:szCs w:val="18"/>
          <w:color w:val="auto"/>
        </w:rPr>
        <w:t>) or a judicial reorganisation by transfer by court order (</w:t>
      </w:r>
      <w:r>
        <w:rPr>
          <w:rFonts w:ascii="Times New Roman" w:cs="Times New Roman" w:eastAsia="Times New Roman" w:hAnsi="Times New Roman"/>
          <w:sz w:val="18"/>
          <w:szCs w:val="18"/>
          <w:i w:val="1"/>
          <w:iCs w:val="1"/>
          <w:color w:val="auto"/>
        </w:rPr>
        <w:t>réorganisation judiciaire par transfert par décision de justice</w:t>
      </w:r>
      <w:r>
        <w:rPr>
          <w:rFonts w:ascii="Times New Roman" w:cs="Times New Roman" w:eastAsia="Times New Roman" w:hAnsi="Times New Roman"/>
          <w:sz w:val="18"/>
          <w:szCs w:val="18"/>
          <w:color w:val="auto"/>
        </w:rPr>
        <w:t>)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meaning of the law of 7 August 2023 on the preservation of companies and modernisation of the bankruptcy law, (c) a lien or security interest includes any </w:t>
      </w:r>
      <w:r>
        <w:rPr>
          <w:rFonts w:ascii="Times New Roman" w:cs="Times New Roman" w:eastAsia="Times New Roman" w:hAnsi="Times New Roman"/>
          <w:sz w:val="18"/>
          <w:szCs w:val="18"/>
          <w:i w:val="1"/>
          <w:iCs w:val="1"/>
          <w:color w:val="auto"/>
        </w:rPr>
        <w:t>hypothèque, nantissement, gage, privilège, sûreté réelle, droit de rétention</w:t>
      </w:r>
      <w:r>
        <w:rPr>
          <w:rFonts w:ascii="Times New Roman" w:cs="Times New Roman" w:eastAsia="Times New Roman" w:hAnsi="Times New Roman"/>
          <w:sz w:val="18"/>
          <w:szCs w:val="18"/>
          <w:color w:val="auto"/>
        </w:rPr>
        <w:t>, and any type of security in rem (</w:t>
      </w:r>
      <w:r>
        <w:rPr>
          <w:rFonts w:ascii="Times New Roman" w:cs="Times New Roman" w:eastAsia="Times New Roman" w:hAnsi="Times New Roman"/>
          <w:sz w:val="18"/>
          <w:szCs w:val="18"/>
          <w:i w:val="1"/>
          <w:iCs w:val="1"/>
          <w:color w:val="auto"/>
        </w:rPr>
        <w:t>sûreté réelle</w:t>
      </w:r>
      <w:r>
        <w:rPr>
          <w:rFonts w:ascii="Times New Roman" w:cs="Times New Roman" w:eastAsia="Times New Roman" w:hAnsi="Times New Roman"/>
          <w:sz w:val="18"/>
          <w:szCs w:val="18"/>
          <w:color w:val="auto"/>
        </w:rPr>
        <w:t>) or agreement or arrangement having a similar effect and any transfer of title by way of security; (d) a person being unable to pay its debts includes that person being in a state of cessation of payments (</w:t>
      </w:r>
      <w:r>
        <w:rPr>
          <w:rFonts w:ascii="Times New Roman" w:cs="Times New Roman" w:eastAsia="Times New Roman" w:hAnsi="Times New Roman"/>
          <w:sz w:val="18"/>
          <w:szCs w:val="18"/>
          <w:i w:val="1"/>
          <w:iCs w:val="1"/>
          <w:color w:val="auto"/>
        </w:rPr>
        <w:t>cessation de paiements</w:t>
      </w:r>
      <w:r>
        <w:rPr>
          <w:rFonts w:ascii="Times New Roman" w:cs="Times New Roman" w:eastAsia="Times New Roman" w:hAnsi="Times New Roman"/>
          <w:sz w:val="18"/>
          <w:szCs w:val="18"/>
          <w:color w:val="auto"/>
        </w:rPr>
        <w:t>) and having lost or meeting the criteria to lose its commercial creditworthiness (</w:t>
      </w:r>
      <w:r>
        <w:rPr>
          <w:rFonts w:ascii="Times New Roman" w:cs="Times New Roman" w:eastAsia="Times New Roman" w:hAnsi="Times New Roman"/>
          <w:sz w:val="18"/>
          <w:szCs w:val="18"/>
          <w:i w:val="1"/>
          <w:iCs w:val="1"/>
          <w:u w:val="single" w:color="auto"/>
          <w:color w:val="auto"/>
        </w:rPr>
        <w:t>ébranlement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crédit</w:t>
      </w:r>
      <w:r>
        <w:rPr>
          <w:rFonts w:ascii="Times New Roman" w:cs="Times New Roman" w:eastAsia="Times New Roman" w:hAnsi="Times New Roman"/>
          <w:sz w:val="18"/>
          <w:szCs w:val="18"/>
          <w:color w:val="auto"/>
        </w:rPr>
        <w:t>); (e) attachments or similar 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conservatory attachment (</w:t>
      </w:r>
      <w:r>
        <w:rPr>
          <w:rFonts w:ascii="Times New Roman" w:cs="Times New Roman" w:eastAsia="Times New Roman" w:hAnsi="Times New Roman"/>
          <w:sz w:val="18"/>
          <w:szCs w:val="18"/>
          <w:i w:val="1"/>
          <w:iCs w:val="1"/>
          <w:color w:val="auto"/>
        </w:rPr>
        <w:t>saisie arrêt</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a “set-off” includes, for purposes of Luxembourg law, legal set-off.</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each Lender agrees to make Revolving Loans to the Borrowers in Agreed Currencies from time to time during the Availability Period in an aggregate principal amount that will not result (after giving effect to any application of proceeds of such Borrowing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in, subject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2.11(c)</w:t>
      </w:r>
      <w:r>
        <w:rPr>
          <w:rFonts w:ascii="Times New Roman" w:cs="Times New Roman" w:eastAsia="Times New Roman" w:hAnsi="Times New Roman"/>
          <w:sz w:val="18"/>
          <w:szCs w:val="18"/>
          <w:color w:val="auto"/>
        </w:rPr>
        <w:t>, (a) the Dollar Amount of such Lender’s Revolving Credit Exposure exceeding such Lender’s Commitment or (b) the Dollar Amount of the Total Revolving Credit Exposures exceeding the total Commitments. Within the foregoing limits and subject to the terms and conditions set forth herein, the Borrowers may borrow, prepay and reborrow Revolving Loans.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61"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7" w:name="page48"/>
    <w:bookmarkEnd w:id="47"/>
    <w:p>
      <w:pPr>
        <w:ind w:left="4" w:right="180" w:firstLine="987"/>
        <w:spacing w:after="0" w:line="255" w:lineRule="auto"/>
        <w:tabs>
          <w:tab w:leader="none" w:pos="1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Revolving Borrowing shall be comprised (i) in the case of Borrowings in U.S. Dollars, entirely of ABR Loans or Term Benchmark Loans, (ii) in the case of Borrowings in any other Agreed Currency, entirely of Term Benchmark Loans or RFR Loans or Canadian Prime Rate Loans, as applicable, in each case of the same Agreed Currency, as the Company may request in accordance herewith, provided that (x) ABR Loans shall be only available in U.S. Dollars and (y) Canadian Prime Rate Loans shall only be available in Canadian Dollars. Each Swingline Loan shall be an ABR Loan.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applicable Borrower to repay such Loan in accordance with the terms of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Revolving Borrowing, such Borrowing shall be in an aggregate amount that is (i) an integral multiple of (A) in the case of a Borrowing denominated in U.S. Dollars, $1,000,000, (B) in the case of a Borrowing denominated in Japanese Yen, ¥100,000,000, and (C) in the case of a Borrowing denominated in any other Foreign Currency, the smallest amount of such Foreign Currency that has a Dollar Amount in excess of $1,000,000, and (ii) not less than (A) in the case of a Borrowing denominated in U.S. Dollars, $1,000,000, (B) in the case of a Borrowing denominated in Japanese Yen, ¥100,000,000, and (C) in the case of a Borrowing denominated in any other Foreign Currency, the smallest amount of such Foreign Currency that has a Dollar Amount in excess of $1,000,000. At the time that each ABR Revolving Borrowing and/or RFR Borrowing is made, such Borrowing shall be in an aggregate Dollar Amount that is not less than $250,000;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Each Swingline Loan shall be in an amount that is not less than $250,000.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(10) Term Benchmark Revolving Borrowings or RFR Revolving Borrowings outstanding.</w:t>
      </w:r>
    </w:p>
    <w:p>
      <w:pPr>
        <w:spacing w:after="0" w:line="19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Requests for Revolving Borrowings</w:t>
      </w:r>
      <w:r>
        <w:rPr>
          <w:rFonts w:ascii="Times New Roman" w:cs="Times New Roman" w:eastAsia="Times New Roman" w:hAnsi="Times New Roman"/>
          <w:sz w:val="17"/>
          <w:szCs w:val="17"/>
          <w:color w:val="auto"/>
        </w:rPr>
        <w:t>. To request a Revolving Borrowing, the Company shall notify the Administrative Agent of such request by telecopy of a written Borrowing Request in a form approved by the Administrative Agent and signed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Borrowing Request is submitted through an Approved Borrower Portal, the foregoing signature requirement may be waived at the sole discretion of the Administrative Agent) (a) in the case of a Term Benchmark Borrowing denominated in U.S. Dollars, not later than 11:00 a.m., New York City time, three (3) U.S. Government Securities Business Days before the date of the proposed Borrowing, (b) in the case of a Term Benchmark Borrowing denominated in a Foreign Currency, not later than 11:00 a.m., New York City time, four (4) Business Days before the date of the proposed Borrowing,</w:t>
      </w:r>
    </w:p>
    <w:p>
      <w:pPr>
        <w:spacing w:after="0" w:line="5" w:lineRule="exact"/>
        <w:rPr>
          <w:sz w:val="20"/>
          <w:szCs w:val="20"/>
          <w:color w:val="auto"/>
        </w:rPr>
      </w:pPr>
    </w:p>
    <w:p>
      <w:pPr>
        <w:ind w:left="244" w:hanging="244"/>
        <w:spacing w:after="0"/>
        <w:tabs>
          <w:tab w:leader="none" w:pos="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RFR Borrowing denominated in Pounds Sterling, Swiss Francs, U.S. Dollars, Canadian Dollars or Singapore Dollars, not later than</w:t>
      </w:r>
    </w:p>
    <w:p>
      <w:pPr>
        <w:spacing w:after="0" w:line="9" w:lineRule="exact"/>
        <w:rPr>
          <w:rFonts w:ascii="Times New Roman" w:cs="Times New Roman" w:eastAsia="Times New Roman" w:hAnsi="Times New Roman"/>
          <w:sz w:val="18"/>
          <w:szCs w:val="18"/>
          <w:color w:val="auto"/>
        </w:rPr>
      </w:pPr>
    </w:p>
    <w:p>
      <w:pPr>
        <w:ind w:left="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11:00 a.m., New York City time, five (5) RFR Business Days before the date of the proposed Borrowing, (d) in the case of an ABR Borrowing not later than 11:00 a.m., New York City time, on the date of the proposed Borrowing and (e) in the case of a Canadian Prime Rate Borrowing, not later than 11:00 a.m., Local Time, on the date of the proposed Borrowing. Each such Borrowing Request shall be irrevocable and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requesting such Borrowing;</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aggregate amount of the requested Borrowing;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48" w:name="page49"/>
    <w:bookmarkEnd w:id="48"/>
    <w:p>
      <w:pPr>
        <w:ind w:left="1420" w:hanging="43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of such Borrowing, which shall be a Business Day;</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Term Benchmark Borrowing, a Canadian Prime Rate Borrowing or an RFR Borrowing, as applicable;</w:t>
      </w:r>
    </w:p>
    <w:p>
      <w:pPr>
        <w:spacing w:after="0" w:line="6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 and</w:t>
      </w:r>
    </w:p>
    <w:p>
      <w:pPr>
        <w:spacing w:after="0" w:line="67"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the applicable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no currency is specified with respect to any requested Term Benchmark Borrowing, then the requested Revolving Borrowing shall be denominated in U.S. Dollars. If no election as to the Type of Revolving Borrowing is specified, then, (A) in the case of a Borrowing denominated in U.S. Dollars, the requested Revolving Borrowing shall be an ABR Borrowing, (B) in the case of a Borrowing denominated in any Foreign Currency (other than Pounds Sterling or Swiss Francs), the requested Revolving Borrowing shall be a Term Benchmark Borrowing, and (C) in the case of a Borrowing denominated in Pounds Sterling or Swiss Francs, the requested Revolving Borrowing shall be an RFR Borrowing. If no Interest Period is specified with respect to any requested Term Benchmark Revolving Borrowing, then the Company shall be deemed to have selected an Interest Period of one (1)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no event shall any Borrower be permitted to request pursuant to this Section 2.03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Japanese Prime Rate, Daily Simple SOFR and Daily Simple CORRA shall only apply to the extent provided in Sections 2.08(e) (solely with respect to the Central Bank Rate and the Japanese Prime Rate), 2.14(a) and 2.14(f),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Determination of Dollar Amounts</w:t>
      </w:r>
      <w:r>
        <w:rPr>
          <w:rFonts w:ascii="Times New Roman" w:cs="Times New Roman" w:eastAsia="Times New Roman" w:hAnsi="Times New Roman"/>
          <w:sz w:val="18"/>
          <w:szCs w:val="18"/>
          <w:color w:val="auto"/>
        </w:rPr>
        <w:t>. The Administrative Agent will determine the Dollar Amount of:</w:t>
      </w:r>
    </w:p>
    <w:p>
      <w:pPr>
        <w:spacing w:after="0" w:line="225" w:lineRule="exact"/>
        <w:rPr>
          <w:sz w:val="20"/>
          <w:szCs w:val="20"/>
          <w:color w:val="auto"/>
        </w:rPr>
      </w:pPr>
    </w:p>
    <w:p>
      <w:pPr>
        <w:jc w:val="both"/>
        <w:ind w:right="140" w:firstLine="987"/>
        <w:spacing w:after="0" w:line="281"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Loan denominated in a Foreign Currency (other than a Canadian Prime Rate Borrowing),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164"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Canadian Prime Rate Borrowing, as of the date of such Borrowing;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Exposure as of the date of each request for the issuance, amendment, renewal or extension of any Letter of Credit; and</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Revolving Loans and the LC Exposure on and as of the last Business Day of each calendar quarter and, during the continuation of an Event of Default, on any other Business Day elected by the Administrative Agent in its discretion or upon instruction by the Required Lenders.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9" w:name="page50"/>
    <w:bookmarkEnd w:id="4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day upon or as of which the Administrative Agent determines Dollar Amounts as described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is herein described as a “</w:t>
      </w:r>
      <w:r>
        <w:rPr>
          <w:rFonts w:ascii="Times New Roman" w:cs="Times New Roman" w:eastAsia="Times New Roman" w:hAnsi="Times New Roman"/>
          <w:sz w:val="18"/>
          <w:szCs w:val="18"/>
          <w:b w:val="1"/>
          <w:bCs w:val="1"/>
          <w:i w:val="1"/>
          <w:iCs w:val="1"/>
          <w:color w:val="auto"/>
        </w:rPr>
        <w:t>Computation Date</w:t>
      </w:r>
      <w:r>
        <w:rPr>
          <w:rFonts w:ascii="Times New Roman" w:cs="Times New Roman" w:eastAsia="Times New Roman" w:hAnsi="Times New Roman"/>
          <w:sz w:val="18"/>
          <w:szCs w:val="18"/>
          <w:color w:val="auto"/>
        </w:rPr>
        <w:t>” with respect to each Borrowing, Letter of Credit or LC Exposure for which a Dollar Amount is determined on or as of such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each Swingline Lender may in its sole discretion (and without any obligation to do so) make Swingline Loans in U.S. Dollars to the Company from time to time during the Availability Period, in an aggregate principal amount at any time outstanding that will not result in (i) the aggregate principal amount of outstanding Swingline Loans made by such Swingline Lender exceeding such Swingline Lender’s Swingline Commitment, (ii) the Dollar Amount of such Swingline Lender’s Revolving Credit Exposure exceeding its Commitment (such Commitment to be calculated without giving effect to any assignment of any portion of the initial Swingline Lender’s original Commitment as of the Effective Date, unless such Swingline Lender also assigns a proportional amount of its Swingline Commitment to the assignee or to another Lender with a Commitment at least equal to the Commitment amount being assigned), or (iii) the Dollar Amount of the Total Revolving Credit Exposures exceeding the total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Swingline Lender shall not be required to make a Swingline Loan to refinance an outstanding Swingline Loan. Within the foregoing limits and subject to the terms and conditions set forth herein, the Company may borrow, prepay and reborrow Swingline Loans.</w:t>
      </w:r>
    </w:p>
    <w:p>
      <w:pPr>
        <w:spacing w:after="0" w:line="194"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request a Swingline Loan, the Company shall notify the Administrative Agent of such request by telecopy or electronic mail (or transmit by electronic communication including an Approved Borrower Portal, if arrangements for such transmission have been approved by the Administrative Agent) of a written request in a form approved by the Administrative Agent and signed by the Company, not later than 1:00 p.m., New York City time, on the day of a proposed Swingline Loan. Each such notice shall be irrevocable and shall specify the requested date (which shall be a Business Day) and amount of the requested Swingline Loan. The Administrative Agent will promptly advise the Swingline Lenders of any such notice received from the Company. Each Swingline Lender shall make its ratable portion of the requested Swingline Loan (such ratable portion to be calculated based upon such Swingline Lender’s Swingline Commitment in proportion to the total Swingline Commitments of all of the Swingline Lenders) available to the Company by means of a credit to an account of the Company with the Administrative Agent designated for such purpose (or,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by remittance to such Issuing Bank) by 3:00 p.m., New York City time, on the requested date of such Swingline Loan.</w:t>
      </w:r>
    </w:p>
    <w:p>
      <w:pPr>
        <w:spacing w:after="0" w:line="194"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in any event, if such notice is received by 12:00 Noon, New York City time, on a Business Day, then no later than 5:00 p.m., New York City time, on such Business Day, and if received after 12:00 Noon, New York City time, on a Business Day, then no later than 10:00 a.m., New York City Time, on the immediately succeeding Business Day), to pay to the Administrative Agent, for the account of such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such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such Swingline Lender. Any amounts received by a Swingline Lender from the Company (or other party on behalf of the Company)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provided that any such payment so remitted shall be repaid to such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w:t>
      </w:r>
    </w:p>
    <w:p>
      <w:pPr>
        <w:spacing w:after="0" w:line="193" w:lineRule="exact"/>
        <w:rPr>
          <w:sz w:val="20"/>
          <w:szCs w:val="20"/>
          <w:color w:val="auto"/>
        </w:rPr>
      </w:pPr>
    </w:p>
    <w:p>
      <w:pPr>
        <w:ind w:right="20" w:firstLine="987"/>
        <w:spacing w:after="0" w:line="254"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Swingline Lender may be replaced at any time by written agreement among the Company, the Administrative Agent, the replaced Swingline Lender and the successor Swingline Lender. The Administrative Agent shall notify the Lenders of any such replacement of a Swingline Lender. At the time any such replacement shall become effective, the Company shall pay all unpaid interest accrued for the account of the replaced Swingline Lender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8"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prior appointment and acceptance of a successor Swingline Lender, any Swingline Lender may resign as a Swingline Lender at any time upon thirty days’ prior written notice to the Administrative Agent, the Company and the Lenders, in which case, such Swingline Lender shall be replaced in accordance with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the Company may request the issuance of Letters of Credit denominated in Agreed Currencies as the applicant thereof for the support of its or its Subsidiaries’ obligations, in a form reasonably acceptable to the Administrative Agent and the Issuing Bank, at any time and from time to time during the Availability Period. In the event of any conflict between the terms and conditions of this Agreement and the terms and conditions of any form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1" w:name="page52"/>
    <w:bookmarkEnd w:id="51"/>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application or other agreement submitted by the Company to, or entered into by the Company with, the Issuing Bank relating to any Letter of Credit, the terms and conditions of this Agreement shall control. Notwithstanding anything herein to the contrary, the Issuing Bank shall have no obligation hereunder to issue, amend or extend and shall not issue, amend or extend any Letter of Credit the proceeds of which would be made available to any Person (i) to fund any activity or business of or with any Sanctioned Person, or in any country or territory that, at the time of such funding, is the subject of any Sanctions so as to result in a violation of any Sanctions or (ii) in any other manner that would result in a violation of any Sanctions by any party to this Agreement. The letters of credit identified on Schedule 2.06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shall be deemed to be “Letters of Credit” issued on the Effective Date for all purposes of the Loan Documents.</w:t>
      </w:r>
    </w:p>
    <w:p>
      <w:pPr>
        <w:spacing w:after="0" w:line="189" w:lineRule="exact"/>
        <w:rPr>
          <w:sz w:val="20"/>
          <w:szCs w:val="20"/>
          <w:color w:val="auto"/>
        </w:rPr>
      </w:pPr>
    </w:p>
    <w:p>
      <w:pPr>
        <w:ind w:firstLine="987"/>
        <w:spacing w:after="0" w:line="252"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the Company shall hand deliver or telecopy (or transmit by electronic communication, including an Approved Borrower Portal, if arrangements for doing so have been approved by the Issuing Bank) to the Issuing Bank and the Administrative Agent (no less than three (3) Business Days in advance of the requested date of issuance, amendment, renewal or extension, or such later date and time as the Administrative Agent and the Issuing Bank may agree in a particular instance in their sole discretion)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amount of such Letter of Credit, the Agreed Currency applicable thereto, the name and address of the beneficiary thereof and such other information as shall be necessary to prepare, amend, renew or extend such Letter of Credit. If requested by the Issuing Bank, the Company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subject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2.11(c)</w:t>
      </w:r>
      <w:r>
        <w:rPr>
          <w:rFonts w:ascii="Times New Roman" w:cs="Times New Roman" w:eastAsia="Times New Roman" w:hAnsi="Times New Roman"/>
          <w:sz w:val="18"/>
          <w:szCs w:val="18"/>
          <w:color w:val="auto"/>
        </w:rPr>
        <w:t xml:space="preserve">, (i) (x) the aggregate undrawn amount of all outstanding Letters of Credit issued by the Issuing Bank at such time plus (y) the aggregate amount of all LC Disbursements made by the Issuing Bank that have not yet been reimbursed by or on behalf of the Borrower at such time shall not exceed its Letter of Credit Commitment, (ii) the sum of the Dollar Amount of the Revolving Credit Exposure of each Lender shall not exceed such Lender’s Commitment, and (iii) the Dollar Amount of the Total Revolving Credit Exposures shall not exceed the total Commitments. The Company may, at any time and from time to time, reduce the Letter of Credit Commitment of any Issuing Bank with the consent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reduce the Letter of Credit Commitment of any Issuing Bank if, after giving effect of such reduction, the conditions set forth in clauses (i) through (iii) above shall not be satisfied.</w:t>
      </w:r>
    </w:p>
    <w:p>
      <w:pPr>
        <w:spacing w:after="0" w:line="191"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No Issuing Bank shall be under any obligation to issue, amend or extend any Letter of Credit if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w:t>
      </w:r>
    </w:p>
    <w:p>
      <w:pPr>
        <w:spacing w:after="0" w:line="183" w:lineRule="exact"/>
        <w:rPr>
          <w:sz w:val="20"/>
          <w:szCs w:val="20"/>
          <w:color w:val="auto"/>
        </w:rPr>
      </w:pPr>
    </w:p>
    <w:p>
      <w:pPr>
        <w:ind w:right="100" w:firstLine="987"/>
        <w:spacing w:after="0" w:line="261"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(or be subject to termination by notice from the Issuing Bank to the beneficiary thereof) at or prior to the close of business on the earlier of (i) the date one (1) year after the date of the issuance of such Letter of Credit (or, in the case of any renewal or extension thereof, one (1) year after such renewal or extension) and (ii) the date that is five (5) Business Days prior to the Maturity Date (unless such Letter of Credit is cash collateralized at the time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2" w:name="page53"/>
    <w:bookmarkEnd w:id="52"/>
    <w:p>
      <w:pPr>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issuance or extension in a manner satisfactory to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contain customary automatic renewal provisions agreed upon by the Company and the Issuing Bank pursuant to which the expiration date of such Letter of Credit shall be automatically extended for a period of up to 12 months (but not to a date later than the date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(unless such Letter of Credit is cash collateralized at the time of issuance or extension in a manner satisfactory to the Issuing Bank)).</w:t>
      </w:r>
    </w:p>
    <w:p>
      <w:pPr>
        <w:spacing w:after="0" w:line="180" w:lineRule="exact"/>
        <w:rPr>
          <w:sz w:val="20"/>
          <w:szCs w:val="20"/>
          <w:color w:val="auto"/>
        </w:rPr>
      </w:pPr>
    </w:p>
    <w:p>
      <w:pPr>
        <w:ind w:firstLine="987"/>
        <w:spacing w:after="0" w:line="253"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or extending the term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Company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or of any reimbursement payment required to be refunded to the Company for any reason. Each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1" w:lineRule="exact"/>
        <w:rPr>
          <w:rFonts w:ascii="Times New Roman" w:cs="Times New Roman" w:eastAsia="Times New Roman" w:hAnsi="Times New Roman"/>
          <w:sz w:val="18"/>
          <w:szCs w:val="18"/>
          <w:color w:val="auto"/>
        </w:rPr>
      </w:pPr>
    </w:p>
    <w:p>
      <w:pPr>
        <w:ind w:right="20" w:firstLine="987"/>
        <w:spacing w:after="0" w:line="251"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the Issuing Bank shall make any LC Disbursement in respect of a Letter of Credit, the Company shall reimburse such LC Disbursement by paying to the Administrative Agent in an amount equal to such LC Disbursement not later than 1:00 p.m., Local Time, on the date that such LC Disbursement is made, if the Company shall have received notice of such LC Disbursement prior to 10:00 a.m., Local Time, on such date, or, if such notice has not been received by the Company prior to such time on such date, then not later than 1:00 p.m., Local Time, on the Business Day immediately following the day that the Company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a Dollar Amount of $100,000, the Company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that such payment be financed with an ABR Revolving Borrowing or Swingline Loan in the Dollar Amount of such LC Disbursement and, to the extent so financed, the Company’s obligation to make such payment shall be discharged and replaced by the resulting ABR Revolving Borrowing or Swingline Loan.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Issuing Bank the amounts so received by it from the Lenders. Promptly following receipt by the Administrative Agent of any payment from the Company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a Credit Party to any stamp duty, ad valorem charge or similar tax that would not be payable if such reimbursement were made or required to be made in U.S. Dollars, the Company shall, at its option, either (x) pay the amount of any such tax requested by such Credit Party or (y) reimburse each LC Disbursement made in such Foreign Currency in U.S. Dollars, in an amount equal to the Dollar Amount, calculated using the applicable exchange rates, on the date such LC Disbursement is made, of such LC Disbursement.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3" w:name="page54"/>
    <w:bookmarkEnd w:id="53"/>
    <w:p>
      <w:pPr>
        <w:ind w:left="4" w:right="40" w:firstLine="987"/>
        <w:spacing w:after="0" w:line="272" w:lineRule="auto"/>
        <w:tabs>
          <w:tab w:leader="none" w:pos="12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Absolute</w:t>
      </w:r>
      <w:r>
        <w:rPr>
          <w:rFonts w:ascii="Times New Roman" w:cs="Times New Roman" w:eastAsia="Times New Roman" w:hAnsi="Times New Roman"/>
          <w:sz w:val="17"/>
          <w:szCs w:val="17"/>
          <w:color w:val="auto"/>
        </w:rPr>
        <w:t xml:space="preserve">. The Company’s obligation to reimburse LC Disbursements as provided in </w:t>
      </w:r>
      <w:r>
        <w:rPr>
          <w:rFonts w:ascii="Times New Roman" w:cs="Times New Roman" w:eastAsia="Times New Roman" w:hAnsi="Times New Roman"/>
          <w:sz w:val="17"/>
          <w:szCs w:val="17"/>
          <w:u w:val="single" w:color="auto"/>
          <w:color w:val="auto"/>
        </w:rPr>
        <w:t>paragraph (e)</w:t>
      </w:r>
      <w:r>
        <w:rPr>
          <w:rFonts w:ascii="Times New Roman" w:cs="Times New Roman" w:eastAsia="Times New Roman" w:hAnsi="Times New Roman"/>
          <w:sz w:val="17"/>
          <w:szCs w:val="17"/>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Credit Parties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8"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shall, within the time allowed by applicable law or the specific terms of the Letter of Credit following its receipt thereof, examine all documents purporting to represent a demand for payment under a Letter of Credit. The Issuing Bank shall promptly notify the Administrative Agent and the Company by telephone (confirmed by telecopy) of such demand for payment and whether the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need not be given prior to payment by the Issuing Bank and any failure to give or delay in giving such notice shall not relieve the Company of its obligation to reimburse the Issuing Bank and the Lenders with respect to any such LC Disbursement.</w:t>
      </w:r>
    </w:p>
    <w:p>
      <w:pPr>
        <w:spacing w:after="0" w:line="18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If the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per annum then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54" w:name="page55"/>
    <w:bookmarkEnd w:id="54"/>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ABR Revolving Loans (or, if such LC Disbursement is denominated in a Foreign Currency, at the Overnight Rate for such Foreign Currency plus the then effective Applicable Rate with respect to Term Benchmark Revolving Loans), and such interest shall be due and payable on the date when such reimbursement is payable;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Company fails to reimburse such LC Disbursement when due pursuant to </w:t>
      </w:r>
      <w:r>
        <w:rPr>
          <w:rFonts w:ascii="Times New Roman" w:cs="Times New Roman" w:eastAsia="Times New Roman" w:hAnsi="Times New Roman"/>
          <w:sz w:val="17"/>
          <w:szCs w:val="17"/>
          <w:u w:val="single" w:color="auto"/>
          <w:color w:val="auto"/>
        </w:rPr>
        <w:t>paragraph</w:t>
      </w:r>
    </w:p>
    <w:p>
      <w:pPr>
        <w:spacing w:after="0" w:line="2" w:lineRule="exact"/>
        <w:rPr>
          <w:sz w:val="20"/>
          <w:szCs w:val="20"/>
          <w:color w:val="auto"/>
        </w:rPr>
      </w:pPr>
    </w:p>
    <w:p>
      <w:pPr>
        <w:jc w:val="both"/>
        <w:ind w:left="4" w:right="140" w:hanging="4"/>
        <w:spacing w:after="0" w:line="255" w:lineRule="auto"/>
        <w:tabs>
          <w:tab w:leader="none" w:pos="249"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Section, then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shall apply. Interest accrued pursuant to this paragraph shall be for the account of the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to reimburse the Issuing Bank shall be for the account of such Lender to the extent of such payment.</w:t>
      </w:r>
    </w:p>
    <w:p>
      <w:pPr>
        <w:spacing w:after="0" w:line="185" w:lineRule="exact"/>
        <w:rPr>
          <w:rFonts w:ascii="Times New Roman" w:cs="Times New Roman" w:eastAsia="Times New Roman" w:hAnsi="Times New Roman"/>
          <w:sz w:val="18"/>
          <w:szCs w:val="18"/>
          <w:u w:val="single" w:color="auto"/>
          <w:color w:val="auto"/>
        </w:rPr>
      </w:pPr>
    </w:p>
    <w:p>
      <w:pPr>
        <w:ind w:left="4" w:right="280" w:firstLine="987"/>
        <w:spacing w:after="0" w:line="269" w:lineRule="auto"/>
        <w:tabs>
          <w:tab w:leader="none" w:pos="121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the Issuing Bank</w:t>
      </w:r>
      <w:r>
        <w:rPr>
          <w:rFonts w:ascii="Times New Roman" w:cs="Times New Roman" w:eastAsia="Times New Roman" w:hAnsi="Times New Roman"/>
          <w:sz w:val="17"/>
          <w:szCs w:val="17"/>
          <w:color w:val="auto"/>
        </w:rPr>
        <w:t xml:space="preserve">. The Issuing Bank may be replaced at any time by written agreement among the Company, the Administrative Agent, the replaced Issuing Bank and the successor Issuing Bank. The Administrative Agent shall notify the Lenders of any such replacement of the Issuing Bank. At the time any such replacement shall become effective, the Company shall pay all unpaid fees accrued for the account of the replaced Issuing Bank pursuant to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From and after the effective date of any such replacement, (i) the successor Issuing Bank shall have all the rights and obligations of the Issuing Bank under this Agreement with respect to Letters of Credit to be issued thereafter and</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Subject to the prior appointment and acceptance of a successor Issuing Bank, any Issuing Bank may resign as an Issuing Bank at any time upon 30 days’ prior written notice to the Administrative Agent, the Company and the Lenders, in which case, such Issuing Bank shall be replaced in accordance with this Section 2.06(i).</w:t>
      </w:r>
    </w:p>
    <w:p>
      <w:pPr>
        <w:spacing w:after="0" w:line="190" w:lineRule="exact"/>
        <w:rPr>
          <w:sz w:val="20"/>
          <w:szCs w:val="20"/>
          <w:color w:val="auto"/>
        </w:rPr>
      </w:pPr>
    </w:p>
    <w:p>
      <w:pPr>
        <w:ind w:left="4" w:firstLine="987"/>
        <w:spacing w:after="0" w:line="252" w:lineRule="auto"/>
        <w:tabs>
          <w:tab w:leader="none" w:pos="12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Company receives notice from the Administrative Agent at the written request of the Required Lenders (or, if the maturity of the Loans has been accelerated, Lenders with LC Exposure representing greater than fifty percent (50%) of the total LC Exposure) demanding the deposit of cash collateral pursuant to this paragraph, the Company shall deposit in an account with the Administrative Agent, in the name of the Administrative Agent and for the benefit of the Issuing Bank and the Lenders, an amount in cash equal to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Such deposit shall be held by the Administrative Agent as collateral for the payment and performance of the Obligations. The Administrative Agent shall have exclusive dominion and control, including the exclusive right of withdrawal, over such account, and the Borrowers hereby grant to the Administrative Agent, for the benefit of the Issuing Bank and the Lenders, a security interest in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fifty percent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987"/>
        <w:spacing w:after="0" w:line="253" w:lineRule="auto"/>
        <w:tabs>
          <w:tab w:leader="none" w:pos="11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(i) in the case of Loans denominated in U.S. Dollars, by 12:00 noon, New York City time, to the account of the Administrative Agent most recently designated by it for such purpose by notice to the Lenders, and (ii) in the case of Loans denominated in a Foreign Currency, by 12:00 noon, Local Time, in the city of the Administrative Agent’s Foreign Currency Payment Office for such Foreign Currency and at such Foreign Currency Payment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Administrative Agent will make such Loans available to the applicable Borrower by promptly crediting the amounts so received, in like funds, to (x) in the case of Loans denominated in U.S. Dollars, an account of such Borrower maintained with the Administrative Agent in New York City and designated by the Company in the applicable Borrowing Request, and (y) in the case of Loans denominated in a Foreign Currency, an account of such Borrower in the relevant jurisdiction and designated by the Company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Issuing Bank.</w:t>
      </w:r>
    </w:p>
    <w:p>
      <w:pPr>
        <w:spacing w:after="0" w:line="194" w:lineRule="exact"/>
        <w:rPr>
          <w:rFonts w:ascii="Times New Roman" w:cs="Times New Roman" w:eastAsia="Times New Roman" w:hAnsi="Times New Roman"/>
          <w:sz w:val="18"/>
          <w:szCs w:val="18"/>
          <w:color w:val="auto"/>
        </w:rPr>
      </w:pPr>
    </w:p>
    <w:p>
      <w:pPr>
        <w:ind w:left="-40" w:right="20" w:firstLine="987"/>
        <w:spacing w:after="0" w:line="253"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relevant market practice, in each case, as applicable. If such Lender pays such amount to the Administrative Agent, then such amount shall constitute such Lender’s Loan included in such Borrowing.</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0" w:firstLine="987"/>
        <w:spacing w:after="0" w:line="255" w:lineRule="auto"/>
        <w:tabs>
          <w:tab w:leader="none" w:pos="11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Borrowing initially shall be of the Type and Agreed Currency specified in the applicable Borrowing Request and, in the case of a Term Benchmark Revolving Borrowing, shall have an initial Interest Period as specified in such Borrowing Request. Thereafter, the Company may elect to convert such Borrowing to a different Type or to continue such Borrowing and, in the case of a Term Benchmark Revolving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8" w:lineRule="exact"/>
        <w:rPr>
          <w:rFonts w:ascii="Times New Roman" w:cs="Times New Roman" w:eastAsia="Times New Roman" w:hAnsi="Times New Roman"/>
          <w:sz w:val="18"/>
          <w:szCs w:val="18"/>
          <w:color w:val="auto"/>
        </w:rPr>
      </w:pPr>
    </w:p>
    <w:p>
      <w:pPr>
        <w:ind w:left="-40" w:right="180" w:firstLine="987"/>
        <w:spacing w:after="0" w:line="261" w:lineRule="auto"/>
        <w:tabs>
          <w:tab w:leader="none" w:pos="12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Company shall notify the Administrative Agent of such election by telecopy of a written Interest Election Request in a form approved by the Administrative Agent and signed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Election Request is submitted through an Approved Borrower Portal, the foregoing signature requirement may be waived at the sole discretion of the Administrative Agent) by the time that a Borrowing Request would be required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80" w:top="270" w:right="479" w:bottom="1440" w:gutter="0" w:footer="0" w:header="0"/>
        </w:sectPr>
      </w:pPr>
    </w:p>
    <w:bookmarkStart w:id="56" w:name="page57"/>
    <w:bookmarkEnd w:id="56"/>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Company were requesting a Revolving Borrowing of the Type resulting from such election to be made on the effective date of such election. Notwithstanding any other provision of this Section, the Company shall not be permitted to (i) change the currency of any Borrowing,</w:t>
      </w:r>
    </w:p>
    <w:p>
      <w:pPr>
        <w:ind w:left="4" w:right="240" w:hanging="4"/>
        <w:spacing w:after="0" w:line="260"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 an Interest Period for Term Benchmark Loans that does not comply with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or (iii) convert any Borrowing to a Borrowing of a Type not available to the applicable Borrower for such Borrowing when it was made.</w:t>
      </w:r>
    </w:p>
    <w:p>
      <w:pPr>
        <w:spacing w:after="0" w:line="18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(c) Each written Interest Election Request shall be irrevocable and shall specify the following information in compliance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424" w:right="60" w:hanging="439"/>
        <w:spacing w:after="0" w:line="261" w:lineRule="auto"/>
        <w:tabs>
          <w:tab w:leader="none" w:pos="1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30"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a Term Benchmark Borrowing, a Canadian Prime Rate Borrowing or an RFR Borrowing, as applicable; and</w:t>
      </w:r>
    </w:p>
    <w:p>
      <w:pPr>
        <w:spacing w:after="0" w:line="67" w:lineRule="exact"/>
        <w:rPr>
          <w:rFonts w:ascii="Times New Roman" w:cs="Times New Roman" w:eastAsia="Times New Roman" w:hAnsi="Times New Roman"/>
          <w:sz w:val="18"/>
          <w:szCs w:val="18"/>
          <w:color w:val="auto"/>
        </w:rPr>
      </w:pPr>
    </w:p>
    <w:p>
      <w:pPr>
        <w:ind w:left="1424" w:right="220" w:hanging="439"/>
        <w:spacing w:after="0" w:line="282" w:lineRule="auto"/>
        <w:tabs>
          <w:tab w:leader="none" w:pos="1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Company shall be deemed to have selected an Interest Period of one (1) month’s duration.</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no event shall any Borrower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Japanese Prime Rate, Daily Simple SOFR and Daily Simple CORRA shall only apply to the extent provided in Sections 2.08(e) (solely with respect to the Central Bank Rate and the Japanese Prime Rate), 2.14(a) and 2.14(f), as applicable).</w:t>
      </w:r>
    </w:p>
    <w:p>
      <w:pPr>
        <w:spacing w:after="0" w:line="183" w:lineRule="exact"/>
        <w:rPr>
          <w:sz w:val="20"/>
          <w:szCs w:val="20"/>
          <w:color w:val="auto"/>
        </w:rPr>
      </w:pPr>
    </w:p>
    <w:p>
      <w:pPr>
        <w:ind w:left="4" w:right="220" w:firstLine="987"/>
        <w:spacing w:after="0" w:line="282" w:lineRule="auto"/>
        <w:tabs>
          <w:tab w:leader="none" w:pos="1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deliver a timely Interest Election Request with respect to a Term Benchmark Borrowing denominated in U.S. Dollars prior to the end of the Interest Period applicable thereto, then, unless such Borrowing is repaid as provided herein, at the end of such Interest Period such Borrowing shall be deemed to have an Interest Period that is one (1) month. If the Company fails to deliver a timely and complete Interest Election Request with respect to a Term Benchmark Borrowing denominated in a Foreign Currency prior to the end of the Interest Period therefor, then, unless such Term Benchmark Borrowing is repaid as provided herein, the Company shall be deemed to have selected that such Term Benchmark Borrowing shall automatically be continued as a Term Benchmark Borrowing in its original</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4"/>
          </w:cols>
          <w:pgMar w:left="436" w:top="270" w:right="51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or an RFR Borrowing and (ii) unless repaid, (w)(A) each Term Benchmark Borrowing denominated in U.S. Dollars shall be converted to an ABR Borrowing at the end of the Interest Period applicable thereto and (B) each RFR Borrowing denominated in U.S. Dollars shall be converted to an ABR Borrowing on the last day of the calendar month, (x) each Term Benchmark Borrowing denominated in Japanese Yen shall be converted to a Loan that bears interest at the Japanese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at the end of the Interest Period applicable thereto, (y) each Term Benchmark Borrowing denominated in Canadian Dollars shall be converted to a Loan that bears interest at the Canadian Prime Rate plus the Applicable Rate at the end of the Interest Period applicable thereto and (z) each Term Benchmark Borrowing and each RFR Borrowing, in each case denominated in a Foreign Currency other than Japanese Yen or Canadian Dollars, shall bear interest at the Central Bank Rate for the applicable Agreed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Agreed Currency (or in the case of (1) Japanese Yen, the Japanese Prime Rate or (2) Canadian Dollars, the Canadian Prime Rate) cannot be determined, any outstanding affected Term Benchmark Loans or RFR Loans denominated in any Foreign Currency shall either be (A) converted to an ABR Borrowing denominated in U.S. Dollars (in an amount equal to the Dollar Amount of such Foreign Currency) at the end of the Interest Period or on the Interest Payment Date, as applicable, therefor or (B) prepaid at the end of the applicable Interest Period or on the Interest Payment Date, as applicable,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applicable Borrower by the earlier of (x) the date that is three (3) Business Days after receipt by the Company of such notice and (y) the last day of the current Interest Period for the applicable Term Benchmark Loan, such Borrower shall be deemed to have elected clause (A) above.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Commitments shall terminate on the Maturity Date.</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at any time terminate, or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shall be in an amount that is an integral multiple of $1,000,000 and not less than $1,000,000 and (ii) the Borrowers shall not terminate or reduce the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 any Lender’s Revolving Credit Exposure would exceed its Commitment or (B) the Dollar Amount of the Total Revolving Credit Exposures would exceed the total Commitments.</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40" w:top="270" w:right="499" w:bottom="1440" w:gutter="0" w:footer="0" w:header="0"/>
        </w:sectPr>
      </w:pPr>
    </w:p>
    <w:bookmarkStart w:id="58" w:name="page59"/>
    <w:bookmarkEnd w:id="5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36"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Borrower hereby unconditionally promises to pay to the Administrative Agent for the account of each Lender the then unpaid principal amount of each Revolving Loan made to such Borrower on the Maturity Date in the currency of such Loan and (ii) the Company hereby unconditionally promises to pay to the Administrative Agent for the account of the Swingline Lenders the then unpaid principal amount of each Swingline Loan on the earlier of the Maturity Date and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to the Company, the Company shall repay all Swingline Loans then outstanding, and the proceeds of any such Borrowing shall be applied by the Administrative Agent to repay any Swingline Loans outstanding.</w:t>
      </w:r>
    </w:p>
    <w:p>
      <w:pPr>
        <w:spacing w:after="0" w:line="92"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each Borrower to such Lender resulting from each Loan made to such Borrower by such Lender, including the amounts of principal and interest payable and paid to such Lender from time to time hereunder.</w:t>
      </w:r>
    </w:p>
    <w:p>
      <w:pPr>
        <w:spacing w:after="0" w:line="67"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71" w:lineRule="exact"/>
        <w:rPr>
          <w:rFonts w:ascii="Times New Roman" w:cs="Times New Roman" w:eastAsia="Times New Roman" w:hAnsi="Times New Roman"/>
          <w:sz w:val="18"/>
          <w:szCs w:val="18"/>
          <w:color w:val="auto"/>
        </w:rPr>
      </w:pPr>
    </w:p>
    <w:p>
      <w:pPr>
        <w:jc w:val="both"/>
        <w:ind w:left="4" w:right="260" w:firstLine="987"/>
        <w:spacing w:after="0" w:line="261" w:lineRule="auto"/>
        <w:tabs>
          <w:tab w:leader="none" w:pos="12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10.04(b)(iv)</w:t>
      </w:r>
      <w:r>
        <w:rPr>
          <w:rFonts w:ascii="Times New Roman" w:cs="Times New Roman" w:eastAsia="Times New Roman" w:hAnsi="Times New Roman"/>
          <w:sz w:val="18"/>
          <w:szCs w:val="18"/>
          <w:color w:val="auto"/>
        </w:rPr>
        <w:t xml:space="preserve">, the entries made in the accounts maintained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each Borrower to repay the Loans made to such Borrower in accordance with the terms of this Agreement.</w:t>
      </w:r>
    </w:p>
    <w:p>
      <w:pPr>
        <w:spacing w:after="0" w:line="71"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be represented by one or more promissory notes in such form payable to the payee named therein and its registered assigns.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76" w:lineRule="auto"/>
        <w:tabs>
          <w:tab w:leader="none" w:pos="12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Borrowers shall have the right at any time and from time to time to prepay any Borrowing in whole or in part, subject to prior notice in accordance with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of this Section;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prepayment shall be in an aggregate amount that is (i) an integral multiple of</w:t>
      </w:r>
    </w:p>
    <w:p>
      <w:pPr>
        <w:ind w:left="4" w:right="40" w:hanging="4"/>
        <w:spacing w:after="0" w:line="251" w:lineRule="auto"/>
        <w:tabs>
          <w:tab w:leader="none" w:pos="2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ABR Revolving Borrowing, $100,000, (B) in the case of a Term Benchmark Revolving Borrowing denominated in U.S. Dollars, $1,000,000, (C) in the case of a Term Benchmark Revolving Borrowing denominated in Japanese Yen, ¥100,000,000, and (D) in the case of a Term Benchmark Revolving Borrowing denominated in any other Foreign Currency or a Canadian Prime Rate Revolving Borrowing, the smallest amount of such Foreign Currency that has a Dollar Amount in excess of $1,000,000, and (ii) not less than (A) in the case of a Swingline Borrowing, $100,000, (B) in the case of an ABR Revolving Borrowing, $1,000,000, (C) in the case of a Term Benchmark Revolving Borrowing denominated in U.S. Dollars, $1,000,000, (D) in the case of a Term Benchmark Revolving Borrowing denominated in Japanese Yen, ¥100,000,000, and (E) in the case of a Term Benchmark Revolving Borrowing denominated in any other Foreign Currency, or a Canadian Prime Rate Revolving Borrowing, the smallest amount of such Foreign Currency that has a Dollar Amount in excess of $1,000,000.</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4"/>
          </w:cols>
          <w:pgMar w:left="436" w:top="270" w:right="499" w:bottom="1440" w:gutter="0" w:footer="0" w:header="0"/>
        </w:sectPr>
      </w:pPr>
    </w:p>
    <w:bookmarkStart w:id="59" w:name="page60"/>
    <w:bookmarkEnd w:id="59"/>
    <w:p>
      <w:pPr>
        <w:ind w:left="-40" w:right="40" w:firstLine="987"/>
        <w:spacing w:after="0" w:line="252" w:lineRule="auto"/>
        <w:tabs>
          <w:tab w:leader="none" w:pos="12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on behalf of the applicable Borrower, shall notify the Administrative Agent (and, in the case of prepayment of Swingline Loans, the Company shall notify the Swingline Lenders) by telecopy or electronic communication, including an Approved Borrower Portal (if arrangements for doing so have been approved by the Administrative Agent and, if relevant, the respective Swingline Lenders) of any prepayment hereunder (i) in the case of prepayment of a Term Benchmark Revolving Borrowing denominated in U.S. Dollars, not later than 11:00 a.m., New York City time, three (3) Business Days before the date of prepayment, (ii) in the case of prepayment of a Term Benchmark Revolving Borrowing denominated in a Foreign Currency or a Canadian Prime Rate Revolving Borrowing, not later than 11:00 a.m., Local Time, four (4) Business Days before the date of prepayment, (iii) in the case of prepayment of an RFR Borrowing denominated in Pounds Sterling, U.S. Dollars, Canadian Dollars or Swiss Francs, not later than 11:00 a.m., Local Time, five (5) Business Days before the date of prepayment, (iv) in the case of prepayment of an ABR Revolving Borrowing, not later than 11:00 a.m., New York City time, on the date of prepayment or (v)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Revolving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break funding payments to the extent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0" w:firstLine="987"/>
        <w:spacing w:after="0" w:line="273" w:lineRule="auto"/>
        <w:tabs>
          <w:tab w:leader="none" w:pos="119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(i) other than as a result of fluctuations in currency exchange rates, the sum of the aggregate principal Dollar Amount of the Total Revolving Credit Exposures (calculated, with respect to Revolving Loans and LC Exposure denominated in Foreign Currencies, as of the most recent Computation Date with respect to each such Revolving Loans and LC Exposure) exceeds the total Commitments or (ii) solely as a result of fluctuations in currency exchange rates, the aggregate principal Dollar Amount of the Total Revolving Credit Exposures (so calculated), as of the most recent Computation Date, exceeds one hundred five percent (105%) of the total Commitments, the Borrowers shall, in each case, immediately repay Borrowings or cash collateralize LC Exposure in accordance with the procedures set forth in </w:t>
      </w:r>
      <w:r>
        <w:rPr>
          <w:rFonts w:ascii="Times New Roman" w:cs="Times New Roman" w:eastAsia="Times New Roman" w:hAnsi="Times New Roman"/>
          <w:sz w:val="17"/>
          <w:szCs w:val="17"/>
          <w:u w:val="single" w:color="auto"/>
          <w:color w:val="auto"/>
        </w:rPr>
        <w:t>Section 2.06(j)</w:t>
      </w:r>
      <w:r>
        <w:rPr>
          <w:rFonts w:ascii="Times New Roman" w:cs="Times New Roman" w:eastAsia="Times New Roman" w:hAnsi="Times New Roman"/>
          <w:sz w:val="17"/>
          <w:szCs w:val="17"/>
          <w:color w:val="auto"/>
        </w:rPr>
        <w:t>, as applicable, in an aggregate principal amount sufficient to cause the Dollar Amount of the Total Revolving Credit Exposures (so calculated) to be less than or equal to the total Commitments.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60" w:firstLine="987"/>
        <w:spacing w:after="0" w:line="255" w:lineRule="auto"/>
        <w:tabs>
          <w:tab w:leader="none" w:pos="11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Facility fees accrued through and including the last day of March, June, September and December of each year shall be payable in arrears on the fifteenth (15th) day following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480" w:top="270" w:right="499" w:bottom="1440" w:gutter="0" w:footer="0" w:header="0"/>
        </w:sectPr>
      </w:pPr>
    </w:p>
    <w:bookmarkStart w:id="60" w:name="page61"/>
    <w:bookmarkEnd w:id="60"/>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last day and on the date on which the Commitments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facility fees accruing after the date on which the Commitments terminate shall be payable on demand. All facility fees shall be computed on the basis of a year of three hundred sixty (360) days and shall be payable for the actual number of days elapsed (including the first day and the last day of each period but excluding the date on which the Commitments terminate).</w:t>
      </w:r>
    </w:p>
    <w:p>
      <w:pPr>
        <w:spacing w:after="0" w:line="72" w:lineRule="exact"/>
        <w:rPr>
          <w:sz w:val="20"/>
          <w:szCs w:val="20"/>
          <w:color w:val="auto"/>
        </w:rPr>
      </w:pPr>
    </w:p>
    <w:p>
      <w:pPr>
        <w:ind w:firstLine="987"/>
        <w:spacing w:after="0" w:line="25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pay (i) to the Administrative Agent for the account of each Lender a participation fee with respect to its participations in Letters of Credit, which shall accrue at the same Applicable Rate used to determine the interest rate applicable to Term Benchmark Revolving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Issuing Bank a fronting fee, which shall accrue at the rate or rates per annum separately agreed upon between the Company and the Issuing Bank on the average daily Dollar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fifteenth (15th) day following such last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three hundred sixty (360) days and shall be payable for the actual number of days elapsed (including the first day but excluding the last day).</w:t>
      </w:r>
    </w:p>
    <w:p>
      <w:pPr>
        <w:spacing w:after="0" w:line="89" w:lineRule="exact"/>
        <w:rPr>
          <w:rFonts w:ascii="Times New Roman" w:cs="Times New Roman" w:eastAsia="Times New Roman" w:hAnsi="Times New Roman"/>
          <w:sz w:val="18"/>
          <w:szCs w:val="18"/>
          <w:color w:val="auto"/>
        </w:rPr>
      </w:pPr>
    </w:p>
    <w:p>
      <w:pPr>
        <w:ind w:right="100" w:firstLine="987"/>
        <w:spacing w:after="0" w:line="312"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pay to the Administrative Agent and the Arrangers, for their own respective accounts, fees payable in the amounts and at the times separately agreed upon between the Company, on the one hand, and the Administrative Agent or either Arranger, on the other.</w:t>
      </w:r>
    </w:p>
    <w:p>
      <w:pPr>
        <w:spacing w:after="0" w:line="31" w:lineRule="exact"/>
        <w:rPr>
          <w:rFonts w:ascii="Times New Roman" w:cs="Times New Roman" w:eastAsia="Times New Roman" w:hAnsi="Times New Roman"/>
          <w:sz w:val="17"/>
          <w:szCs w:val="17"/>
          <w:color w:val="auto"/>
        </w:rPr>
      </w:pPr>
    </w:p>
    <w:p>
      <w:pPr>
        <w:jc w:val="both"/>
        <w:ind w:firstLine="987"/>
        <w:spacing w:after="0" w:line="26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U.S. Dollars and immediately available funds, to the Administrative Agent (or to the Issuing Bank, in the case of fees payable to it) for distribution, in the case of facility fees and participation fees, to the Lenders. Fees paid shall not be refundable under any circumstances.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987"/>
        <w:spacing w:after="0" w:line="26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ABR Borrowing (including each Swingline Loan)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the Loans comprising each Canadian Prime Rate Borrowing shall bear interest at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the Loans comprising each Japanese Prime Rate Borrowing shall bear interest at the Japanese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67"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Benchmark Borrowing shall bear interest at the applicable Relevant Adjusted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53" w:lineRule="exact"/>
        <w:rPr>
          <w:rFonts w:ascii="Times New Roman" w:cs="Times New Roman" w:eastAsia="Times New Roman" w:hAnsi="Times New Roman"/>
          <w:sz w:val="18"/>
          <w:szCs w:val="18"/>
          <w:color w:val="auto"/>
        </w:rPr>
      </w:pPr>
    </w:p>
    <w:p>
      <w:pPr>
        <w:ind w:left="5360" w:right="260" w:hanging="4373"/>
        <w:spacing w:after="0" w:line="454" w:lineRule="auto"/>
        <w:tabs>
          <w:tab w:leader="none" w:pos="12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RFR Loan shall bear interest at a rate per annum equal to the applicable Adjusted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-53-</w:t>
      </w:r>
    </w:p>
    <w:p>
      <w:pPr>
        <w:sectPr>
          <w:pgSz w:w="11900" w:h="16838" w:orient="portrait"/>
          <w:cols w:equalWidth="0" w:num="1">
            <w:col w:w="11000"/>
          </w:cols>
          <w:pgMar w:left="440" w:top="270" w:right="459" w:bottom="1440" w:gutter="0" w:footer="0" w:header="0"/>
        </w:sectPr>
      </w:pPr>
    </w:p>
    <w:bookmarkStart w:id="61" w:name="page62"/>
    <w:bookmarkEnd w:id="61"/>
    <w:p>
      <w:pPr>
        <w:ind w:left="4" w:right="260" w:firstLine="987"/>
        <w:spacing w:after="0" w:line="258" w:lineRule="auto"/>
        <w:tabs>
          <w:tab w:leader="none" w:pos="12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two percent (2%) plus the rate otherwise applicable to such Loan as provided in the preceding paragraphs of this Section or (ii) in the case of any other amount, two percent (2%) plus the rate applicable to ABR Loans as provided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w:t>
      </w:r>
    </w:p>
    <w:p>
      <w:pPr>
        <w:spacing w:after="0" w:line="75" w:lineRule="exact"/>
        <w:rPr>
          <w:rFonts w:ascii="Times New Roman" w:cs="Times New Roman" w:eastAsia="Times New Roman" w:hAnsi="Times New Roman"/>
          <w:sz w:val="18"/>
          <w:szCs w:val="18"/>
          <w:color w:val="auto"/>
        </w:rPr>
      </w:pPr>
    </w:p>
    <w:p>
      <w:pPr>
        <w:jc w:val="both"/>
        <w:ind w:left="4" w:right="220" w:firstLine="987"/>
        <w:spacing w:after="0" w:line="276" w:lineRule="auto"/>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Accrued interest on each Loan shall be payable in arrears on each Interest Payment Date for such Loan and, in the case of Revolving Loans, upon termination of the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interest accrued pursuant to </w:t>
      </w:r>
      <w:r>
        <w:rPr>
          <w:rFonts w:ascii="Times New Roman" w:cs="Times New Roman" w:eastAsia="Times New Roman" w:hAnsi="Times New Roman"/>
          <w:sz w:val="17"/>
          <w:szCs w:val="17"/>
          <w:u w:val="single" w:color="auto"/>
          <w:color w:val="auto"/>
        </w:rPr>
        <w:t>paragraph (d)</w:t>
      </w:r>
      <w:r>
        <w:rPr>
          <w:rFonts w:ascii="Times New Roman" w:cs="Times New Roman" w:eastAsia="Times New Roman" w:hAnsi="Times New Roman"/>
          <w:sz w:val="17"/>
          <w:szCs w:val="17"/>
          <w:color w:val="auto"/>
        </w:rPr>
        <w:t xml:space="preserve"> of this Section shall be payable on demand,</w:t>
      </w:r>
    </w:p>
    <w:p>
      <w:pPr>
        <w:ind w:left="4" w:hanging="4"/>
        <w:spacing w:after="0" w:line="253"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repayment or prepayment of any Loan (other than a prepayment of an ABR Revolving Loan or a Canadian Prime Rate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w:t>
      </w:r>
    </w:p>
    <w:p>
      <w:pPr>
        <w:spacing w:after="0" w:line="78"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Daily Simple RFR with respect to Pounds Sterling and Singapore Dollars, the Japanese Prime Rate, Term CORRA, the Daily Simple CORRA, the Canadian Prime Rate, the TIBO Rate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Relevant Adjusted Rate, Relevant Rate, Adjusted Daily Simple RFR, Central Bank Rate, Japanese Prime Rate or Canadian Prime Rate shall be determined by the Administrative Agent, and such determination shall be conclusive absent manifest error.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if:</w:t>
      </w:r>
    </w:p>
    <w:p>
      <w:pPr>
        <w:spacing w:after="0" w:line="117" w:lineRule="exact"/>
        <w:rPr>
          <w:rFonts w:ascii="Times New Roman" w:cs="Times New Roman" w:eastAsia="Times New Roman" w:hAnsi="Times New Roman"/>
          <w:sz w:val="18"/>
          <w:szCs w:val="18"/>
          <w:color w:val="auto"/>
        </w:rPr>
      </w:pPr>
    </w:p>
    <w:p>
      <w:pPr>
        <w:ind w:left="444" w:right="60" w:firstLine="948"/>
        <w:spacing w:after="0" w:line="258" w:lineRule="auto"/>
        <w:tabs>
          <w:tab w:leader="none" w:pos="161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applicable Relevant Adjusted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75" w:lineRule="exact"/>
        <w:rPr>
          <w:rFonts w:ascii="Times New Roman" w:cs="Times New Roman" w:eastAsia="Times New Roman" w:hAnsi="Times New Roman"/>
          <w:sz w:val="18"/>
          <w:szCs w:val="18"/>
          <w:color w:val="auto"/>
        </w:rPr>
      </w:pPr>
    </w:p>
    <w:p>
      <w:pPr>
        <w:ind w:left="444" w:right="100" w:firstLine="948"/>
        <w:spacing w:after="0" w:line="256" w:lineRule="auto"/>
        <w:tabs>
          <w:tab w:leader="none" w:pos="16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applicable Relevant Adjusted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2" w:name="page63"/>
    <w:bookmarkEnd w:id="62"/>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Administrative Agent shall promptly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which the Administrative Agent agrees promptly to do, and (y) the applicable Borrower delivers a new Interest Election Request in accordance with the terms of Section 2.08 or a new Borrowing Request in accordance with the terms of Section 2.03, (A) for Loans denominated in U.S. Dollars, (1) any Interest Election Request that requests the conversion of any Borrowing to, or continuation of any Borrowing as, a Term Benchmark Borrowing and any Borrowing Request that requests a Term Benchmark Revolving Borrowing shall instead be deemed to be an Interest Election Request or a Borrowing Request, as applicable, for (x) an RFR Borrowing denominated in U.S. Dollars so long as the Adjusted Daily Simple RFR for U.S. Dollar Borrowings is not also the subject of Section 2.14(a)(i) or (ii) above or (y) an</w:t>
      </w:r>
    </w:p>
    <w:p>
      <w:pPr>
        <w:spacing w:after="0" w:line="1" w:lineRule="exact"/>
        <w:rPr>
          <w:sz w:val="20"/>
          <w:szCs w:val="20"/>
          <w:color w:val="auto"/>
        </w:rPr>
      </w:pPr>
    </w:p>
    <w:p>
      <w:pPr>
        <w:ind w:left="4" w:right="420"/>
        <w:spacing w:after="0" w:line="265" w:lineRule="auto"/>
        <w:rPr>
          <w:sz w:val="20"/>
          <w:szCs w:val="20"/>
          <w:color w:val="auto"/>
        </w:rPr>
      </w:pPr>
      <w:r>
        <w:rPr>
          <w:rFonts w:ascii="Times New Roman" w:cs="Times New Roman" w:eastAsia="Times New Roman" w:hAnsi="Times New Roman"/>
          <w:sz w:val="17"/>
          <w:szCs w:val="17"/>
          <w:color w:val="auto"/>
        </w:rPr>
        <w:t>ABR Borrowing if the Adjusted Daily Simple RFR for U.S. Dollar Borrowings also is the subject of Section 2.14(a)(i) or (ii) above and (2) any Borrowing Request that requests an RFR Borrowing shall instead be deemed to be a Borrowing Request, as applicable, for an ABR Borrowing and</w:t>
      </w:r>
    </w:p>
    <w:p>
      <w:pPr>
        <w:ind w:left="4" w:hanging="4"/>
        <w:spacing w:after="0" w:line="250" w:lineRule="auto"/>
        <w:tabs>
          <w:tab w:leader="none" w:pos="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Loans denominated in a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U.S. Dollars, any Term Benchmark Loan shall on the last day of the Interest Period applicable to such Loan, be converted by the Administrative Agent to, and shall constitute, (x) an RFR Borrowing denominated in U.S. Dollars so long as the Adjusted Daily Simple RFR for U.S. Dollar Borrowings is not also the subject of Section 2.14(a)(i) or (ii) above or (y) an ABR Loan if the Adjusted Daily Simple RFR for U.S. Dollar Borrowings also is the subject of Section 2.14(a)(i) or (ii) above, on such day, (B) for Term Benchmark Loans denominated in Japanese Yen, on the last day of the Interest Period applicable to such Term Benchmark Loan such Term Benchmark Loan shall be converted by the Administrative Agent to, and shall constitute, a Loan that bears interest at the Japanese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(C) for Term Benchmark Loans denominated in Canadian Dollars, on the last day of the Interest Period applicable to such Term Benchmark Loan such Term Benchmark Loan shall be converted by the Administrative Agent to, and shall constitute, a Loan that bears interest at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(D) for Loans denominated in a Foreign Currency other than Japanese Yen or Canadian Dollars, (1) any Term Benchmark Loan shall, on the last day of the Interest Period applicable to such Loan bear interest at the Central Bank Rate for the applicable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in consultation with the Company, (which determination shall be conclusive and binding absent manifest error) that the Central Bank Rate for the applicable Foreign Currency (or in the case of (I) Japanese Yen, the Japanese Prime Rate or (II) Canadian Dollars, the Canadian Prime Rate) cannot be determined, any outstanding affected Term Benchmark Loans denominated in such Foreign Currency shall, at the Company’s election prior to such day: (A) be prepaid by the applicable Borrower on such day or (B) solely for the purpose of calculating the interest rate applicable to such Term Benchmark Loan, such Term Benchmark Loan denominated in such Foreign Currency shall be deemed to be a Term Benchmark Loan denominated in U.S. Dollars and shall accrue interest at the same interest rate applicable to Term Benchmark Loans denominated in U.S. Dollars at such time and (2) any RFR Loan shall bear interest at the Central Bank Rate for the applicable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in consultation with the Company, (which determination shall</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63" w:name="page64"/>
    <w:bookmarkEnd w:id="63"/>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conclusive and binding absent manifest error) that the Central Bank Rate for the applicable Foreign Currency cannot be determined, any outstanding affected RFR Loans denominated in any Foreign Currency, at the Company’s election, shall either (A) be converted into ABR Loans denominated in U.S. Dollars (in an amount equal to the Dollar Amount of such Foreign Currency) immediately or (B) be prepaid in full immediately.</w:t>
      </w:r>
    </w:p>
    <w:p>
      <w:pPr>
        <w:spacing w:after="0" w:line="68" w:lineRule="exact"/>
        <w:rPr>
          <w:sz w:val="20"/>
          <w:szCs w:val="20"/>
          <w:color w:val="auto"/>
        </w:rPr>
      </w:pPr>
    </w:p>
    <w:p>
      <w:pPr>
        <w:ind w:left="4" w:right="40" w:firstLine="987"/>
        <w:spacing w:after="0" w:line="255"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(other than any Benchmark Replacement Conforming Changes made pursuant to clause (c) below)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80" w:lineRule="exact"/>
        <w:rPr>
          <w:rFonts w:ascii="Times New Roman" w:cs="Times New Roman" w:eastAsia="Times New Roman" w:hAnsi="Times New Roman"/>
          <w:sz w:val="18"/>
          <w:szCs w:val="18"/>
          <w:color w:val="auto"/>
        </w:rPr>
      </w:pPr>
    </w:p>
    <w:p>
      <w:pPr>
        <w:ind w:left="4" w:right="60" w:firstLine="987"/>
        <w:spacing w:after="0" w:line="267" w:lineRule="auto"/>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shall deliver a copy of any such amendment to the Company for consultation at least five (5) Business Days prior to the effectiveness thereof (or such shorter period as agreed by the Company). (ii)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(c)</w:t>
      </w:r>
    </w:p>
    <w:p>
      <w:pPr>
        <w:spacing w:after="0" w:line="3" w:lineRule="exact"/>
        <w:rPr>
          <w:rFonts w:ascii="Times New Roman" w:cs="Times New Roman" w:eastAsia="Times New Roman" w:hAnsi="Times New Roman"/>
          <w:sz w:val="17"/>
          <w:szCs w:val="17"/>
          <w:color w:val="auto"/>
        </w:rPr>
      </w:pPr>
    </w:p>
    <w:p>
      <w:pPr>
        <w:jc w:val="both"/>
        <w:ind w:left="4" w:right="180" w:hanging="4"/>
        <w:spacing w:after="0" w:line="255"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effective unless the Administrative Agent has delivered to the Lenders and the Company a Term CORRA Notice. For the avoidance of doubt, the Administrative Agent shall not be required to deliver a Term CORRA Notice after the occurrence of a Term CORRA Reelection Event and may do so in its sole discretion.</w:t>
      </w:r>
    </w:p>
    <w:p>
      <w:pPr>
        <w:spacing w:after="0" w:line="7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the Lenders of (i) any occurrence of a Benchmark Transition Event,</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64" w:name="page65"/>
    <w:bookmarkEnd w:id="64"/>
    <w:p>
      <w:pPr>
        <w:ind w:right="60"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at any time (including in connection with the implementation of a Benchmark Replacement), (i) if the then-current Benchmark is a term rate (including any Relevant Rate) and either (A) any tenor for such Benchmark is not displayed on a screen or other information service that publishes such rate from time to time as selected by the Administrative Agent in its reasonable discretion after consultation with the Company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86" w:lineRule="exact"/>
        <w:rPr>
          <w:rFonts w:ascii="Times New Roman" w:cs="Times New Roman" w:eastAsia="Times New Roman" w:hAnsi="Times New Roman"/>
          <w:sz w:val="18"/>
          <w:szCs w:val="18"/>
          <w:color w:val="auto"/>
        </w:rPr>
      </w:pPr>
    </w:p>
    <w:p>
      <w:pPr>
        <w:ind w:firstLine="987"/>
        <w:spacing w:after="0" w:line="251"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receipt of notice of the commencement of a Benchmark Unavailability Period, the applicable Borrower may revoke any request for (i) a Term Benchmark Borrowing, or conversion to or continuation of Term Benchmark Loans to be made, converted or continued or (ii) an RFR Borrowing or conversion to RFR Loans, during any Benchmark Unavailability Period and, failing that, either (x) such Borrower will be deemed to have converted any request for a Term Benchmark Borrowing or RFR Borrowing, as applicable, denominated in U.S. Dollars into a request for a Borrowing of or conversion to (A) solely with respect to any such request for a Term Benchmark Borrowing, an RFR Borrowing denominated in U.S. Dollars so long as the Adjusted Daily Simple RFR for U.S. Dollar Borrowings is not the subject of a Benchmark Transition Event or (B) an ABR Borrowing if the Adjusted Daily Simple RFR for U.S. Dollar Borrowings is the subject of a Benchmark Transition Event or (y) any request relating to a Term Benchmark Borrowing or RFR Borrowing denominated in a Foreign Currency (other than Canadian Dollars)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Company’s receipt of notice of the commencement of a Benchmark Unavailability Period with respect to a Relevant Adjusted Rate applicable to such Term Benchmark Loan or RFR Loan, then until such time as a Benchmark Replacement for such Agreed Currency is implemented pursuant to this Section 2.14, (A) for Loans denominated in U.S. Dollars any Term Benchmark Loan shall on the last day of the Interest Period applicable to such Loan, be converted by the Administrative Agent to, and shall constitute, (x) an RFR Borrowing denominated in U.S. Dollars so long as the Adjusted Daily Simple RFR for U.S. Dollar Borrowings is not the subject of a Benchmark Transition Event or (y) an ABR Loan if the Adjusted Daily Simple RFR for U.S. Dollar Borrowings is the subject of a Benchmark Transition Event, on such day, (B) for Loans denominated in Japanese Yen, on the last day of the Interest Period applicable to such Term Benchmark Loan such Term Benchmark Loan shall be converted by the Administrative Agent to, and shall constitute, a Loan that bears interest at the Japanese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(C) for Loans denominated in Canadian Dollars, on the last day of the Interest Period applicable to such Term Benchmark Loan such Term Benchmark Loan shall be converted by the Administrative Agent to, and shall constitute, a Loan that bears interest at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(D) for Loans denominated in a Foreign Currency other than Japanese Yen or Canadian Dollars, (1) any Term Benchmark Loan shall, on the last day of the Interest Period applicable to such Loan bear interest at the Central Bank Rate for the applicable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in consultation with the Company, (which determination shall be conclusive and binding absent manifest error) that the Central Bank Rate for the applicable Foreign Currency (or in the case of (I) Japanese Yen, the Japanese Prime Rate or (II) Canadian Dollars, the Canadian Prime Rate) cannot be determined, any outstanding affected Term Benchmark Loans denominated in any Foreign Currency shall, at the Company’s election prior to such day: (A) be prepaid by the applicable Borrower on such day or (B) solely for the purpose of calculating the interest rate applicable to such Term Benchmark Loan, such Term Benchmark Loan denominated in any Foreign Currency shall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5" w:name="page66"/>
    <w:bookmarkEnd w:id="65"/>
    <w:p>
      <w:pPr>
        <w:ind w:right="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deemed to be a Term Benchmark Loan denominated in U.S. Dollars and shall accrue interest at the same interest rate applicable to Term Benchmark Loans denominated in U.S. Dollars at such time and (2) any RFR Loan shall bear interest at the Central Bank Rate for the applicable Foreign Currency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CBR Spread;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determines, in consultation with the Company, (which determination shall be conclusive and binding absent manifest error) that the Central Bank Rate for the applicable Foreign Currency cannot be determined, any outstanding affected RFR Loans denominated in any Foreign Currency, at the Company’s election, shall either (A) be converted into ABR Loans denominated in U.S. Dollars (in an amount equal to the Dollar Amount of such Foreign Currency) immediately or (B) be prepaid in full immediately.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30"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applicable Relevant Adjusted Rate) or the Issuing Bank;</w:t>
      </w:r>
    </w:p>
    <w:p>
      <w:pPr>
        <w:spacing w:after="0" w:line="81" w:lineRule="exact"/>
        <w:rPr>
          <w:rFonts w:ascii="Times New Roman" w:cs="Times New Roman" w:eastAsia="Times New Roman" w:hAnsi="Times New Roman"/>
          <w:sz w:val="18"/>
          <w:szCs w:val="18"/>
          <w:color w:val="auto"/>
        </w:rPr>
      </w:pPr>
    </w:p>
    <w:p>
      <w:pPr>
        <w:ind w:left="1420" w:right="440" w:hanging="439"/>
        <w:spacing w:after="0" w:line="282" w:lineRule="auto"/>
        <w:tabs>
          <w:tab w:leader="none" w:pos="1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Issuing Bank or any applicable interbank market any other condition, cost or expense (other than Taxes) affecting any Loan Document or Loans made by such Lender or any Letter of Credit or participation therein; or</w:t>
      </w:r>
    </w:p>
    <w:p>
      <w:pPr>
        <w:spacing w:after="0" w:line="67" w:lineRule="exact"/>
        <w:rPr>
          <w:rFonts w:ascii="Times New Roman" w:cs="Times New Roman" w:eastAsia="Times New Roman" w:hAnsi="Times New Roman"/>
          <w:sz w:val="18"/>
          <w:szCs w:val="18"/>
          <w:color w:val="auto"/>
        </w:rPr>
      </w:pPr>
    </w:p>
    <w:p>
      <w:pPr>
        <w:ind w:left="1420" w:hanging="439"/>
        <w:spacing w:after="0" w:line="261" w:lineRule="auto"/>
        <w:tabs>
          <w:tab w:leader="none" w:pos="14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Indemnified Taxes or Excluded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Connection Taxes imposed specifically with respect to banks, financial institutions, or financial transactions by any national or international taxing authority shall not be treated as Excluded Taxes for purposes of this </w:t>
      </w:r>
      <w:r>
        <w:rPr>
          <w:rFonts w:ascii="Times New Roman" w:cs="Times New Roman" w:eastAsia="Times New Roman" w:hAnsi="Times New Roman"/>
          <w:sz w:val="18"/>
          <w:szCs w:val="18"/>
          <w:u w:val="single" w:color="auto"/>
          <w:color w:val="auto"/>
        </w:rPr>
        <w:t>Section 2.15(a)(iii)</w:t>
      </w:r>
      <w:r>
        <w:rPr>
          <w:rFonts w:ascii="Times New Roman" w:cs="Times New Roman" w:eastAsia="Times New Roman" w:hAnsi="Times New Roman"/>
          <w:sz w:val="18"/>
          <w:szCs w:val="18"/>
          <w:color w:val="auto"/>
        </w:rPr>
        <w:t>) on its loans, loan principal, letters of credit, commitments, or other obligations, or its deposits, reserves, other liabilities or capital attributable thereto;</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or maintaining any Loan or of maintaining its obligation to make any such Loan (including pursuant to any conversion of any Borrowing denominated in an Agreed Currency to a Borrowing denominated in any other Agreed Currency) or to increase the cost to such Lender, the Issuing Bank or such other Recipient of participating in, issuing or maintaining any Letter of Credit (including pursuant to any conversion of any Borrowing denominated in an Agreed Currency to a Borrowing denominated in any other Agreed Currency) or to reduce the amount of any sum received or receivable by such Lender, the Issuing Bank or such other Recipient hereunder, whether of principal, interest or otherwise (including pursuant to any conversion of any Borrowing denominated in an Agreed Currency to a Borrowing denominated in any other Agreed Currency), then the Company will pay (or cause the applicable Designated Borrower to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86" w:lineRule="exact"/>
        <w:rPr>
          <w:sz w:val="20"/>
          <w:szCs w:val="20"/>
          <w:color w:val="auto"/>
        </w:rPr>
      </w:pPr>
    </w:p>
    <w:p>
      <w:pPr>
        <w:ind w:right="280" w:firstLine="987"/>
        <w:spacing w:after="0" w:line="261"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the Issuing Bank reasonably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any Loan Document or the Loans made by, or participations in Letters of Credit held by, such Lender, or the Letters of Credit issued by the Issuing Bank, to a level below that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40"/>
          </w:cols>
          <w:pgMar w:left="440" w:top="270" w:right="519" w:bottom="1440" w:gutter="0" w:footer="0" w:header="0"/>
        </w:sectPr>
      </w:pPr>
    </w:p>
    <w:bookmarkStart w:id="66" w:name="page67"/>
    <w:bookmarkEnd w:id="66"/>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Company will pay (or cause the applicable Designated Borrower to pay) to such Lender or the Issuing Bank, as the case may be, such additional amount or amounts as will compensate such Lender or the Issuing Bank or such Lender’s or the Issuing Bank’s holding company for any such reduction suffered.</w:t>
      </w:r>
    </w:p>
    <w:p>
      <w:pPr>
        <w:spacing w:after="0" w:line="75" w:lineRule="exact"/>
        <w:rPr>
          <w:sz w:val="20"/>
          <w:szCs w:val="20"/>
          <w:color w:val="auto"/>
        </w:rPr>
      </w:pPr>
    </w:p>
    <w:p>
      <w:pPr>
        <w:ind w:right="100" w:firstLine="987"/>
        <w:spacing w:after="0" w:line="261"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shall be delivered to the Company and shall be conclusive absent manifest error. The Company shall pay (or cause the applicable Designated Borrower to pay) such Lender or the Issuing Bank, as the case may be, the amount shown as due on any such certificate within ten (10) days after receipt thereof.</w:t>
      </w:r>
    </w:p>
    <w:p>
      <w:pPr>
        <w:spacing w:after="0" w:line="71"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the Issuing Bank pursuant to this Section for any increased costs or reductions incurred more than two hundred seventy (270) days prior to the date that such Lender or the Issuing Bank, as the case may be, notifies the Company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two hundred seventy (270) day period referred to above shall be extended to include the period of retroactive effect thereof.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Loans that are Term Benchmark Loans, in the event of (i) the payment of any principal of any Term Benchmark Loan, other than on the last day of an Interest Period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(iv) the assignment of any Term Benchmark Loan other than on the last day of the Interest Period applicable thereto as a result of a request by the Company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10.02(d)</w:t>
      </w:r>
      <w:r>
        <w:rPr>
          <w:rFonts w:ascii="Times New Roman" w:cs="Times New Roman" w:eastAsia="Times New Roman" w:hAnsi="Times New Roman"/>
          <w:sz w:val="18"/>
          <w:szCs w:val="18"/>
          <w:color w:val="auto"/>
        </w:rPr>
        <w:t xml:space="preserve"> or (v) the failure by the applicable Borrower to make any payment of any Loan or drawing under any Letter of Credit (or interest due thereof) denominated in a Foreign Currency on its scheduled due date or any payment thereof in a different currency, then, in any such event, the Company shall compensate (or cause the applicable Designated Borrower to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applicable Relevant Adjusted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applicable offshore market for such Agreed Currency, whether or not such Term Benchmark Loan was in fact so funded. A certificate of any Lender setting forth any amount or amounts that such Lender is entitled to receive pursuant to this Section shall be delivered to the Company and shall be conclusive absent manifest error. The Company shall pay (or cause the applicable Designated Borrower to pay) such Lender the amount shown as due on any such certificate within ten (10) days after receipt thereof.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7" w:name="page68"/>
    <w:bookmarkEnd w:id="67"/>
    <w:p>
      <w:pPr>
        <w:ind w:left="-20" w:firstLine="987"/>
        <w:spacing w:after="0" w:line="253" w:lineRule="auto"/>
        <w:tabs>
          <w:tab w:leader="none" w:pos="1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(ii) the failure to borrow, convert, continue or prepay any RFR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(iii) the assignment of any RFR Loan other than on the Interest Payment Date applicable thereto as a result of a request by the Company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10.02(d)</w:t>
      </w:r>
      <w:r>
        <w:rPr>
          <w:rFonts w:ascii="Times New Roman" w:cs="Times New Roman" w:eastAsia="Times New Roman" w:hAnsi="Times New Roman"/>
          <w:sz w:val="18"/>
          <w:szCs w:val="18"/>
          <w:color w:val="auto"/>
        </w:rPr>
        <w:t xml:space="preserve"> or (iv) the failure by the applicable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(or cause the applicable Designated Borrower to pay) such Lender the amount shown as due on any such certificate within ten (10) days after receipt thereof.</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60" w:firstLine="987"/>
        <w:spacing w:after="0" w:line="254" w:lineRule="auto"/>
        <w:tabs>
          <w:tab w:leader="none" w:pos="121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Company or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Company or the applicable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83"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Borrowers</w:t>
      </w:r>
      <w:r>
        <w:rPr>
          <w:rFonts w:ascii="Times New Roman" w:cs="Times New Roman" w:eastAsia="Times New Roman" w:hAnsi="Times New Roman"/>
          <w:sz w:val="18"/>
          <w:szCs w:val="18"/>
          <w:color w:val="auto"/>
        </w:rPr>
        <w:t>. The Company and the Borrowers shall timely pay to the relevant Governmental Authority in accordance with applicable law, or at the option of the Administrative Agent timely reimburse it for, Other Taxes.</w:t>
      </w:r>
    </w:p>
    <w:p>
      <w:pPr>
        <w:spacing w:after="0" w:line="53" w:lineRule="exact"/>
        <w:rPr>
          <w:rFonts w:ascii="Times New Roman" w:cs="Times New Roman" w:eastAsia="Times New Roman" w:hAnsi="Times New Roman"/>
          <w:sz w:val="18"/>
          <w:szCs w:val="18"/>
          <w:color w:val="auto"/>
        </w:rPr>
      </w:pPr>
    </w:p>
    <w:p>
      <w:pPr>
        <w:ind w:left="-20" w:right="240" w:firstLine="987"/>
        <w:spacing w:after="0" w:line="261" w:lineRule="auto"/>
        <w:tabs>
          <w:tab w:leader="none" w:pos="121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As soon as practicable after any payment of Taxes by the Company or any Borrower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1" w:lineRule="exact"/>
        <w:rPr>
          <w:rFonts w:ascii="Times New Roman" w:cs="Times New Roman" w:eastAsia="Times New Roman" w:hAnsi="Times New Roman"/>
          <w:sz w:val="18"/>
          <w:szCs w:val="18"/>
          <w:color w:val="auto"/>
        </w:rPr>
      </w:pPr>
    </w:p>
    <w:p>
      <w:pPr>
        <w:ind w:left="-20" w:firstLine="987"/>
        <w:spacing w:after="0" w:line="255" w:lineRule="auto"/>
        <w:tabs>
          <w:tab w:leader="none" w:pos="12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The Company and the Borrowers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provided that if a Borrower reasonably believes that such Taxes were not correctly or legally asserted, the Administrative Agent or such Lender, as applicable, will use reasonable efforts to cooperate with the Borrower to obtain a refund of such Taxes (which shall be repaid to the Borrower) so long as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60" w:top="270" w:right="479" w:bottom="1440" w:gutter="0" w:footer="0" w:header="0"/>
        </w:sectPr>
      </w:pPr>
    </w:p>
    <w:bookmarkStart w:id="68" w:name="page69"/>
    <w:bookmarkEnd w:id="6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efforts would not, in the sole determination of the Administrative Agent or such Lender, result in any additional out-of-pocket costs or expenses not reimbursed by such Loan Party or be otherwise materially disadvantageous to the Administrative Agent or such Lender, as applicable.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72" w:lineRule="exact"/>
        <w:rPr>
          <w:sz w:val="20"/>
          <w:szCs w:val="20"/>
          <w:color w:val="auto"/>
        </w:rPr>
      </w:pPr>
    </w:p>
    <w:p>
      <w:pPr>
        <w:ind w:right="20" w:firstLine="987"/>
        <w:spacing w:after="0" w:line="253" w:lineRule="auto"/>
        <w:tabs>
          <w:tab w:leader="none" w:pos="12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any Borrower has not already indemnified the Administrative Agent for such Indemnified Taxes and without limiting the obligation of the Borrowers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40" w:hanging="439"/>
        <w:spacing w:after="0" w:line="269" w:lineRule="auto"/>
        <w:tabs>
          <w:tab w:leader="none" w:pos="142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that is entitled to an exemption from or reduction of any applicable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7"/>
          <w:szCs w:val="17"/>
          <w:u w:val="single" w:color="auto"/>
          <w:color w:val="auto"/>
        </w:rPr>
        <w:t>Section 2.17(f)(ii)(A)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(ii)(D)</w:t>
      </w:r>
      <w:r>
        <w:rPr>
          <w:rFonts w:ascii="Times New Roman" w:cs="Times New Roman" w:eastAsia="Times New Roman" w:hAnsi="Times New Roman"/>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(it being understood that providing information required under current law shall not be considered prejudicial to the position of a Recipient).</w:t>
      </w:r>
    </w:p>
    <w:p>
      <w:pPr>
        <w:spacing w:after="0" w:line="84" w:lineRule="exact"/>
        <w:rPr>
          <w:rFonts w:ascii="Times New Roman" w:cs="Times New Roman" w:eastAsia="Times New Roman" w:hAnsi="Times New Roman"/>
          <w:sz w:val="17"/>
          <w:szCs w:val="17"/>
          <w:color w:val="auto"/>
        </w:rPr>
      </w:pPr>
    </w:p>
    <w:p>
      <w:pPr>
        <w:ind w:left="1420" w:hanging="439"/>
        <w:spacing w:after="0"/>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Person,</w:t>
      </w:r>
    </w:p>
    <w:p>
      <w:pPr>
        <w:spacing w:after="0" w:line="117" w:lineRule="exact"/>
        <w:rPr>
          <w:rFonts w:ascii="Times New Roman" w:cs="Times New Roman" w:eastAsia="Times New Roman" w:hAnsi="Times New Roman"/>
          <w:sz w:val="18"/>
          <w:szCs w:val="18"/>
          <w:color w:val="auto"/>
        </w:rPr>
      </w:pPr>
    </w:p>
    <w:p>
      <w:pPr>
        <w:ind w:left="980" w:firstLine="910"/>
        <w:spacing w:after="0" w:line="261" w:lineRule="auto"/>
        <w:tabs>
          <w:tab w:leader="none" w:pos="217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69" w:name="page70"/>
    <w:bookmarkEnd w:id="69"/>
    <w:p>
      <w:pPr>
        <w:ind w:left="-20" w:right="20" w:firstLine="910"/>
        <w:spacing w:after="0" w:line="261" w:lineRule="auto"/>
        <w:tabs>
          <w:tab w:leader="none" w:pos="11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85" w:lineRule="exact"/>
        <w:rPr>
          <w:rFonts w:ascii="Times New Roman" w:cs="Times New Roman" w:eastAsia="Times New Roman" w:hAnsi="Times New Roman"/>
          <w:sz w:val="18"/>
          <w:szCs w:val="18"/>
          <w:color w:val="auto"/>
        </w:rPr>
      </w:pPr>
    </w:p>
    <w:p>
      <w:pPr>
        <w:ind w:left="1840" w:hanging="428"/>
        <w:spacing w:after="0"/>
        <w:tabs>
          <w:tab w:leader="none" w:pos="18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w:t>
      </w:r>
    </w:p>
    <w:p>
      <w:pPr>
        <w:spacing w:after="0" w:line="38" w:lineRule="exact"/>
        <w:rPr>
          <w:rFonts w:ascii="Times New Roman" w:cs="Times New Roman" w:eastAsia="Times New Roman" w:hAnsi="Times New Roman"/>
          <w:sz w:val="17"/>
          <w:szCs w:val="17"/>
          <w:color w:val="auto"/>
        </w:rPr>
      </w:pPr>
    </w:p>
    <w:p>
      <w:pPr>
        <w:ind w:left="184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with respect to payments of interest under any Loan Document, executed copies of IRS Form W-8BEN or Form W-8BEN-E establishing an exemption from, or reduction of, U.S. federal withholding Tax pursuant to the “interest” article of such tax treaty and (y) with respect to any other applicable payments under any Loan Document, IRS Form W-8BEN or Form W-8BEN-E establishing an exemption from, or reduction of, U.S. federal withholding Tax pursuant to the “business profits” or “other income” article of such tax treaty;</w:t>
      </w:r>
    </w:p>
    <w:p>
      <w:pPr>
        <w:spacing w:after="0" w:line="92" w:lineRule="exact"/>
        <w:rPr>
          <w:rFonts w:ascii="Times New Roman" w:cs="Times New Roman" w:eastAsia="Times New Roman" w:hAnsi="Times New Roman"/>
          <w:sz w:val="17"/>
          <w:szCs w:val="17"/>
          <w:color w:val="auto"/>
        </w:rPr>
      </w:pPr>
    </w:p>
    <w:p>
      <w:pPr>
        <w:ind w:left="1840" w:right="380" w:hanging="428"/>
        <w:spacing w:after="0" w:line="282" w:lineRule="auto"/>
        <w:tabs>
          <w:tab w:leader="none" w:pos="18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executed copies of IRS Form W-8ECI;</w:t>
      </w:r>
    </w:p>
    <w:p>
      <w:pPr>
        <w:spacing w:after="0" w:line="67" w:lineRule="exact"/>
        <w:rPr>
          <w:rFonts w:ascii="Times New Roman" w:cs="Times New Roman" w:eastAsia="Times New Roman" w:hAnsi="Times New Roman"/>
          <w:sz w:val="18"/>
          <w:szCs w:val="18"/>
          <w:color w:val="auto"/>
        </w:rPr>
      </w:pPr>
    </w:p>
    <w:p>
      <w:pPr>
        <w:ind w:left="1840" w:right="20" w:hanging="428"/>
        <w:spacing w:after="0" w:line="256" w:lineRule="auto"/>
        <w:tabs>
          <w:tab w:leader="none" w:pos="18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such Borrower within the meaning of Section 871(h)(3)(B) of the Code, or a “controlled foreign corporation” described in Section 881(c)(3)(C) of the Code (a “</w:t>
      </w:r>
      <w:r>
        <w:rPr>
          <w:rFonts w:ascii="Times New Roman" w:cs="Times New Roman" w:eastAsia="Times New Roman" w:hAnsi="Times New Roman"/>
          <w:sz w:val="18"/>
          <w:szCs w:val="18"/>
          <w:b w:val="1"/>
          <w:bCs w:val="1"/>
          <w:i w:val="1"/>
          <w:iCs w:val="1"/>
          <w:color w:val="auto"/>
        </w:rPr>
        <w:t>U.S. Tax Compliance Certificate</w:t>
      </w:r>
      <w:r>
        <w:rPr>
          <w:rFonts w:ascii="Times New Roman" w:cs="Times New Roman" w:eastAsia="Times New Roman" w:hAnsi="Times New Roman"/>
          <w:sz w:val="18"/>
          <w:szCs w:val="18"/>
          <w:color w:val="auto"/>
        </w:rPr>
        <w:t>”) and (y) executed copies of IRS Form W-8BEN; or</w:t>
      </w:r>
    </w:p>
    <w:p>
      <w:pPr>
        <w:spacing w:after="0" w:line="92" w:lineRule="exact"/>
        <w:rPr>
          <w:rFonts w:ascii="Times New Roman" w:cs="Times New Roman" w:eastAsia="Times New Roman" w:hAnsi="Times New Roman"/>
          <w:sz w:val="18"/>
          <w:szCs w:val="18"/>
          <w:color w:val="auto"/>
        </w:rPr>
      </w:pPr>
    </w:p>
    <w:p>
      <w:pPr>
        <w:ind w:left="1840" w:hanging="428"/>
        <w:spacing w:after="0" w:line="255" w:lineRule="auto"/>
        <w:tabs>
          <w:tab w:leader="none" w:pos="18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Form W-8BEN-E, a U.S. Tax Compliance Certificate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B-4</w:t>
      </w:r>
      <w:r>
        <w:rPr>
          <w:rFonts w:ascii="Times New Roman" w:cs="Times New Roman" w:eastAsia="Times New Roman" w:hAnsi="Times New Roman"/>
          <w:sz w:val="18"/>
          <w:szCs w:val="18"/>
          <w:color w:val="auto"/>
        </w:rPr>
        <w:t xml:space="preserve"> on behalf of each such direct and indirect partner;</w:t>
      </w:r>
    </w:p>
    <w:p>
      <w:pPr>
        <w:spacing w:after="0" w:line="1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980"/>
          </w:cols>
          <w:pgMar w:left="1440" w:top="270" w:right="479" w:bottom="1440" w:gutter="0" w:footer="0" w:header="0"/>
        </w:sectPr>
      </w:pPr>
    </w:p>
    <w:bookmarkStart w:id="70" w:name="page71"/>
    <w:bookmarkEnd w:id="70"/>
    <w:p>
      <w:pPr>
        <w:ind w:left="980" w:right="40" w:firstLine="910"/>
        <w:spacing w:after="0" w:line="256" w:lineRule="auto"/>
        <w:tabs>
          <w:tab w:leader="none" w:pos="21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980" w:firstLine="910"/>
        <w:spacing w:after="0" w:line="253" w:lineRule="auto"/>
        <w:tabs>
          <w:tab w:leader="none" w:pos="21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“FATCA” shall include any amendments made to FATCA after the date of this Agreement.</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the relevant successor form or promptly notify the Company and the Administrative Agent in writing of its legal inability to do so.</w:t>
      </w:r>
    </w:p>
    <w:p>
      <w:pPr>
        <w:spacing w:after="0" w:line="176" w:lineRule="exact"/>
        <w:rPr>
          <w:sz w:val="20"/>
          <w:szCs w:val="20"/>
          <w:color w:val="auto"/>
        </w:rPr>
      </w:pPr>
    </w:p>
    <w:p>
      <w:pPr>
        <w:ind w:left="1240" w:hanging="253"/>
        <w:spacing w:after="0"/>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United Kingdom Withholding Tax Matters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500" w:hanging="439"/>
        <w:spacing w:after="0" w:line="266"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each Lender and each UK Borrower which makes a payment to such Lender shall cooperate in completing any procedural formalities necessary for such UK Borrower to obtain authorization to make such payment without withholding or deduction for Taxes imposed under the laws of the United Kingdom.</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ind w:left="980" w:right="200" w:firstLine="910"/>
        <w:spacing w:after="0" w:line="266" w:lineRule="auto"/>
        <w:tabs>
          <w:tab w:leader="none" w:pos="21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at any time (x) holds a passport under the HMRC DT Treaty Passport scheme and (y) wishes such scheme to apply to this Agreement, shall provide its scheme reference number and its jurisdiction of tax residence to each UK Borrower and the Administrative Agent.</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satisfying either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such Lender shall have satisfied its obligation under </w:t>
      </w:r>
      <w:r>
        <w:rPr>
          <w:rFonts w:ascii="Times New Roman" w:cs="Times New Roman" w:eastAsia="Times New Roman" w:hAnsi="Times New Roman"/>
          <w:sz w:val="18"/>
          <w:szCs w:val="18"/>
          <w:u w:val="single" w:color="auto"/>
          <w:color w:val="auto"/>
        </w:rPr>
        <w:t>paragraph (g)(i)</w:t>
      </w:r>
      <w:r>
        <w:rPr>
          <w:rFonts w:ascii="Times New Roman" w:cs="Times New Roman" w:eastAsia="Times New Roman" w:hAnsi="Times New Roman"/>
          <w:sz w:val="18"/>
          <w:szCs w:val="18"/>
          <w:color w:val="auto"/>
        </w:rPr>
        <w:t xml:space="preserv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1" w:name="page72"/>
    <w:bookmarkEnd w:id="71"/>
    <w:p>
      <w:pPr>
        <w:ind w:left="1420" w:right="380" w:hanging="439"/>
        <w:spacing w:after="0" w:line="266" w:lineRule="auto"/>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 Lender has confirmed its scheme reference number and its jurisdiction of tax residence in accordance with </w:t>
      </w:r>
      <w:r>
        <w:rPr>
          <w:rFonts w:ascii="Times New Roman" w:cs="Times New Roman" w:eastAsia="Times New Roman" w:hAnsi="Times New Roman"/>
          <w:sz w:val="18"/>
          <w:szCs w:val="18"/>
          <w:u w:val="single" w:color="auto"/>
          <w:color w:val="auto"/>
        </w:rPr>
        <w:t>paragraph (g)(ii)</w:t>
      </w:r>
      <w:r>
        <w:rPr>
          <w:rFonts w:ascii="Times New Roman" w:cs="Times New Roman" w:eastAsia="Times New Roman" w:hAnsi="Times New Roman"/>
          <w:sz w:val="18"/>
          <w:szCs w:val="18"/>
          <w:color w:val="auto"/>
        </w:rPr>
        <w:t xml:space="preserve"> above, the UK Borrower(s) shall make a Borrower DTTP Filing with respect to such Lender, and shall promptly provide such Lender with a copy of such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UK Borrower making a payment to such Lender has not made a Borrower DTTP Filing in respect of such Lender; or</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UK Borrower making a payment to such Lender has made a Borrower DTTP Filing in respect of such Lender but:</w:t>
      </w:r>
    </w:p>
    <w:p>
      <w:pPr>
        <w:spacing w:after="0" w:line="130" w:lineRule="exact"/>
        <w:rPr>
          <w:rFonts w:ascii="Times New Roman" w:cs="Times New Roman" w:eastAsia="Times New Roman" w:hAnsi="Times New Roman"/>
          <w:sz w:val="18"/>
          <w:szCs w:val="18"/>
          <w:color w:val="auto"/>
        </w:rPr>
      </w:pPr>
    </w:p>
    <w:p>
      <w:pPr>
        <w:ind w:left="2840" w:hanging="428"/>
        <w:spacing w:after="0"/>
        <w:tabs>
          <w:tab w:leader="none" w:pos="284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DTTP Filing has been rejected by HM Revenue &amp; Customs; or</w:t>
      </w:r>
    </w:p>
    <w:p>
      <w:pPr>
        <w:spacing w:after="0" w:line="130" w:lineRule="exact"/>
        <w:rPr>
          <w:rFonts w:ascii="Times New Roman" w:cs="Times New Roman" w:eastAsia="Times New Roman" w:hAnsi="Times New Roman"/>
          <w:sz w:val="18"/>
          <w:szCs w:val="18"/>
          <w:color w:val="auto"/>
        </w:rPr>
      </w:pPr>
    </w:p>
    <w:p>
      <w:pPr>
        <w:ind w:left="2840" w:hanging="428"/>
        <w:spacing w:after="0" w:line="282" w:lineRule="auto"/>
        <w:tabs>
          <w:tab w:leader="none" w:pos="284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 Revenue &amp; Customs has not given such UK Borrower authority to make payments to such Lender without a deduction for tax within sixty (60) days of the date of such Borrower DTTP Filing;</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and in each case, such UK Borrower has notified that Lender in writing of either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then such Lender and such UK Borrower shall co-operate in completing any additional procedural formalities necessary for such UK Borrower to obtain authorization to make that payment without withholding or deduction for Taxes imposed under the laws of the United Kingdom.</w:t>
      </w:r>
    </w:p>
    <w:p>
      <w:pPr>
        <w:spacing w:after="0" w:line="81" w:lineRule="exact"/>
        <w:rPr>
          <w:sz w:val="20"/>
          <w:szCs w:val="20"/>
          <w:color w:val="auto"/>
        </w:rPr>
      </w:pPr>
    </w:p>
    <w:p>
      <w:pPr>
        <w:ind w:left="1420" w:right="320" w:hanging="439"/>
        <w:spacing w:after="0" w:line="266"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Lender has not confirmed its scheme reference number and jurisdiction of tax residence in accordance with </w:t>
      </w:r>
      <w:r>
        <w:rPr>
          <w:rFonts w:ascii="Times New Roman" w:cs="Times New Roman" w:eastAsia="Times New Roman" w:hAnsi="Times New Roman"/>
          <w:sz w:val="18"/>
          <w:szCs w:val="18"/>
          <w:u w:val="single" w:color="auto"/>
          <w:color w:val="auto"/>
        </w:rPr>
        <w:t>paragraph (g)(ii)</w:t>
      </w:r>
      <w:r>
        <w:rPr>
          <w:rFonts w:ascii="Times New Roman" w:cs="Times New Roman" w:eastAsia="Times New Roman" w:hAnsi="Times New Roman"/>
          <w:sz w:val="18"/>
          <w:szCs w:val="18"/>
          <w:color w:val="auto"/>
        </w:rPr>
        <w:t xml:space="preserve"> above, no UK Borrower shall make a Borrower DTTP Filing or file any other form relating to the HMRC DT Treaty Passport scheme in respect of that Lender’s Commitment or its participation in any Loan unless the Lender otherwise agrees.</w:t>
      </w:r>
    </w:p>
    <w:p>
      <w:pPr>
        <w:spacing w:after="0" w:line="81"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UK Borrower shall, promptly on making a Borrower DTTP Filing, deliver a copy of such Borrower DTTP Filing to the Administrative Agent for delivery to the relevant Lender.</w:t>
      </w:r>
    </w:p>
    <w:p>
      <w:pPr>
        <w:spacing w:after="0" w:line="67"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notify the Company and Administrative Agent if it determines in its sole discretion that it ceases to be entitled to claim the benefits of an income tax treaty to which the United Kingdom is a party with respect to payments made by any UK Borrower hereunder.</w:t>
      </w:r>
    </w:p>
    <w:p>
      <w:pPr>
        <w:spacing w:after="0" w:line="81" w:lineRule="exact"/>
        <w:rPr>
          <w:rFonts w:ascii="Times New Roman" w:cs="Times New Roman" w:eastAsia="Times New Roman" w:hAnsi="Times New Roman"/>
          <w:sz w:val="18"/>
          <w:szCs w:val="18"/>
          <w:color w:val="auto"/>
        </w:rPr>
      </w:pPr>
    </w:p>
    <w:p>
      <w:pPr>
        <w:ind w:left="1420" w:right="80" w:hanging="439"/>
        <w:spacing w:after="0" w:line="277" w:lineRule="auto"/>
        <w:tabs>
          <w:tab w:leader="none" w:pos="14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Lender assigns or transfers any of its rights or obligations under the Loan Documents or changes its lending office, and as a result of circumstances existing at the date the assignment, transfer or change occurs, a UK Borrower would be obligated to make a payment to the new Lender or Lender acting through its new lending office under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then a new Lender or Lender acting through its new lending office is only entitled to receive payment under this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to the same extent as the assigning Lender or Lender acting through its previous lending office would have been if the assignment, transfer or change had not occurred.</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72" w:name="page73"/>
    <w:bookmarkEnd w:id="72"/>
    <w:p>
      <w:pPr>
        <w:ind w:firstLine="987"/>
        <w:spacing w:after="0" w:line="253"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paragraph (h)</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(h)</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(h)</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9" w:lineRule="exact"/>
        <w:rPr>
          <w:rFonts w:ascii="Times New Roman" w:cs="Times New Roman" w:eastAsia="Times New Roman" w:hAnsi="Times New Roman"/>
          <w:sz w:val="18"/>
          <w:szCs w:val="18"/>
          <w:color w:val="auto"/>
        </w:rPr>
      </w:pPr>
    </w:p>
    <w:p>
      <w:pPr>
        <w:ind w:right="200" w:firstLine="987"/>
        <w:spacing w:after="0" w:line="266" w:lineRule="auto"/>
        <w:tabs>
          <w:tab w:leader="none" w:pos="1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67" w:lineRule="exact"/>
        <w:rPr>
          <w:rFonts w:ascii="Times New Roman" w:cs="Times New Roman" w:eastAsia="Times New Roman" w:hAnsi="Times New Roman"/>
          <w:sz w:val="18"/>
          <w:szCs w:val="18"/>
          <w:color w:val="auto"/>
        </w:rPr>
      </w:pPr>
    </w:p>
    <w:p>
      <w:pPr>
        <w:ind w:right="80" w:firstLine="987"/>
        <w:spacing w:after="0" w:line="255" w:lineRule="auto"/>
        <w:tabs>
          <w:tab w:leader="none" w:pos="1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the Issuing Bank pursuant to this Section for any Indemnified Taxes or Other Taxes paid or payable by a Recipient pursuant to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incurred more than two hundred seventy (270) days prior to the date that such Lender or the Issuing Bank, as the case may be, notifies the Company of such Lender’s or the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two hundred seventy (270) day period referred to above shall be extended to include the period of retroactive effect thereof.</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“Lender” includes any Issuing Bank and the term “applicable law” includes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12:00 noon, Local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(x) in the case of payments denominated in U.S. Dollars, its applicable office or offices as described in the Administrative Questionnaire provided by the Administrative Agent to the Company from time to time, and (y) in the case of payments denominated in a Foreign Currency, its Foreign Currency Payment Office for such Foreign Currency, in each case except payments to be made directly to the Issuing Bank or Swingline Lenders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3" w:name="page74"/>
    <w:bookmarkEnd w:id="73"/>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and all other payments hereunder and under each other Loan Document shall be made in U.S. Dollars. Notwithstanding the foregoing provisions of this Section, if, after the making of any Borrowing or LC Disbursement in any Foreign Currency, currency control or exchange regulations are imposed in the country which issues such Foreign Currency with the result that such Foreign Currency no longer exists or the applicable Borrower is not able to make payment to the Administrative Agent for the account of the Lenders in such Foreign Currency, then all payments to be made by such Borrower hereunder in such Foreign Currency shall instead be made when due in U.S. Dollars in an amount equal to the Dollar Amount (as of the date of repayment) of such payment due, it being the intention of the parties hereto that such Borrower takes all risks of the imposition of any such currency control or exchange regulations.</w:t>
      </w:r>
    </w:p>
    <w:p>
      <w:pPr>
        <w:spacing w:after="0" w:line="86" w:lineRule="exact"/>
        <w:rPr>
          <w:sz w:val="20"/>
          <w:szCs w:val="20"/>
          <w:color w:val="auto"/>
        </w:rPr>
      </w:pPr>
    </w:p>
    <w:p>
      <w:pPr>
        <w:ind w:right="20" w:firstLine="987"/>
        <w:spacing w:after="0" w:line="258"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75"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 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any Borrower prior to the date on which any payment is due to the Administrative Agent for the account of the Lenders or the Issuing Bank hereunder that such Borrower will not make such payment, the Administrative Agent may assume that such Borrower has made such payment on such date in accordance herewith and may, in reliance upon such assumption, distribute to the Lenders or the Issuing Bank, as the case may be, the amount due. In such event, if such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74" w:name="page75"/>
    <w:bookmarkEnd w:id="74"/>
    <w:p>
      <w:pPr>
        <w:ind w:right="60" w:firstLine="987"/>
        <w:spacing w:after="0" w:line="256"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10.03(c)</w:t>
      </w:r>
      <w:r>
        <w:rPr>
          <w:rFonts w:ascii="Times New Roman" w:cs="Times New Roman" w:eastAsia="Times New Roman" w:hAnsi="Times New Roman"/>
          <w:sz w:val="18"/>
          <w:szCs w:val="18"/>
          <w:color w:val="auto"/>
        </w:rPr>
        <w:t xml:space="preserve">, then the Administrative Agent may, in its discretion and notwithstanding any contrary provision hereof,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 application to, any future funding obligations of such Lender under any such Section,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any order as determined by the Administrative Agent in its discretion.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Company hereby agrees to pay (or cause the applicable Designated Borrower to pay) all reasonable costs and expenses incurred by any Lender in connection with any such designation or assignment.</w:t>
      </w:r>
    </w:p>
    <w:p>
      <w:pPr>
        <w:spacing w:after="0" w:line="80" w:lineRule="exact"/>
        <w:rPr>
          <w:rFonts w:ascii="Times New Roman" w:cs="Times New Roman" w:eastAsia="Times New Roman" w:hAnsi="Times New Roman"/>
          <w:sz w:val="18"/>
          <w:szCs w:val="18"/>
          <w:color w:val="auto"/>
        </w:rPr>
      </w:pPr>
    </w:p>
    <w:p>
      <w:pPr>
        <w:ind w:right="60" w:firstLine="987"/>
        <w:spacing w:after="0" w:line="252"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(iii) any Lender becomes a Defaulting Lender, or (iv) any Lender becomes a Non-Extending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Company shall have received the prior written consent of the Administrative Agent (and if a Commitment is being assigned, the Issuing Bank and Swingline Lenders), which consent shall not unreasonably be withheld, (y)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(z)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(i) an assignment required pursuant to this clause (d) may be effected pursuant to an Assignment and Assumption executed by the Company, the Administrative Agent and the assignee (or, to the extent applicable, an agreement incorporating an Assignment and Assumption by reference pursuant to a Platform as to which the Administrative Agent and such parties are participants), and (ii) the Lender required to make such assignment need not be a party thereto in order for such assignment to be effective and shall be deemed to have consented to and be bound by the terms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5" w:name="page76"/>
    <w:bookmarkEnd w:id="75"/>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1240" w:hanging="253"/>
        <w:spacing w:after="0"/>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shall cease to accrue on the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87"/>
        <w:spacing w:after="0" w:line="251"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10.08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LC Exposure with respect to such Defaulting Lender in accordance with this Section;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96"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and Revolving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other modification requiring the consent of all Lenders or each affected Lender which affects such Defaulting Lender disproportionately when compared to the other affected Lenders, or increases or extends the Commitment of such Defaulting Lender, shall require the consent of such Defaulting Lender;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76" w:name="page77"/>
    <w:bookmarkEnd w:id="76"/>
    <w:p>
      <w:pPr>
        <w:ind w:left="259" w:hanging="253"/>
        <w:spacing w:after="0"/>
        <w:tabs>
          <w:tab w:leader="none" w:pos="2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Swingline Exposure or LC Exposure exists at the time such Lender becomes a Defaulting Lender then:</w:t>
      </w:r>
    </w:p>
    <w:p>
      <w:pPr>
        <w:spacing w:after="0" w:line="130" w:lineRule="exact"/>
        <w:rPr>
          <w:rFonts w:ascii="Times New Roman" w:cs="Times New Roman" w:eastAsia="Times New Roman" w:hAnsi="Times New Roman"/>
          <w:sz w:val="18"/>
          <w:szCs w:val="18"/>
          <w:color w:val="auto"/>
        </w:rPr>
      </w:pPr>
    </w:p>
    <w:p>
      <w:pPr>
        <w:ind w:left="439" w:right="20" w:hanging="439"/>
        <w:spacing w:after="0" w:line="255" w:lineRule="auto"/>
        <w:tabs>
          <w:tab w:leader="none" w:pos="43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the Swingline Exposure and LC Exposure of such Defaulting Lender (other than the portion of such Swingline Exposure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such term) shall be reallocated among the non-Defaulting Lenders in accordance with their respective Applicable Percentages but only (A) to the extent that the sum of all non-Defaulting Lenders’ Revolving Credit Exposures plus such Defaulting Lender’s Swingline Exposure and LC Exposure does not exceed the total of all non-Defaulting Lenders’ Commitments, (B) to the extent that such reallocation does not cause the Revolving Credit Exposure of any non-Defaulting Lender to exceed such non-Defaulting Lender’s Commitment, and (C) if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such time;</w:t>
      </w:r>
    </w:p>
    <w:p>
      <w:pPr>
        <w:spacing w:after="0" w:line="94" w:lineRule="exact"/>
        <w:rPr>
          <w:rFonts w:ascii="Times New Roman" w:cs="Times New Roman" w:eastAsia="Times New Roman" w:hAnsi="Times New Roman"/>
          <w:sz w:val="18"/>
          <w:szCs w:val="18"/>
          <w:color w:val="auto"/>
        </w:rPr>
      </w:pPr>
    </w:p>
    <w:p>
      <w:pPr>
        <w:ind w:left="439" w:hanging="439"/>
        <w:spacing w:after="0" w:line="258" w:lineRule="auto"/>
        <w:tabs>
          <w:tab w:leader="none" w:pos="43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Company shall within one (1) Business Day following notice by the Administrative Agent (A) first, prepay such Swingline Exposure and (B) second, cash collateralize for the benefit of the Issuing Bank only the Company’s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88" w:lineRule="exact"/>
        <w:rPr>
          <w:rFonts w:ascii="Times New Roman" w:cs="Times New Roman" w:eastAsia="Times New Roman" w:hAnsi="Times New Roman"/>
          <w:sz w:val="18"/>
          <w:szCs w:val="18"/>
          <w:color w:val="auto"/>
        </w:rPr>
      </w:pPr>
    </w:p>
    <w:p>
      <w:pPr>
        <w:jc w:val="both"/>
        <w:ind w:left="439" w:right="40" w:hanging="439"/>
        <w:spacing w:after="0" w:line="266" w:lineRule="auto"/>
        <w:tabs>
          <w:tab w:leader="none" w:pos="43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cash collateralizes any portion of such Defaulting Lender’s LC Exposure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the Company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81" w:lineRule="exact"/>
        <w:rPr>
          <w:rFonts w:ascii="Times New Roman" w:cs="Times New Roman" w:eastAsia="Times New Roman" w:hAnsi="Times New Roman"/>
          <w:sz w:val="18"/>
          <w:szCs w:val="18"/>
          <w:color w:val="auto"/>
        </w:rPr>
      </w:pPr>
    </w:p>
    <w:p>
      <w:pPr>
        <w:ind w:left="439" w:right="280" w:hanging="439"/>
        <w:spacing w:after="0" w:line="312" w:lineRule="auto"/>
        <w:tabs>
          <w:tab w:leader="none" w:pos="43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LC Exposure of the non-Defaulting Lenders is reallocated pursuant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then the fees payable to the Lenders pursuant to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xml:space="preserve"> shall be adjusted in accordance with such non-Defaulting Lenders’ Applicable Percentages; and</w:t>
      </w:r>
    </w:p>
    <w:p>
      <w:pPr>
        <w:spacing w:after="0" w:line="45" w:lineRule="exact"/>
        <w:rPr>
          <w:rFonts w:ascii="Times New Roman" w:cs="Times New Roman" w:eastAsia="Times New Roman" w:hAnsi="Times New Roman"/>
          <w:sz w:val="17"/>
          <w:szCs w:val="17"/>
          <w:color w:val="auto"/>
        </w:rPr>
      </w:pPr>
    </w:p>
    <w:p>
      <w:pPr>
        <w:ind w:left="439" w:right="160" w:hanging="439"/>
        <w:spacing w:after="0" w:line="256" w:lineRule="auto"/>
        <w:tabs>
          <w:tab w:leader="none" w:pos="43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Defaulting Lender’s LC Exposure is neither reallocated nor cash collateralized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then, without prejudice to any rights or remedies of the Issuing Bank or any other Lender hereunder, all facility fees that otherwise would have been payable under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to such Defaulting Lender (solely with respect to the portion of such Defaulting Lender’s Commitment that was utilized by such LC Exposure) and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Issuing Bank until and to the extent that such LC Exposure is reallocated and/or cash collateralized; and</w:t>
      </w:r>
    </w:p>
    <w:p>
      <w:pPr>
        <w:spacing w:after="0" w:line="120" w:lineRule="exact"/>
        <w:rPr>
          <w:sz w:val="20"/>
          <w:szCs w:val="20"/>
          <w:color w:val="auto"/>
        </w:rPr>
      </w:pPr>
    </w:p>
    <w:p>
      <w:pPr>
        <w:ind w:left="43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019"/>
          </w:cols>
          <w:pgMar w:left="1421" w:top="270" w:right="459" w:bottom="1440" w:gutter="0" w:footer="0" w:header="0"/>
        </w:sectPr>
      </w:pPr>
    </w:p>
    <w:bookmarkStart w:id="77" w:name="page78"/>
    <w:bookmarkEnd w:id="77"/>
    <w:p>
      <w:pPr>
        <w:ind w:firstLine="987"/>
        <w:spacing w:after="0" w:line="256"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 long as such Lender is a Defaulting Lender, (i) no Swingline Lender shall be required to fund any Swingline Loan and the Issuing Bank shall not be required to issue, amend, renew or extend any Letter of Credit, unless it is satisfied that the related exposure and the Defaulting Lender’s then outstanding LC Exposure will be one hundred percent (100%) covered by the Commitments of the non-Defaulting Lenders and/or cash collateral will be provided by the Company in accordance with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(ii) Swingline Exposure related to any newly made Swingline Loan or LC Exposure related to any newly issued, amended, renewed or extended Letter of Credit shall be allocated among non-Defaulting Lenders in a manner consistent with </w:t>
      </w:r>
      <w:r>
        <w:rPr>
          <w:rFonts w:ascii="Times New Roman" w:cs="Times New Roman" w:eastAsia="Times New Roman" w:hAnsi="Times New Roman"/>
          <w:sz w:val="18"/>
          <w:szCs w:val="18"/>
          <w:u w:val="single" w:color="auto"/>
          <w:color w:val="auto"/>
        </w:rPr>
        <w:t>clause (d)(i)</w:t>
      </w:r>
      <w:r>
        <w:rPr>
          <w:rFonts w:ascii="Times New Roman" w:cs="Times New Roman" w:eastAsia="Times New Roman" w:hAnsi="Times New Roman"/>
          <w:sz w:val="18"/>
          <w:szCs w:val="18"/>
          <w:color w:val="auto"/>
        </w:rPr>
        <w:t xml:space="preserve"> above (and such Defaulting Lender shall not participate therein).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event that the Administrative Agent, the Company, each Swingline Lender and the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Expansion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53"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but not more than five (5) times during the term of this Agreement, elect to increase the aggregate Commitments and/or enter into one or more tranches of term loans (each, an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in each case in a minimum amount of $10,000,000 and an integral multiple of $5,000,000 in excess thereof so long as, after giving effect thereto, the aggregate amount of such Commitment increases and all such Incremental Term Loans does not exceed $650,000,000. The Company may arrange for any such Commitment increase or Incremental Term Loan to be provided by one or more Lenders (each Lender so agreeing to an increase in its Commitment, or to participate in such Incremental Term Loans, an “</w:t>
      </w:r>
      <w:r>
        <w:rPr>
          <w:rFonts w:ascii="Times New Roman" w:cs="Times New Roman" w:eastAsia="Times New Roman" w:hAnsi="Times New Roman"/>
          <w:sz w:val="18"/>
          <w:szCs w:val="18"/>
          <w:b w:val="1"/>
          <w:bCs w:val="1"/>
          <w:i w:val="1"/>
          <w:iCs w:val="1"/>
          <w:color w:val="auto"/>
        </w:rPr>
        <w:t>Increasing Lender</w:t>
      </w:r>
      <w:r>
        <w:rPr>
          <w:rFonts w:ascii="Times New Roman" w:cs="Times New Roman" w:eastAsia="Times New Roman" w:hAnsi="Times New Roman"/>
          <w:sz w:val="18"/>
          <w:szCs w:val="18"/>
          <w:color w:val="auto"/>
        </w:rPr>
        <w:t>”), or by one or more new banks, financial institutions or other entities (each such new bank, financial institution or other entity, an “</w:t>
      </w:r>
      <w:r>
        <w:rPr>
          <w:rFonts w:ascii="Times New Roman" w:cs="Times New Roman" w:eastAsia="Times New Roman" w:hAnsi="Times New Roman"/>
          <w:sz w:val="18"/>
          <w:szCs w:val="18"/>
          <w:b w:val="1"/>
          <w:bCs w:val="1"/>
          <w:i w:val="1"/>
          <w:iCs w:val="1"/>
          <w:color w:val="auto"/>
        </w:rPr>
        <w:t>Augmenting Lender</w:t>
      </w:r>
      <w:r>
        <w:rPr>
          <w:rFonts w:ascii="Times New Roman" w:cs="Times New Roman" w:eastAsia="Times New Roman" w:hAnsi="Times New Roman"/>
          <w:sz w:val="18"/>
          <w:szCs w:val="18"/>
          <w:color w:val="auto"/>
        </w:rPr>
        <w:t xml:space="preserve">”), to increase their existing Commitments, or to participate in such Incremental Term Loans, or extend Commitments,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Augmenting Lender shall be subject to the approval of the Company and the Administrative Agent and, except in the case of an Incremental Term Loan, the Swingline Lenders and the Issuing Banks, which approvals shall not be unreasonably withheld and (ii) (A) in the case of an Increasing Lender, the Company and such Increasing Lender execute an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(B) in the case of an Augmenting Lender, the Company and such Augmenting Lender execute an agreement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No consent of any Lender (other than the Lenders participating in such Commitment increase or Incremental Term Loan) shall be required for any such increase or Incremental Term Loan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increases, new Commitments and Incremental Term Loans created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become effective on the date agreed by the Company, the Administrative Agent and the relevant Increasing Lenders and/or Augmenting Lenders, and the Administrative Agent shall notify each Lender thereof. Notwithstanding the foregoing, no increase in the aggregate Commitments (or in the Commitment of any Lender) or Incremental Term Loan shall become effective under this paragraph unless (i) on the proposed date of the effectiveness of such Commitment increase or Incremental Term Loan, (A) the conditions set forth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both before and immediately after giving effect to such Commitment increase or Incremental Term Loan or waived by the Required Lenders, and the Administrative Agent shall have received a certificate to that effect dated such date and executed by a Financial Officer of the Company and (B) the Company shall be in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compliance with the Consolidated Net Leverage Ratio covenant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with Consolidated Total Debt measured as of the date of and immediately after giving effect to any funding in connection with such Commitment increase or Incremental Term Loan (and the application of proceeds thereof to the repayment of any other Indebtedness) and Consolidated EBITDA measured for the Reference Period then most recently ended for which the Company has delivered financial statements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(ii) the Administrative Agent shall have received documents consistent with those delivered on the Effective Date as to the corporate power and authority of the Borrowers to borrow hereunder immediately after giving effect to such Commitment increase or Incremental Term Loan.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78" w:name="page79"/>
    <w:bookmarkEnd w:id="78"/>
    <w:p>
      <w:pPr>
        <w:ind w:right="40" w:firstLine="987"/>
        <w:spacing w:after="0" w:line="253"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effective date of any increase in the aggregate Commitments or any Incremental Term Loan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Commitment increase and the use of such amounts to make payments to such other Lenders, each Lender’s portion of the outstanding Revolving Loans of all the Lenders to equal its Applicable Percentage of such outstanding Revolving Loans, and (ii) the Borrowers shall be deemed to have repaid and reborrowed all outstanding Revolving Loans as of the date of any increase in the Commitments (with such reborrowing to consist of the Types of Revolving Loans, with related Interest Periods if applicable, specified in a notice delivered by the Company, in accordance with the 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deemed payments made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immediately preceding sentence shall be accompanied by payment of all accrued interest on the amount prepaid and, in respect of each Term Benchmark Loan, Canadian Prime Rate Loan and RFR Loan, shall be subject to indemnification by the Borrowers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the deemed payment occurs other than on the last day of the related Interest Periods (or, in the case of an RFR Loan other than on the Interest Payment Date applicable thereto).</w:t>
      </w:r>
    </w:p>
    <w:p>
      <w:pPr>
        <w:spacing w:after="0" w:line="83"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Incremental Term Loans (i) shall rank pari passu in right of payment with the Revolving Loans, (ii) shall not mature earlier than the Maturity Date (but may have amortization prior to such date) and (iii) shall be treated substantially the same as (and in any event no more favorably than) the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terms and conditions applicable to any Incremental Term Loan maturing after the Maturity Date may provide for material additional or different financial or other covenants or prepayment requirements applicable only during periods after the Maturity Date and (y) the Incremental Term Loans may be priced differently than the Revolving Loans.</w:t>
      </w:r>
    </w:p>
    <w:p>
      <w:pPr>
        <w:spacing w:after="0" w:line="71" w:lineRule="exact"/>
        <w:rPr>
          <w:rFonts w:ascii="Times New Roman" w:cs="Times New Roman" w:eastAsia="Times New Roman" w:hAnsi="Times New Roman"/>
          <w:sz w:val="18"/>
          <w:szCs w:val="18"/>
          <w:color w:val="auto"/>
        </w:rPr>
      </w:pPr>
    </w:p>
    <w:p>
      <w:pPr>
        <w:ind w:right="320" w:firstLine="987"/>
        <w:spacing w:after="0" w:line="256"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Term Loans may be made hereunder pursuant to an amendment or restatement (an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of this Agreement and, as appropriate, the other Loan Documents, executed by the Company, each Increasing Lender participating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such Incremental Term Loan, each Augmenting Lender participating in such Incremental Term Loan, if any,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constitute, or otherwise be deemed to be, a commitment on the part of any Lender to increase its Commitment hereunder, or provide Incremental Term Loans, at any time.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b w:val="1"/>
          <w:bCs w:val="1"/>
          <w:i w:val="1"/>
          <w:iCs w:val="1"/>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any Borrower in respect of any sum due to any Credit Party hereunder shall, notwithstanding any judgment in a currency other than the specified currency, be discharged only to the extent that on the Business Day following receipt by such Credit Party of any sum adjudged to be so due in such other currency such Credit Party may in accordance with normal, reasonable banking procedures purchase the specified currency with such other currency. If the amount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79" w:name="page80"/>
    <w:bookmarkEnd w:id="79"/>
    <w:p>
      <w:pPr>
        <w:ind w:left="4"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specified currency so purchased is less than the sum originally due to such Credit Party in the specified currency, the applicable Borrower agrees, to the fullest extent that it may effectively do so, as a separate obligation and notwithstanding any such judgment, to indemnify such Credit Party against such loss, and if the amount of the specified currency so purchased exceeds (a) the sum originally due to any Credit Party in the specified currency and</w:t>
      </w:r>
    </w:p>
    <w:p>
      <w:pPr>
        <w:spacing w:after="0" w:line="2" w:lineRule="exact"/>
        <w:rPr>
          <w:sz w:val="20"/>
          <w:szCs w:val="20"/>
          <w:color w:val="auto"/>
        </w:rPr>
      </w:pPr>
    </w:p>
    <w:p>
      <w:pPr>
        <w:ind w:left="4" w:right="280" w:hanging="4"/>
        <w:spacing w:after="0" w:line="260"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shared with other Lenders as a result of allocations of such excess as a disproportionate payment to such Lender under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such Credit Party agrees to remit such excess to such Borrower.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82" w:lineRule="auto"/>
        <w:tabs>
          <w:tab w:leader="none" w:pos="1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as of the date hereof, each Subsidiary identified on </w:t>
      </w:r>
      <w:r>
        <w:rPr>
          <w:rFonts w:ascii="Times New Roman" w:cs="Times New Roman" w:eastAsia="Times New Roman" w:hAnsi="Times New Roman"/>
          <w:sz w:val="18"/>
          <w:szCs w:val="18"/>
          <w:u w:val="single" w:color="auto"/>
          <w:color w:val="auto"/>
        </w:rPr>
        <w:t>Schedule 2.23</w:t>
      </w:r>
      <w:r>
        <w:rPr>
          <w:rFonts w:ascii="Times New Roman" w:cs="Times New Roman" w:eastAsia="Times New Roman" w:hAnsi="Times New Roman"/>
          <w:sz w:val="18"/>
          <w:szCs w:val="18"/>
          <w:color w:val="auto"/>
        </w:rPr>
        <w:t xml:space="preserve"> shall be a Designated Borrower hereunder and may receive Revolving Loans for its account on the terms and conditions set forth in this Agreement.</w:t>
      </w:r>
    </w:p>
    <w:p>
      <w:pPr>
        <w:spacing w:after="0" w:line="53"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upon not less than fifteen (15) Business Days’ notice from the Company to the Administrative Agent (or such shorter period as may be agreed by the Administrative Agent in its sole discretion), designate any additional wholly owned Subsidiary of the Company (an “</w:t>
      </w:r>
      <w:r>
        <w:rPr>
          <w:rFonts w:ascii="Times New Roman" w:cs="Times New Roman" w:eastAsia="Times New Roman" w:hAnsi="Times New Roman"/>
          <w:sz w:val="18"/>
          <w:szCs w:val="18"/>
          <w:b w:val="1"/>
          <w:bCs w:val="1"/>
          <w:i w:val="1"/>
          <w:iCs w:val="1"/>
          <w:color w:val="auto"/>
        </w:rPr>
        <w:t>Applicant Borrower</w:t>
      </w:r>
      <w:r>
        <w:rPr>
          <w:rFonts w:ascii="Times New Roman" w:cs="Times New Roman" w:eastAsia="Times New Roman" w:hAnsi="Times New Roman"/>
          <w:sz w:val="18"/>
          <w:szCs w:val="18"/>
          <w:color w:val="auto"/>
        </w:rPr>
        <w:t xml:space="preserve">”) as a Designated Borrower to receive Revolving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Designated Borrower Request and Assumption Agreement</w:t>
      </w:r>
      <w:r>
        <w:rPr>
          <w:rFonts w:ascii="Times New Roman" w:cs="Times New Roman" w:eastAsia="Times New Roman" w:hAnsi="Times New Roman"/>
          <w:sz w:val="18"/>
          <w:szCs w:val="18"/>
          <w:color w:val="auto"/>
        </w:rPr>
        <w:t>”). The parties hereto acknowledge and agree that prior to any Applicant Borrower becoming entitled to utilize the credit facilities provided for herein the Administrative Agent and the Lenders shall have (i) received such supporting resolutions, incumbency certificates, opinions of counsel and other documents or information, in form, content and scope reasonably satisfactory to the Administrative Agent, as may be required by the Administrative Agent or the Required Lenders in their reasonable discretion, and (ii) received promissory notes signed by such new Borrowers to the extent any Lenders so require. Furthermore, no Subsidiary of the Company shall become a Designated Borrower if (i) any Lender is not licensed to make Loans to such Subsidiary in the jurisdiction of its organization or (ii) it is otherwise unlawful for such Subsidiary to become a Designated Borrower or for any Lender to make Loans to such Subsidiary as provided herein. No Lender shall be obligated to make Loans to any Applicant Borrower or Designated Borrower if making such Loans by such Lender would (i) be unlawful, or</w:t>
      </w:r>
    </w:p>
    <w:p>
      <w:pPr>
        <w:spacing w:after="0" w:line="2" w:lineRule="exact"/>
        <w:rPr>
          <w:rFonts w:ascii="Times New Roman" w:cs="Times New Roman" w:eastAsia="Times New Roman" w:hAnsi="Times New Roman"/>
          <w:sz w:val="18"/>
          <w:szCs w:val="18"/>
          <w:color w:val="auto"/>
        </w:rPr>
      </w:pPr>
    </w:p>
    <w:p>
      <w:pPr>
        <w:ind w:left="4" w:right="60" w:hanging="4"/>
        <w:spacing w:after="0" w:line="251" w:lineRule="auto"/>
        <w:tabs>
          <w:tab w:leader="none" w:pos="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additional costs (including Taxes) to be incurred by such Lender that would not otherwise be reimbursable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the other provisions of this Agreement. If the foregoing conditions have been satisfied,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Designated Borrower Notice</w:t>
      </w:r>
      <w:r>
        <w:rPr>
          <w:rFonts w:ascii="Times New Roman" w:cs="Times New Roman" w:eastAsia="Times New Roman" w:hAnsi="Times New Roman"/>
          <w:sz w:val="18"/>
          <w:szCs w:val="18"/>
          <w:color w:val="auto"/>
        </w:rPr>
        <w:t xml:space="preserve">”) to the Company and the Lenders specifying the effective date upon which the Applicant Borrower shall constitute a Designated Borrower for purposes hereof, whereupon each of the Lenders agrees to permit such Designated Borrower to receive Revolving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Borrowing Request may be submitted on behalf of such Designated Borrower until the date that is five (5) Business Days after such effective date.</w:t>
      </w:r>
    </w:p>
    <w:p>
      <w:pPr>
        <w:spacing w:after="0" w:line="85" w:lineRule="exact"/>
        <w:rPr>
          <w:rFonts w:ascii="Times New Roman" w:cs="Times New Roman" w:eastAsia="Times New Roman" w:hAnsi="Times New Roman"/>
          <w:sz w:val="18"/>
          <w:szCs w:val="18"/>
          <w:color w:val="auto"/>
        </w:rPr>
      </w:pPr>
    </w:p>
    <w:p>
      <w:pPr>
        <w:ind w:left="4" w:right="200" w:firstLine="987"/>
        <w:spacing w:after="0" w:line="256" w:lineRule="auto"/>
        <w:tabs>
          <w:tab w:leader="none" w:pos="12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each Designated Borrower that is a Domestic Subsidiary shall be joint and several in nature regardless of which Borrower actually borrows Revolving Loans hereunder or the amount of such Revolving Loans borrowed or the manner in which the Administrative Agent or any Lender accounts for such Revolving Loans on its books and records. The Obligations of all Foreign Obligors shall be several in nature, and notwithstanding any provision of this Agreement or in any other Loan Document, express or implied, in no event shall any Foreign Obligor be obligated to make any payments in respect of an Obligation of the Company or a Designated Borrower that is a Domestic Subsidiary. All provisions in this Agreement and each other Loan Document shall be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0" w:name="page81"/>
    <w:bookmarkEnd w:id="80"/>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interpreted and applied consistently with this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 xml:space="preserve">, and if and where other provisions of this Agreement or any other Loan Document conflict with the provisions of this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 xml:space="preserve"> shall apply (it being the intent of this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 xml:space="preserve"> and of the parties hereto to avoid adverse tax consequences due to the application of Section 956 of the Code).</w:t>
      </w:r>
    </w:p>
    <w:p>
      <w:pPr>
        <w:spacing w:after="0" w:line="68" w:lineRule="exact"/>
        <w:rPr>
          <w:sz w:val="20"/>
          <w:szCs w:val="20"/>
          <w:color w:val="auto"/>
        </w:rPr>
      </w:pPr>
    </w:p>
    <w:p>
      <w:pPr>
        <w:ind w:left="4" w:firstLine="987"/>
        <w:spacing w:after="0" w:line="254" w:lineRule="auto"/>
        <w:tabs>
          <w:tab w:leader="none" w:pos="125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that is or becomes a Designated Borrower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hereby irrevocably appoints the Company as its agent for all purposes relevant to the Loan Documents, including (i) the giving and receipt of notices, (ii) the execution and delivery of all documents, instruments and certificates contemplated herein and all modifications hereto, and (iii) the receipt of the proceeds of any Revolving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83"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upon not less than fifteen (15) Business Days’ notice from the Company to the Administrative Agent (or such shorter period as may be agreed by the Administrative Agent in its sole discretion), terminate a Designated Borrower’s status as such, provided that there are no outstanding Revolving Loans payable by such Designated Borrower, or other amounts payable by such Designated Borrower on account of any Revolving Loans made to it, as of the effective date of such termination. The Administrative Agent will promptly notify the Lenders of any such termination of a Designated Borrower’s status.</w:t>
      </w:r>
    </w:p>
    <w:p>
      <w:pPr>
        <w:spacing w:after="0" w:line="75" w:lineRule="exact"/>
        <w:rPr>
          <w:rFonts w:ascii="Times New Roman" w:cs="Times New Roman" w:eastAsia="Times New Roman" w:hAnsi="Times New Roman"/>
          <w:sz w:val="18"/>
          <w:szCs w:val="18"/>
          <w:color w:val="auto"/>
        </w:rPr>
      </w:pPr>
    </w:p>
    <w:p>
      <w:pPr>
        <w:ind w:left="4" w:right="140" w:firstLine="987"/>
        <w:spacing w:after="0" w:line="272" w:lineRule="auto"/>
        <w:tabs>
          <w:tab w:leader="none" w:pos="122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selection of a particular Designated Borrower results (or is reasonably anticipated to result) in amounts becoming payable under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the Company may make a written request to the Administrative Agent for an amendment to this Agreement that would create a separate tranche of Lenders to provide credit to such Designated Borrower in a manner that would eliminate or minimize amounts payable under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The Administrative Agent and the Lenders agree to consider such amendment request in good faith. The Company hereby agrees to pay (or to cause the applicable Designated Borrower to pay) all reasonable costs and expenses incurred by the Administrative Agent or any Lender in connection with any such amendment, subject to compliance by the Lenders with the applicable provisions of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7"/>
          <w:szCs w:val="17"/>
          <w:color w:val="auto"/>
        </w:rPr>
      </w:pPr>
    </w:p>
    <w:p>
      <w:pPr>
        <w:ind w:left="4" w:right="140" w:firstLine="987"/>
        <w:spacing w:after="0" w:line="276" w:lineRule="auto"/>
        <w:tabs>
          <w:tab w:leader="none" w:pos="125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If, in any applicable jurisdiction, the Administrative Agent, any Issuing Bank or any Lender determines that any law has made it unlawful, or that any Governmental Authority has asserted that it is unlawful, for the Administrative Agent, any Issuing Bank or any Lender to</w:t>
      </w:r>
    </w:p>
    <w:p>
      <w:pPr>
        <w:ind w:left="4" w:right="20" w:hanging="4"/>
        <w:spacing w:after="0" w:line="251" w:lineRule="auto"/>
        <w:tabs>
          <w:tab w:leader="none" w:pos="2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of its obligations hereunder or under any other Loan Document, (ii) to fund or maintain its participation in any Loan or (iii) issue, make, maintain, fund or charge interest with respect to any Loan, in each of the foregoing cases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with respect to any such Loan shall be suspended, and to the extent required by applicable law, cancelled. Upon receipt of such notice, the Borrowers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2.24 </w:t>
      </w:r>
      <w:r>
        <w:rPr>
          <w:rFonts w:ascii="Times New Roman" w:cs="Times New Roman" w:eastAsia="Times New Roman" w:hAnsi="Times New Roman"/>
          <w:sz w:val="18"/>
          <w:szCs w:val="18"/>
          <w:u w:val="single" w:color="auto"/>
          <w:color w:val="auto"/>
        </w:rPr>
        <w:t>Extension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Requests</w:t>
      </w:r>
      <w:r>
        <w:rPr>
          <w:rFonts w:ascii="Times New Roman" w:cs="Times New Roman" w:eastAsia="Times New Roman" w:hAnsi="Times New Roman"/>
          <w:sz w:val="18"/>
          <w:szCs w:val="18"/>
          <w:color w:val="auto"/>
        </w:rPr>
        <w:t>. Following the first anniversary of the Effective Date, and on no more than two occasions, the Company may, by written notice to the Administrative Agent (which shall promptly deliver a copy thereof to each Lender) request a one-year extension of the Maturity Date then in effect (the Maturity Date then in effect being called the “</w:t>
      </w:r>
      <w:r>
        <w:rPr>
          <w:rFonts w:ascii="Times New Roman" w:cs="Times New Roman" w:eastAsia="Times New Roman" w:hAnsi="Times New Roman"/>
          <w:sz w:val="18"/>
          <w:szCs w:val="18"/>
          <w:b w:val="1"/>
          <w:bCs w:val="1"/>
          <w:i w:val="1"/>
          <w:iCs w:val="1"/>
          <w:color w:val="auto"/>
        </w:rPr>
        <w:t>Existing Termination Date</w:t>
      </w:r>
      <w:r>
        <w:rPr>
          <w:rFonts w:ascii="Times New Roman" w:cs="Times New Roman" w:eastAsia="Times New Roman" w:hAnsi="Times New Roman"/>
          <w:sz w:val="18"/>
          <w:szCs w:val="18"/>
          <w:color w:val="auto"/>
        </w:rPr>
        <w:t>”). Each Lender shall, by written notice to the Company and the Administrative Agent given not later than the twentieth (20th) day after the Administrative Agent’s receipt of the applicable extension request, advise the Company and the Administrative Agent whether it agrees to such extension (each Lender agreeing to the applicable requested extension being called an “</w:t>
      </w:r>
      <w:r>
        <w:rPr>
          <w:rFonts w:ascii="Times New Roman" w:cs="Times New Roman" w:eastAsia="Times New Roman" w:hAnsi="Times New Roman"/>
          <w:sz w:val="18"/>
          <w:szCs w:val="18"/>
          <w:b w:val="1"/>
          <w:bCs w:val="1"/>
          <w:i w:val="1"/>
          <w:iCs w:val="1"/>
          <w:color w:val="auto"/>
        </w:rPr>
        <w:t>Extending Lender</w:t>
      </w:r>
      <w:r>
        <w:rPr>
          <w:rFonts w:ascii="Times New Roman" w:cs="Times New Roman" w:eastAsia="Times New Roman" w:hAnsi="Times New Roman"/>
          <w:sz w:val="18"/>
          <w:szCs w:val="18"/>
          <w:color w:val="auto"/>
        </w:rPr>
        <w:t>”, and each Lender declining to agree to the applicable requested extension being called a “</w:t>
      </w:r>
      <w:r>
        <w:rPr>
          <w:rFonts w:ascii="Times New Roman" w:cs="Times New Roman" w:eastAsia="Times New Roman" w:hAnsi="Times New Roman"/>
          <w:sz w:val="18"/>
          <w:szCs w:val="18"/>
          <w:b w:val="1"/>
          <w:bCs w:val="1"/>
          <w:i w:val="1"/>
          <w:iCs w:val="1"/>
          <w:color w:val="auto"/>
        </w:rPr>
        <w:t>Non-Extending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Any Lender that has not so advised the Company and the Administrative Agent by such day shall be deemed to have declined to agree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extension and shall be a Non-Extending Lender. If Required Lenders (including, for purposes of this calculation, each Lender that agrees to replace a Non-Extending Lender in accordance with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 agree to the applicable extension request, then the Maturity Date shall, as to the Extending Lenders, be extended to the first anniversary of the Existing Termination Date. The decision of any Lender to agree or withhold agreement to either such extension request shall be at the sole discretion of such Lender.</w:t>
      </w:r>
    </w:p>
    <w:p>
      <w:pPr>
        <w:spacing w:after="0" w:line="8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Terminations</w:t>
      </w:r>
      <w:r>
        <w:rPr>
          <w:rFonts w:ascii="Times New Roman" w:cs="Times New Roman" w:eastAsia="Times New Roman" w:hAnsi="Times New Roman"/>
          <w:sz w:val="18"/>
          <w:szCs w:val="18"/>
          <w:color w:val="auto"/>
        </w:rPr>
        <w:t xml:space="preserve">. The Commitments of the Non-Extending Lenders shall terminate on the Existing Termination Date. The principal amount of outstanding Loans made by Non-Extending Lenders, together with accrued interest thereon and accrued fees and other amounts payable to or for the accounts of Non-Extending Lenders hereunder, shall be due and payable on the Existing Termination Date. On the Existing Termination Date the Borrowers shall also make such other prepayments of the Loans and, to the extent no Loans remain outstanding, cash collateralize, in a manner approved in writing by the Administrative Agent and the Issuing Bank, LC Exposure in an aggregate principal amount sufficient to cause the Dollar Amount of the Total Revolving Credit Exposures (calculated, with respect to Revolving Loans and LC Exposure denominated in Foreign Currencies, as of the most recent Computation Date with respect to each such Revolving Loans and LC Exposure) to be less than or equal to the total Commitments. The Company shall have the right, pursuant to and in accordance with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to replace a Non-Extending Lender with a Lender or other financial institution that will agree to the applicable extension request, and any such replacement Lender shall for all purposes constitute an Extending Lender.</w:t>
      </w:r>
    </w:p>
    <w:p>
      <w:pPr>
        <w:spacing w:after="0" w:line="86"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Swingline Lenders and Issuing Bank</w:t>
      </w:r>
      <w:r>
        <w:rPr>
          <w:rFonts w:ascii="Times New Roman" w:cs="Times New Roman" w:eastAsia="Times New Roman" w:hAnsi="Times New Roman"/>
          <w:sz w:val="18"/>
          <w:szCs w:val="18"/>
          <w:color w:val="auto"/>
        </w:rPr>
        <w:t xml:space="preserve">. The Availability Period and the Maturity Date (without taking into consideration any extension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as such terms are used in reference to any Swingline Lender (or any Swingline Loans made by such Swingline Lender) or the Issuing Bank (or any Letters of Credit issued by the Issuing Bank), may not be extended without the prior written consent of such Swingline Lenders or each Issuing Bank, as the case may be, it being understood and agreed that, if such Swingline Lender or each Issuing Bank, as the case may be, does not consent to the applicable extension, (i) such Swingline Lender or such Issuing Bank, as the case may be, shall continue to have all the rights and obligations of a Swingline Lender or an Issuing Bank, as the case may be, hereunder through the Existing Termination Date (or the Availability Period determined on the basis thereof, as applicable), and thereafter shall have no obligation to make any Swingline Loans or to issue, amend, extend or renew any Letters of Credit (but shall, in each case, continue to be entitled to the benefits of </w:t>
      </w:r>
      <w:r>
        <w:rPr>
          <w:rFonts w:ascii="Times New Roman" w:cs="Times New Roman" w:eastAsia="Times New Roman" w:hAnsi="Times New Roman"/>
          <w:sz w:val="18"/>
          <w:szCs w:val="18"/>
          <w:u w:val="single" w:color="auto"/>
          <w:color w:val="auto"/>
        </w:rPr>
        <w:t>Sections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as applicable, as to Swingline Loans or Letters of Credit made or issued prior to such time), (ii) the principal amount of any outstanding Swingline Loans made by such Swingline Lender, together with any accrued interest thereon, shall, to the extent outstanding or accrued but unpaid on the Existing Termination Date, be due and payable on the Existing Termination Date, and (iii) the Borrowers shall cause the LC Exposure to be cash collateralized in a manner approved in writing by the Administrative Agent and the Issuing Bank no later than the date that is five Business Days prior to the Existing Termination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2" w:name="page83"/>
    <w:bookmarkEnd w:id="82"/>
    <w:p>
      <w:pPr>
        <w:ind w:left="1244" w:hanging="253"/>
        <w:spacing w:after="0"/>
        <w:tabs>
          <w:tab w:leader="none" w:pos="124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Precedent to Extensions</w:t>
      </w:r>
      <w:r>
        <w:rPr>
          <w:rFonts w:ascii="Times New Roman" w:cs="Times New Roman" w:eastAsia="Times New Roman" w:hAnsi="Times New Roman"/>
          <w:sz w:val="18"/>
          <w:szCs w:val="18"/>
          <w:color w:val="auto"/>
        </w:rPr>
        <w:t xml:space="preserve">. No extension of the Maturity Date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become effective unless</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Administrative Agent, the Administrative Agent shall have received documents consistent with those delivered on the Effective Date as to the corporate power and authority of the Borrowers to effect such extension and (ii) the Administrative Agent shall have received a certificate executed by a Financial Officer of the Company, dated as of the effective date of such extension, stating that (A) as of such date, no Default has occurred and is continuing or would result from such extension of the Maturity Date and (B) the representations and warranties of the Borrowers set forth in the Loan Documents are true in all material respects (or in all respects if the applicable representation or warranty is already qualified by concepts of materiality) on and as of such date (except to the extent any such representations or warranties are limited to an earlier date, in which case such representations and warranties shall be true in all material respects as of such earlier date).</w:t>
      </w:r>
    </w:p>
    <w:p>
      <w:pPr>
        <w:spacing w:after="0" w:line="200" w:lineRule="exact"/>
        <w:rPr>
          <w:sz w:val="20"/>
          <w:szCs w:val="20"/>
          <w:color w:val="auto"/>
        </w:rPr>
      </w:pPr>
    </w:p>
    <w:p>
      <w:pPr>
        <w:spacing w:after="0" w:line="20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each Borrower represents and warrants to the Lenders that:</w:t>
      </w:r>
    </w:p>
    <w:p>
      <w:pPr>
        <w:spacing w:after="0" w:line="225"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Each Borrower (a) is duly organized, validly existing and in good standing under the laws of the jurisdiction of its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qualified to do business in, and is licensed and in good standing under the laws of, every jurisdiction where such qualification is required; except in each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could not reasonably be expected to have a Material Adverse Effect.</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Borrower’s corporate powers and have been duly authorized by all necessary corporate and, if required, stockholder action. Each Loan Document has been duly executed and delivered by each Borrower that is a party thereto and constitutes a legal, valid and binding obligation of each such Borrower, enforceable in accordance with its terms, subject to applicable bankruptcy, insolvency, reorganization, moratorium or other laws affecting creditors’ rights generally, any mandatory applicable provisions of Luxembourg law of general application and subject to general principles of equity, regardless of whether considered in a proceeding in equity or at law.</w:t>
      </w:r>
    </w:p>
    <w:p>
      <w:pPr>
        <w:spacing w:after="0" w:line="1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do not and will not (a) require any consent or approval of, registration or filing with, or any other action by, any Governmental Authority or any other Person, (b) violate any applicable law, rule or regulation of any Governmental Authority or any Organization Document of any Borrower, and (c) conflict with or result in any material breach or contravention of, or the creation of any material Lien under, or require any material payment to be made under (i) any material Contractual Obligation to which any Borrower is a party or affecting any Borrower or the properties of any Borrower or any of its Subsidiaries or (ii) any order, injunction, writ or decree of any Governmental Authority or any arbitral award to which any Borrower or the properties of any Borrower or any of its Subsidiaries is subject.</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4"/>
          </w:cols>
          <w:pgMar w:left="436" w:top="270" w:right="499" w:bottom="1440" w:gutter="0" w:footer="0" w:header="0"/>
        </w:sectPr>
      </w:pPr>
    </w:p>
    <w:bookmarkStart w:id="83" w:name="page84"/>
    <w:bookmarkEnd w:id="8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56" w:lineRule="auto"/>
        <w:tabs>
          <w:tab w:leader="none" w:pos="12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heretofore furnished to the Lenders its consolidated balance sheet and statements of income or operations, shareholders’ equity and cash flows (i) as of and for the fiscal year ended September 30, 2025, reported on by Deloitte and Touche LLP, independent public accountants, and (ii) as of and for the fiscal quarters and the portion of the fiscal year ended December 31, 2025 and March 31, 2026, certified by its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79" w:lineRule="exact"/>
        <w:rPr>
          <w:rFonts w:ascii="Times New Roman" w:cs="Times New Roman" w:eastAsia="Times New Roman" w:hAnsi="Times New Roman"/>
          <w:sz w:val="18"/>
          <w:szCs w:val="18"/>
          <w:color w:val="auto"/>
        </w:rPr>
      </w:pPr>
    </w:p>
    <w:p>
      <w:pPr>
        <w:ind w:left="-20" w:right="100" w:firstLine="987"/>
        <w:spacing w:after="0" w:line="282" w:lineRule="auto"/>
        <w:tabs>
          <w:tab w:leader="none" w:pos="12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2025, there has been no development, event or circumstance, either individually or in the aggregate, that has had or could reasonably be expected to have a Material Adverse Effect.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58" w:lineRule="auto"/>
        <w:tabs>
          <w:tab w:leader="none" w:pos="12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proceedings, claims or disputes pending or, to the knowledge of the Borrowers after due and diligent investigation, threatened or contemplated, at law, in equity, in arbitration or before any Governmental Authority, by or against the Company or any Subsidiary or against any of their properties or revenues that (i) except as described in the Company’s 2025 Form 10-K or any subsequent Form 10-Q or Form 8-K filing prior to the Effective Date (the “</w:t>
      </w:r>
      <w:r>
        <w:rPr>
          <w:rFonts w:ascii="Times New Roman" w:cs="Times New Roman" w:eastAsia="Times New Roman" w:hAnsi="Times New Roman"/>
          <w:sz w:val="18"/>
          <w:szCs w:val="18"/>
          <w:b w:val="1"/>
          <w:bCs w:val="1"/>
          <w:i w:val="1"/>
          <w:iCs w:val="1"/>
          <w:color w:val="auto"/>
        </w:rPr>
        <w:t>Disclosed Litigation</w:t>
      </w:r>
      <w:r>
        <w:rPr>
          <w:rFonts w:ascii="Times New Roman" w:cs="Times New Roman" w:eastAsia="Times New Roman" w:hAnsi="Times New Roman"/>
          <w:sz w:val="18"/>
          <w:szCs w:val="18"/>
          <w:color w:val="auto"/>
        </w:rPr>
        <w:t>”), could, either individually or in the aggregate, reasonably be expected to have a Material Adverse Effect, or (ii) purport to affect or pertain to any Loan Document or the Transactions.</w:t>
      </w:r>
    </w:p>
    <w:p>
      <w:pPr>
        <w:spacing w:after="0" w:line="75"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Borrowers have reasonably concluded that, except for the Disclosed Litigation, violation of such Environmental Laws and claims could not, individually or in the aggregate, reasonably be expected to have a Material Adverse Effect.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6" w:lineRule="auto"/>
        <w:tabs>
          <w:tab w:leader="none" w:pos="12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and Significant Subsidiaries is in compliance with the requirements of all laws, rules and regulations and orders, writs and decrees of any Governmental Authority applicable to it or its properties, except to the extent that (i) failure to comply therewith could not, individually or in the aggregate, reasonably be expected to result in a Material Adverse Effect and (ii) such requirement is being contested in good faith by appropriate proceedings diligently conducted. Each Borrower is in compliance with all material Contractual Obligations to which such Borrower is a party or affecting such Borrower or the properties of such Borrower or any of its Subsidiaries, except to the extent that failure to comply therewith could not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or would result from the consummation of the Transactions.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Investment Company Status; Margin Regulations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00" w:firstLine="987"/>
        <w:spacing w:after="0" w:line="282" w:lineRule="auto"/>
        <w:tabs>
          <w:tab w:leader="none" w:pos="12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Controlling the Company nor any Subsidiary is or is required to be registered as an “investment company” under the Investment Company Act of 1940.</w:t>
      </w:r>
    </w:p>
    <w:p>
      <w:pPr>
        <w:spacing w:after="0" w:line="53" w:lineRule="exact"/>
        <w:rPr>
          <w:rFonts w:ascii="Times New Roman" w:cs="Times New Roman" w:eastAsia="Times New Roman" w:hAnsi="Times New Roman"/>
          <w:sz w:val="18"/>
          <w:szCs w:val="18"/>
          <w:color w:val="auto"/>
        </w:rPr>
      </w:pPr>
    </w:p>
    <w:p>
      <w:pPr>
        <w:ind w:left="-20" w:right="460" w:firstLine="987"/>
        <w:spacing w:after="0" w:line="312" w:lineRule="auto"/>
        <w:tabs>
          <w:tab w:leader="none" w:pos="122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Borrower is engaged or will engage, principally or as one of its important activities, in the business of purchasing or carrying margin stock (within the meaning of Regulation U of the Board), or extending credit for the purpose of purchasing or carrying margin stock.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60" w:top="270" w:right="479" w:bottom="1440" w:gutter="0" w:footer="0" w:header="0"/>
        </w:sectPr>
      </w:pPr>
    </w:p>
    <w:bookmarkStart w:id="84" w:name="page85"/>
    <w:bookmarkEnd w:id="8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Borrowers and Significant Subsidiaries has timely filed or caused to be filed all federal, state and other material Tax returns and reports required to have been filed and have paid or caused to be paid all federal, state and other material Taxes required to have been paid by it, except Taxes that are being contested in good faith by appropriate proceedings diligently conducted and for which such Borrower or such Significant Subsidiary, as applicable, has set aside on its books adequate reserves. There is no proposed Tax assessment against any Borrower or any Subsidiary that would, if made, have a Material Adverse Effect.</w:t>
      </w:r>
    </w:p>
    <w:p>
      <w:pPr>
        <w:spacing w:after="0" w:line="183"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by an amount that could reasonably be expected to result in a Material Adverse Effect, and the present value of all accumulated benefit obligations of all underfunded Plans (based on the assumptions used for purposes of Statement of Financial Accounting Standards No. 87) did not, as of the date of the most recent financial statements reflecting such amounts, exceed the fair market value of the assets of all such underfunded Plans by an amount that could reasonably be expected to result in a Material Adverse Effect.</w:t>
      </w:r>
    </w:p>
    <w:p>
      <w:pPr>
        <w:spacing w:after="0" w:line="192"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All information heretofore furnished by the Borrowers to the Administrative Agent or any Lender for purposes of or in connection with the Loan Documents or the Transactions is, and all such information hereafter furnished by the Borrowers to the Administrative Agent or any Lender will be, true and accurate in all material respects on the date as of which such information is stated or certified. The Borrowers have disclosed to the Lenders in writing any and all facts known to the Borrowers’ management which could reasonably be expected to result in a Material Adverse Effect. As of the Effective Date, to the best knowledge of the Company, the information included in any Beneficial Ownership Certification provided on or prior to the Effective Date to any Lender in connection with this Agreement is true and correct in all respects.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Each Significant Subsidiary (a) is duly organized, validly existing and in good standing under the laws of the jurisdiction of its organization, and (b) has all requisite power and authority and all requisite governmental licenses, authorizations, consents and approvals to own or lease its assets and carry on its business, except in each case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that failure to do so could not reasonably be expected to have a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Representations as to Foreign Obligors</w:t>
      </w:r>
      <w:r>
        <w:rPr>
          <w:rFonts w:ascii="Times New Roman" w:cs="Times New Roman" w:eastAsia="Times New Roman" w:hAnsi="Times New Roman"/>
          <w:sz w:val="18"/>
          <w:szCs w:val="18"/>
          <w:color w:val="auto"/>
        </w:rPr>
        <w:t>. Each of the Company and each Foreign Obligor represents and warrants to the Lenders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right="320" w:firstLine="987"/>
        <w:spacing w:after="0" w:line="256"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Obligor is subject to civil and commercial laws, rules and regulations with respect to its obligations under the Loan Documents to which it is a party (collectively, the “</w:t>
      </w:r>
      <w:r>
        <w:rPr>
          <w:rFonts w:ascii="Times New Roman" w:cs="Times New Roman" w:eastAsia="Times New Roman" w:hAnsi="Times New Roman"/>
          <w:sz w:val="18"/>
          <w:szCs w:val="18"/>
          <w:b w:val="1"/>
          <w:bCs w:val="1"/>
          <w:i w:val="1"/>
          <w:iCs w:val="1"/>
          <w:color w:val="auto"/>
        </w:rPr>
        <w:t>Applicable Foreign Obligor Documents</w:t>
      </w:r>
      <w:r>
        <w:rPr>
          <w:rFonts w:ascii="Times New Roman" w:cs="Times New Roman" w:eastAsia="Times New Roman" w:hAnsi="Times New Roman"/>
          <w:sz w:val="18"/>
          <w:szCs w:val="18"/>
          <w:color w:val="auto"/>
        </w:rPr>
        <w:t>”), and the execution, delivery and performance by such Foreign Obligor of the Applicable Foreign Obligor Documents constitute and will constitute private and commercial acts and not public or governmental acts. Neither any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5" w:name="page86"/>
    <w:bookmarkEnd w:id="85"/>
    <w:p>
      <w:pPr>
        <w:ind w:right="100" w:firstLine="987"/>
        <w:spacing w:after="0" w:line="254"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Foreign Obligor Documents are in proper legal form under the laws, rules and regulations of the jurisdiction in which such Foreign Obligor is organized and existing for the enforcement thereof against such Foreign Obligor under the laws, rules and regulations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any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80"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Tax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made or obtained as soon as is reasonably practicable).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Loans will be used only for the purposes specified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has implemented and maintains in effect policies and procedures designed to ensure compliance by the Company, its Subsidiaries and their respective directors, officers, employees and agents with Anti-Corruption Laws and applicable Sanctions. The Company, its Subsidiaries and, to the knowledge of the Borrowers, their respective employees, officers, directors and agents, are in compliance with Anti-Corruption Laws and applicable Sanctions in all material respects (except to the extent that (i) such noncompliance does not involve any executive officer or similar member of senior management of the Company or such Subsidiary and does not represent a systemic failure of compliance controls, (ii) the Company or such Subsidiary is diligently taking steps to cure such noncompliance and (iii) such noncompliance would not reasonably be expected to materially and adversely affect the Company or such Subsidiary or result in a violation of Anti-Corruption Laws or applicable Sanctions by the Administrative Agent, any Lender or their Affiliates) and are not knowingly engaged in any activity that would reasonably be expected to result in any Borrower being designated as a Sanctioned Person. None of (a) the Company, any of its Subsidiaries, any of their respective officers or employees or, to the knowledge of the Borrowers, any of their respective directors, or (b) to the knowledge of the Borrowers, any agent of the Company or any of its Subsidiaries that will act in any capacity in connection with or benefit from the credit facility established hereby, is a Sanctioned Person so as to result in a violation of Anti-Corruption Law or Sanctions. The Transactions will not violate any Anti-Corruption Law or applicable Sanctions. The foregoing representations in this Section 3.14 will not apply to any party hereto to which (i) Council Regulation (EC) 2271/96 or Section 7 of the German Foreign Trade Regulation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Blocking Regulation</w:t>
      </w:r>
      <w:r>
        <w:rPr>
          <w:rFonts w:ascii="Times New Roman" w:cs="Times New Roman" w:eastAsia="Times New Roman" w:hAnsi="Times New Roman"/>
          <w:sz w:val="18"/>
          <w:szCs w:val="18"/>
          <w:color w:val="auto"/>
        </w:rPr>
        <w:t>”) applies, (or any law or regulation implementing such Blocking Regulation in any member state of the European Union) (the “</w:t>
      </w:r>
      <w:r>
        <w:rPr>
          <w:rFonts w:ascii="Times New Roman" w:cs="Times New Roman" w:eastAsia="Times New Roman" w:hAnsi="Times New Roman"/>
          <w:sz w:val="18"/>
          <w:szCs w:val="18"/>
          <w:b w:val="1"/>
          <w:bCs w:val="1"/>
          <w:i w:val="1"/>
          <w:iCs w:val="1"/>
          <w:color w:val="auto"/>
        </w:rPr>
        <w:t>Blocking Law</w:t>
      </w:r>
      <w:r>
        <w:rPr>
          <w:rFonts w:ascii="Times New Roman" w:cs="Times New Roman" w:eastAsia="Times New Roman" w:hAnsi="Times New Roman"/>
          <w:sz w:val="18"/>
          <w:szCs w:val="18"/>
          <w:color w:val="auto"/>
        </w:rPr>
        <w:t>”) or (ii) the UK Protection of Trading Interests Legislation (“</w:t>
      </w:r>
      <w:r>
        <w:rPr>
          <w:rFonts w:ascii="Times New Roman" w:cs="Times New Roman" w:eastAsia="Times New Roman" w:hAnsi="Times New Roman"/>
          <w:sz w:val="18"/>
          <w:szCs w:val="18"/>
          <w:b w:val="1"/>
          <w:bCs w:val="1"/>
          <w:i w:val="1"/>
          <w:iCs w:val="1"/>
          <w:color w:val="auto"/>
        </w:rPr>
        <w:t>UKPTIL</w:t>
      </w:r>
      <w:r>
        <w:rPr>
          <w:rFonts w:ascii="Times New Roman" w:cs="Times New Roman" w:eastAsia="Times New Roman" w:hAnsi="Times New Roman"/>
          <w:sz w:val="18"/>
          <w:szCs w:val="18"/>
          <w:color w:val="auto"/>
        </w:rPr>
        <w:t>”) applies, if and to the extent that such representations are or would be unenforceable by or in respect of that party pursuant to, or would otherwise result in a breach and/or violation of any provision of, the Blocking Law or the UKPTIL, as applicable.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Borrower is an Affected Financial Institution.</w:t>
      </w:r>
    </w:p>
    <w:p>
      <w:pPr>
        <w:spacing w:after="0" w:line="22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Domiciliation; Centre of Main Interests</w:t>
      </w:r>
      <w:r>
        <w:rPr>
          <w:rFonts w:ascii="Times New Roman" w:cs="Times New Roman" w:eastAsia="Times New Roman" w:hAnsi="Times New Roman"/>
          <w:sz w:val="18"/>
          <w:szCs w:val="18"/>
          <w:color w:val="auto"/>
        </w:rPr>
        <w:t>. In the case of a Luxembourg Obligor, the head office (</w:t>
      </w:r>
      <w:r>
        <w:rPr>
          <w:rFonts w:ascii="Times New Roman" w:cs="Times New Roman" w:eastAsia="Times New Roman" w:hAnsi="Times New Roman"/>
          <w:sz w:val="18"/>
          <w:szCs w:val="18"/>
          <w:i w:val="1"/>
          <w:iCs w:val="1"/>
          <w:color w:val="auto"/>
        </w:rPr>
        <w:t>administration centrale</w:t>
      </w:r>
      <w:r>
        <w:rPr>
          <w:rFonts w:ascii="Times New Roman" w:cs="Times New Roman" w:eastAsia="Times New Roman" w:hAnsi="Times New Roman"/>
          <w:sz w:val="18"/>
          <w:szCs w:val="18"/>
          <w:color w:val="auto"/>
        </w:rPr>
        <w:t>) and the place of effective management (</w:t>
      </w:r>
      <w:r>
        <w:rPr>
          <w:rFonts w:ascii="Times New Roman" w:cs="Times New Roman" w:eastAsia="Times New Roman" w:hAnsi="Times New Roman"/>
          <w:sz w:val="18"/>
          <w:szCs w:val="18"/>
          <w:i w:val="1"/>
          <w:iCs w:val="1"/>
          <w:color w:val="auto"/>
        </w:rPr>
        <w:t>siège de direction effective</w:t>
      </w:r>
      <w:r>
        <w:rPr>
          <w:rFonts w:ascii="Times New Roman" w:cs="Times New Roman" w:eastAsia="Times New Roman" w:hAnsi="Times New Roman"/>
          <w:sz w:val="18"/>
          <w:szCs w:val="18"/>
          <w:color w:val="auto"/>
        </w:rPr>
        <w:t>) are located at the place of its registered office (</w:t>
      </w:r>
      <w:r>
        <w:rPr>
          <w:rFonts w:ascii="Times New Roman" w:cs="Times New Roman" w:eastAsia="Times New Roman" w:hAnsi="Times New Roman"/>
          <w:sz w:val="18"/>
          <w:szCs w:val="18"/>
          <w:i w:val="1"/>
          <w:iCs w:val="1"/>
          <w:color w:val="auto"/>
        </w:rPr>
        <w:t>siege statutaire</w:t>
      </w:r>
      <w:r>
        <w:rPr>
          <w:rFonts w:ascii="Times New Roman" w:cs="Times New Roman" w:eastAsia="Times New Roman" w:hAnsi="Times New Roman"/>
          <w:sz w:val="18"/>
          <w:szCs w:val="18"/>
          <w:color w:val="auto"/>
        </w:rPr>
        <w:t>) in Luxembourg and, for the purposes of the Insolvency Regulation, the centre of main interests (</w:t>
      </w:r>
      <w:r>
        <w:rPr>
          <w:rFonts w:ascii="Times New Roman" w:cs="Times New Roman" w:eastAsia="Times New Roman" w:hAnsi="Times New Roman"/>
          <w:sz w:val="18"/>
          <w:szCs w:val="18"/>
          <w:i w:val="1"/>
          <w:iCs w:val="1"/>
          <w:color w:val="auto"/>
        </w:rPr>
        <w:t>centre des intérêts principaux</w:t>
      </w:r>
      <w:r>
        <w:rPr>
          <w:rFonts w:ascii="Times New Roman" w:cs="Times New Roman" w:eastAsia="Times New Roman" w:hAnsi="Times New Roman"/>
          <w:sz w:val="18"/>
          <w:szCs w:val="18"/>
          <w:color w:val="auto"/>
        </w:rPr>
        <w:t>) is located at the place of its registered office (</w:t>
      </w:r>
      <w:r>
        <w:rPr>
          <w:rFonts w:ascii="Times New Roman" w:cs="Times New Roman" w:eastAsia="Times New Roman" w:hAnsi="Times New Roman"/>
          <w:sz w:val="18"/>
          <w:szCs w:val="18"/>
          <w:i w:val="1"/>
          <w:iCs w:val="1"/>
          <w:color w:val="auto"/>
        </w:rPr>
        <w:t>siège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statutaire</w:t>
      </w:r>
      <w:r>
        <w:rPr>
          <w:rFonts w:ascii="Times New Roman" w:cs="Times New Roman" w:eastAsia="Times New Roman" w:hAnsi="Times New Roman"/>
          <w:sz w:val="18"/>
          <w:szCs w:val="18"/>
          <w:color w:val="auto"/>
        </w:rPr>
        <w:t>) in Luxembourg.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987"/>
        <w:spacing w:after="0" w:line="261" w:lineRule="auto"/>
        <w:tabs>
          <w:tab w:leader="none" w:pos="123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each party to the Loan Documents either (i) a counterpart of each Loan Document to which such Person is a party, signed on behalf of such Person or (ii) written evidence satisfactory to the Administrative Agent (which may include telecopy transmission of a signed signature page of each Loan Document to which such Person is a party) that such Person has signed a counterpart of each such Loan Document.</w:t>
      </w:r>
    </w:p>
    <w:p>
      <w:pPr>
        <w:spacing w:after="0" w:line="71"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favorable written opinion (addressed to the Administrative Agent and the Lenders and dated the Effective Date) of counsel for the Borrowers covering such matters relating to the Borrowers and of counsel for the Designated Borrower covering such matters relating to the Designated Borrower, the Loan Documents and the Transactions as the Required Lenders shall reasonably request and otherwise in form and substance reasonably satisfactory to the Administrative Agent.</w:t>
      </w:r>
    </w:p>
    <w:p>
      <w:pPr>
        <w:spacing w:after="0" w:line="71" w:lineRule="exact"/>
        <w:rPr>
          <w:rFonts w:ascii="Times New Roman" w:cs="Times New Roman" w:eastAsia="Times New Roman" w:hAnsi="Times New Roman"/>
          <w:sz w:val="18"/>
          <w:szCs w:val="18"/>
          <w:color w:val="auto"/>
        </w:rPr>
      </w:pPr>
    </w:p>
    <w:p>
      <w:pPr>
        <w:ind w:right="120" w:firstLine="987"/>
        <w:spacing w:after="0" w:line="281" w:lineRule="auto"/>
        <w:tabs>
          <w:tab w:leader="none" w:pos="1236"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legal matters relating to the Borrowers, the Loan Documents and the Transactions, all in form and substance satisfactory to the Administrative Agent and its counsel (including in respect of Cabot Luxembourg or any other Luxembourg Obligor, a certificate signed by a manager or authorised signatory):</w:t>
      </w:r>
    </w:p>
    <w:p>
      <w:pPr>
        <w:spacing w:after="0" w:line="67" w:lineRule="exact"/>
        <w:rPr>
          <w:rFonts w:ascii="Times New Roman" w:cs="Times New Roman" w:eastAsia="Times New Roman" w:hAnsi="Times New Roman"/>
          <w:sz w:val="17"/>
          <w:szCs w:val="17"/>
          <w:color w:val="auto"/>
        </w:rPr>
      </w:pPr>
    </w:p>
    <w:p>
      <w:pPr>
        <w:ind w:left="1420" w:right="120" w:hanging="439"/>
        <w:spacing w:after="0" w:line="284" w:lineRule="auto"/>
        <w:tabs>
          <w:tab w:leader="none" w:pos="14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an electronic copy of the excerpt issued by the Luxembourg Trade and Companies Register (</w:t>
      </w:r>
      <w:r>
        <w:rPr>
          <w:rFonts w:ascii="Times New Roman" w:cs="Times New Roman" w:eastAsia="Times New Roman" w:hAnsi="Times New Roman"/>
          <w:sz w:val="18"/>
          <w:szCs w:val="18"/>
          <w:i w:val="1"/>
          <w:iCs w:val="1"/>
          <w:color w:val="auto"/>
        </w:rPr>
        <w:t>Registre de Commerce et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Sociétés, Luxembourg</w:t>
      </w:r>
      <w:r>
        <w:rPr>
          <w:rFonts w:ascii="Times New Roman" w:cs="Times New Roman" w:eastAsia="Times New Roman" w:hAnsi="Times New Roman"/>
          <w:sz w:val="18"/>
          <w:szCs w:val="18"/>
          <w:color w:val="auto"/>
        </w:rPr>
        <w:t>) with respect to such Luxembourg Obligor dated as of the date of this Agreement;</w:t>
      </w:r>
    </w:p>
    <w:p>
      <w:pPr>
        <w:spacing w:after="0" w:line="65" w:lineRule="exact"/>
        <w:rPr>
          <w:rFonts w:ascii="Times New Roman" w:cs="Times New Roman" w:eastAsia="Times New Roman" w:hAnsi="Times New Roman"/>
          <w:sz w:val="18"/>
          <w:szCs w:val="18"/>
          <w:color w:val="auto"/>
        </w:rPr>
      </w:pPr>
    </w:p>
    <w:p>
      <w:pPr>
        <w:ind w:left="1420" w:right="180" w:hanging="439"/>
        <w:spacing w:after="0" w:line="261" w:lineRule="auto"/>
        <w:tabs>
          <w:tab w:leader="none" w:pos="14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an electronic copy of the certificate of non-registration of a judicial decision or administrative dissolution without liquidation (</w:t>
      </w:r>
      <w:r>
        <w:rPr>
          <w:rFonts w:ascii="Times New Roman" w:cs="Times New Roman" w:eastAsia="Times New Roman" w:hAnsi="Times New Roman"/>
          <w:sz w:val="18"/>
          <w:szCs w:val="18"/>
          <w:i w:val="1"/>
          <w:iCs w:val="1"/>
          <w:color w:val="auto"/>
        </w:rPr>
        <w:t>certificat de non-inscription d’une décision judiciaire ou de dissolution administrative sans liquidation</w:t>
      </w:r>
      <w:r>
        <w:rPr>
          <w:rFonts w:ascii="Times New Roman" w:cs="Times New Roman" w:eastAsia="Times New Roman" w:hAnsi="Times New Roman"/>
          <w:sz w:val="18"/>
          <w:szCs w:val="18"/>
          <w:color w:val="auto"/>
        </w:rPr>
        <w:t>) issued by the Luxembourg Insolvency Register (</w:t>
      </w:r>
      <w:r>
        <w:rPr>
          <w:rFonts w:ascii="Times New Roman" w:cs="Times New Roman" w:eastAsia="Times New Roman" w:hAnsi="Times New Roman"/>
          <w:sz w:val="18"/>
          <w:szCs w:val="18"/>
          <w:i w:val="1"/>
          <w:iCs w:val="1"/>
          <w:color w:val="auto"/>
        </w:rPr>
        <w:t>Registre de l’insolvabilité</w:t>
      </w:r>
      <w:r>
        <w:rPr>
          <w:rFonts w:ascii="Times New Roman" w:cs="Times New Roman" w:eastAsia="Times New Roman" w:hAnsi="Times New Roman"/>
          <w:sz w:val="18"/>
          <w:szCs w:val="18"/>
          <w:color w:val="auto"/>
        </w:rPr>
        <w:t>) with respect to such Luxembourg Obligor dated as of the date of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7" w:name="page88"/>
    <w:bookmarkEnd w:id="87"/>
    <w:p>
      <w:pPr>
        <w:ind w:left="1400" w:hanging="439"/>
        <w:spacing w:after="0"/>
        <w:tabs>
          <w:tab w:leader="none" w:pos="1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attaching a copy a resolution of the board of directors of each Luxembourg Obligor:</w:t>
      </w:r>
    </w:p>
    <w:p>
      <w:pPr>
        <w:spacing w:after="0" w:line="130" w:lineRule="exact"/>
        <w:rPr>
          <w:rFonts w:ascii="Times New Roman" w:cs="Times New Roman" w:eastAsia="Times New Roman" w:hAnsi="Times New Roman"/>
          <w:sz w:val="18"/>
          <w:szCs w:val="18"/>
          <w:color w:val="auto"/>
        </w:rPr>
      </w:pPr>
    </w:p>
    <w:p>
      <w:pPr>
        <w:ind w:left="1400" w:right="600" w:hanging="439"/>
        <w:spacing w:after="0" w:line="282" w:lineRule="auto"/>
        <w:tabs>
          <w:tab w:leader="none" w:pos="1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Loan Documents to which it is a party and resolving that it execute, deliver and perform the Loan Documents to which it is a party;</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Loan Documents to which it is a party on its behalf; and</w:t>
      </w:r>
    </w:p>
    <w:p>
      <w:pPr>
        <w:spacing w:after="0" w:line="130" w:lineRule="exact"/>
        <w:rPr>
          <w:rFonts w:ascii="Times New Roman" w:cs="Times New Roman" w:eastAsia="Times New Roman" w:hAnsi="Times New Roman"/>
          <w:sz w:val="18"/>
          <w:szCs w:val="18"/>
          <w:color w:val="auto"/>
        </w:rPr>
      </w:pPr>
    </w:p>
    <w:p>
      <w:pPr>
        <w:ind w:left="1400" w:right="20" w:hanging="439"/>
        <w:spacing w:after="0" w:line="282" w:lineRule="auto"/>
        <w:tabs>
          <w:tab w:leader="none" w:pos="1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to be signed and/or despatched by it under or in connection with the Loan Documents to which it is a party.</w:t>
      </w:r>
    </w:p>
    <w:p>
      <w:pPr>
        <w:spacing w:after="0" w:line="65"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as of the date of this Agreement: (i) it is not subject to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judicial reorganisation</w:t>
      </w:r>
    </w:p>
    <w:p>
      <w:pPr>
        <w:spacing w:after="0" w:line="29" w:lineRule="exact"/>
        <w:rPr>
          <w:rFonts w:ascii="Times New Roman" w:cs="Times New Roman" w:eastAsia="Times New Roman" w:hAnsi="Times New Roman"/>
          <w:sz w:val="18"/>
          <w:szCs w:val="18"/>
          <w:color w:val="auto"/>
        </w:rPr>
      </w:pPr>
    </w:p>
    <w:p>
      <w:pPr>
        <w:ind w:left="14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judiciaire</w:t>
      </w:r>
      <w:r>
        <w:rPr>
          <w:rFonts w:ascii="Times New Roman" w:cs="Times New Roman" w:eastAsia="Times New Roman" w:hAnsi="Times New Roman"/>
          <w:sz w:val="18"/>
          <w:szCs w:val="18"/>
          <w:color w:val="auto"/>
        </w:rPr>
        <w:t>), reorganisation by amicable agreement (</w:t>
      </w:r>
      <w:r>
        <w:rPr>
          <w:rFonts w:ascii="Times New Roman" w:cs="Times New Roman" w:eastAsia="Times New Roman" w:hAnsi="Times New Roman"/>
          <w:sz w:val="18"/>
          <w:szCs w:val="18"/>
          <w:i w:val="1"/>
          <w:iCs w:val="1"/>
          <w:color w:val="auto"/>
        </w:rPr>
        <w:t>réorganisation par accord amiable</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voluntary and judicial liquidation (</w:t>
      </w:r>
      <w:r>
        <w:rPr>
          <w:rFonts w:ascii="Times New Roman" w:cs="Times New Roman" w:eastAsia="Times New Roman" w:hAnsi="Times New Roman"/>
          <w:sz w:val="18"/>
          <w:szCs w:val="18"/>
          <w:i w:val="1"/>
          <w:iCs w:val="1"/>
          <w:color w:val="auto"/>
        </w:rPr>
        <w:t>liquidation volontaire 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judiciaire</w:t>
      </w:r>
      <w:r>
        <w:rPr>
          <w:rFonts w:ascii="Times New Roman" w:cs="Times New Roman" w:eastAsia="Times New Roman" w:hAnsi="Times New Roman"/>
          <w:sz w:val="18"/>
          <w:szCs w:val="18"/>
          <w:color w:val="auto"/>
        </w:rPr>
        <w:t>), suspension of payment (</w:t>
      </w:r>
      <w:r>
        <w:rPr>
          <w:rFonts w:ascii="Times New Roman" w:cs="Times New Roman" w:eastAsia="Times New Roman" w:hAnsi="Times New Roman"/>
          <w:sz w:val="18"/>
          <w:szCs w:val="18"/>
          <w:i w:val="1"/>
          <w:iCs w:val="1"/>
          <w:color w:val="auto"/>
        </w:rPr>
        <w:t>sursis de payments</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reorganisation procedure in the form of a mutual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t>
      </w:r>
      <w:r>
        <w:rPr>
          <w:rFonts w:ascii="Times New Roman" w:cs="Times New Roman" w:eastAsia="Times New Roman" w:hAnsi="Times New Roman"/>
          <w:sz w:val="18"/>
          <w:szCs w:val="18"/>
          <w:i w:val="1"/>
          <w:iCs w:val="1"/>
          <w:color w:val="auto"/>
        </w:rPr>
        <w:t>réorganisation par accord amiable</w:t>
      </w:r>
      <w:r>
        <w:rPr>
          <w:rFonts w:ascii="Times New Roman" w:cs="Times New Roman" w:eastAsia="Times New Roman" w:hAnsi="Times New Roman"/>
          <w:sz w:val="18"/>
          <w:szCs w:val="18"/>
          <w:color w:val="auto"/>
        </w:rPr>
        <w:t>), judicial reorganisation proceedings in the form of a mutual agreement (</w:t>
      </w:r>
      <w:r>
        <w:rPr>
          <w:rFonts w:ascii="Times New Roman" w:cs="Times New Roman" w:eastAsia="Times New Roman" w:hAnsi="Times New Roman"/>
          <w:sz w:val="18"/>
          <w:szCs w:val="18"/>
          <w:i w:val="1"/>
          <w:iCs w:val="1"/>
          <w:color w:val="auto"/>
        </w:rPr>
        <w:t>réorganisation judiciaire par accord amiable</w:t>
      </w:r>
      <w:r>
        <w:rPr>
          <w:rFonts w:ascii="Times New Roman" w:cs="Times New Roman" w:eastAsia="Times New Roman" w:hAnsi="Times New Roman"/>
          <w:sz w:val="18"/>
          <w:szCs w:val="18"/>
          <w:color w:val="auto"/>
        </w:rPr>
        <w:t>), judicial reorganisation proceedings in the form of a stay (</w:t>
      </w:r>
      <w:r>
        <w:rPr>
          <w:rFonts w:ascii="Times New Roman" w:cs="Times New Roman" w:eastAsia="Times New Roman" w:hAnsi="Times New Roman"/>
          <w:sz w:val="18"/>
          <w:szCs w:val="18"/>
          <w:i w:val="1"/>
          <w:iCs w:val="1"/>
          <w:color w:val="auto"/>
        </w:rPr>
        <w:t>sursis</w:t>
      </w:r>
      <w:r>
        <w:rPr>
          <w:rFonts w:ascii="Times New Roman" w:cs="Times New Roman" w:eastAsia="Times New Roman" w:hAnsi="Times New Roman"/>
          <w:sz w:val="18"/>
          <w:szCs w:val="18"/>
          <w:color w:val="auto"/>
        </w:rPr>
        <w:t>), a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or a transfer by court order (</w:t>
      </w:r>
      <w:r>
        <w:rPr>
          <w:rFonts w:ascii="Times New Roman" w:cs="Times New Roman" w:eastAsia="Times New Roman" w:hAnsi="Times New Roman"/>
          <w:sz w:val="18"/>
          <w:szCs w:val="18"/>
          <w:i w:val="1"/>
          <w:iCs w:val="1"/>
          <w:color w:val="auto"/>
        </w:rPr>
        <w:t>réorganisation judiciaire par transfert 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decision de justice</w:t>
      </w:r>
      <w:r>
        <w:rPr>
          <w:rFonts w:ascii="Times New Roman" w:cs="Times New Roman" w:eastAsia="Times New Roman" w:hAnsi="Times New Roman"/>
          <w:sz w:val="18"/>
          <w:szCs w:val="18"/>
          <w:color w:val="auto"/>
        </w:rPr>
        <w:t>), judicial appointment of a temporary administrator or any similar Luxembourg or foreign law proceedings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regimes affecting the rights of creditors generally; (ii) it is not in a state of cessation of payments (</w:t>
      </w:r>
      <w:r>
        <w:rPr>
          <w:rFonts w:ascii="Times New Roman" w:cs="Times New Roman" w:eastAsia="Times New Roman" w:hAnsi="Times New Roman"/>
          <w:sz w:val="18"/>
          <w:szCs w:val="18"/>
          <w:i w:val="1"/>
          <w:iCs w:val="1"/>
          <w:color w:val="auto"/>
        </w:rPr>
        <w:t>cessation de payments</w:t>
      </w:r>
      <w:r>
        <w:rPr>
          <w:rFonts w:ascii="Times New Roman" w:cs="Times New Roman" w:eastAsia="Times New Roman" w:hAnsi="Times New Roman"/>
          <w:sz w:val="18"/>
          <w:szCs w:val="18"/>
          <w:color w:val="auto"/>
        </w:rPr>
        <w:t xml:space="preserve">) and has not lost its commercial creditworthiness; (iii) no application has been made by it or, as far as it is aware, by any other person for the appointment of a </w:t>
      </w:r>
      <w:r>
        <w:rPr>
          <w:rFonts w:ascii="Times New Roman" w:cs="Times New Roman" w:eastAsia="Times New Roman" w:hAnsi="Times New Roman"/>
          <w:sz w:val="18"/>
          <w:szCs w:val="18"/>
          <w:i w:val="1"/>
          <w:iCs w:val="1"/>
          <w:color w:val="auto"/>
        </w:rPr>
        <w:t>commissaire, juge-commissaire, liquidateur, curateur, conciliateur d’entreprise, mandataire de justice, juge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délégué, administrateur provisoire </w:t>
      </w:r>
      <w:r>
        <w:rPr>
          <w:rFonts w:ascii="Times New Roman" w:cs="Times New Roman" w:eastAsia="Times New Roman" w:hAnsi="Times New Roman"/>
          <w:sz w:val="18"/>
          <w:szCs w:val="18"/>
          <w:color w:val="auto"/>
        </w:rPr>
        <w:t>or similar officer pursuant to any insolvency or similar proceedings; and (iv) to the best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no petition for the opening of such proceedings has been presented by it or by any other person entitled to do so; and</w:t>
      </w:r>
    </w:p>
    <w:p>
      <w:pPr>
        <w:spacing w:after="0" w:line="9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it has complied with the legal requirements of the law of 31 May 1999 governing the domiciliation of companies.</w:t>
      </w:r>
    </w:p>
    <w:p>
      <w:pPr>
        <w:spacing w:after="0" w:line="117" w:lineRule="exact"/>
        <w:rPr>
          <w:rFonts w:ascii="Times New Roman" w:cs="Times New Roman" w:eastAsia="Times New Roman" w:hAnsi="Times New Roman"/>
          <w:sz w:val="18"/>
          <w:szCs w:val="18"/>
          <w:color w:val="auto"/>
        </w:rPr>
      </w:pPr>
    </w:p>
    <w:p>
      <w:pPr>
        <w:ind w:left="-20" w:right="100" w:firstLine="987"/>
        <w:spacing w:after="0" w:line="282" w:lineRule="auto"/>
        <w:tabs>
          <w:tab w:leader="none" w:pos="122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dated the Effective Date and signed by the President, a Vice President or a Financial Officer of the Company, confirming compliance with the conditions set forth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0" w:firstLine="987"/>
        <w:spacing w:after="0" w:line="266" w:lineRule="auto"/>
        <w:tabs>
          <w:tab w:leader="none" w:pos="121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all fees and other amounts due and payable pursuant to this Agreement on or prior to the Effective Date, including, to the extent invoiced, reimbursement or payment of all out-of-pocket expenses required to be reimbursed or paid by the Borrowers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60" w:top="270" w:right="479" w:bottom="1440" w:gutter="0" w:footer="0" w:header="0"/>
        </w:sectPr>
      </w:pPr>
    </w:p>
    <w:bookmarkStart w:id="88" w:name="page89"/>
    <w:bookmarkEnd w:id="88"/>
    <w:p>
      <w:pPr>
        <w:ind w:left="4" w:right="140" w:firstLine="987"/>
        <w:spacing w:after="0" w:line="272" w:lineRule="auto"/>
        <w:tabs>
          <w:tab w:leader="none" w:pos="122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Administrative Agent shall have received, at least three (3) Business Days prior to the Effective Date, all documentation and other information regarding the Borrowers reasonably requested in connection with applicable “know your customer” and anti-money laundering rules and regulations, including the Act, to the extent requested in writing of the Company at least ten (10) Business Days prior to the Effective Date and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Borrower qualifies as a “legal entity customer” under the Beneficial Ownership Regulation, at least three (3) Business Days prior to the Effective Date, any Lender that has requested, in a written notice to the Company at least ten (10) Business Days prior to the Effective Date, a Beneficial Ownership Certification in relation to such Borrower shall have received such Beneficial Ownership Certification (provided that, upon the execution and delivery by such Lender of its signature page to this Agreement, the conditions set forth in this clause (f) shall be deemed to be satisfied).</w:t>
      </w:r>
    </w:p>
    <w:p>
      <w:pPr>
        <w:spacing w:after="0" w:line="188" w:lineRule="exact"/>
        <w:rPr>
          <w:rFonts w:ascii="Times New Roman" w:cs="Times New Roman" w:eastAsia="Times New Roman" w:hAnsi="Times New Roman"/>
          <w:sz w:val="18"/>
          <w:szCs w:val="18"/>
          <w:color w:val="auto"/>
        </w:rPr>
      </w:pPr>
    </w:p>
    <w:p>
      <w:pPr>
        <w:jc w:val="both"/>
        <w:ind w:left="4" w:right="120" w:firstLine="987"/>
        <w:spacing w:after="0" w:line="261"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satisfactory to it that, substantially simultaneously with the funding of Loans on the Effective Date, the Borrowers shall have repaid the principal of all outstanding loans under the Existing Credit Agreement and paid all accrued interest, fees and other amounts owing thereunder. The Borrowers hereby acknowledge and agree that the “Commitments” of the “Lenders” under (and as such terms are defined in) the Existing Credit Agreement, shall automatically terminate upon the Effective Date.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on the occasion of any Borrowing, and of any Issuing Bank to issue, amend, renew or extend any Letter of Credit, is subject to the satisfaction of the following conditions:</w:t>
      </w:r>
    </w:p>
    <w:p>
      <w:pPr>
        <w:spacing w:after="0" w:line="162" w:lineRule="exact"/>
        <w:rPr>
          <w:sz w:val="20"/>
          <w:szCs w:val="20"/>
          <w:color w:val="auto"/>
        </w:rPr>
      </w:pPr>
    </w:p>
    <w:p>
      <w:pPr>
        <w:ind w:left="4" w:right="40" w:firstLine="987"/>
        <w:spacing w:after="0" w:line="258" w:lineRule="auto"/>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Borrowers set forth in the Loan Documents (other than the representations and warranties set forth in </w:t>
      </w:r>
      <w:r>
        <w:rPr>
          <w:rFonts w:ascii="Times New Roman" w:cs="Times New Roman" w:eastAsia="Times New Roman" w:hAnsi="Times New Roman"/>
          <w:sz w:val="18"/>
          <w:szCs w:val="18"/>
          <w:u w:val="single" w:color="auto"/>
          <w:color w:val="auto"/>
        </w:rPr>
        <w:t>Sections 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xml:space="preserve"> with respect to any Borrowing or issuance, amendment, renewal or extension of any Letter of Credit after the Effective Date) shall be true and correct in all material respects (or in all respects if the applicable representation or warranty is already qualified by concepts of materiality) on and as of the date of such Borrowing or the date of issuance, amendment, renewal or extension of such Letter of Credit, as applicable.</w:t>
      </w:r>
    </w:p>
    <w:p>
      <w:pPr>
        <w:spacing w:after="0" w:line="183"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applicable, no Default shall have occurred and be continuing.</w:t>
      </w:r>
    </w:p>
    <w:p>
      <w:pPr>
        <w:spacing w:after="0" w:line="16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 xml:space="preserve">Each Borrowing and each issuance, amendment, renewal or extension of a Letter of Credit shall be deemed to constitute a representation and warranty by the Borrowers on the date thereof as to the matters specified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Initial Credit Event for each Additional Borrower</w:t>
      </w:r>
      <w:r>
        <w:rPr>
          <w:rFonts w:ascii="Times New Roman" w:cs="Times New Roman" w:eastAsia="Times New Roman" w:hAnsi="Times New Roman"/>
          <w:sz w:val="18"/>
          <w:szCs w:val="18"/>
          <w:color w:val="auto"/>
        </w:rPr>
        <w:t>. The obligation of each Lender to make Loans to any Designated Borrower that becomes a Designated Borrower after the Effective Date is subject to the satisfaction of the following conditions:</w:t>
      </w:r>
    </w:p>
    <w:p>
      <w:pPr>
        <w:spacing w:after="0" w:line="162" w:lineRule="exact"/>
        <w:rPr>
          <w:sz w:val="20"/>
          <w:szCs w:val="20"/>
          <w:color w:val="auto"/>
        </w:rPr>
      </w:pPr>
    </w:p>
    <w:p>
      <w:pPr>
        <w:ind w:left="4" w:right="720" w:firstLine="987"/>
        <w:spacing w:after="0" w:line="282"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such Designated Borrower’s Designated Borrower Request and Assumption Agreement duly executed by all parties thereto.</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89" w:name="page90"/>
    <w:bookmarkEnd w:id="89"/>
    <w:p>
      <w:pPr>
        <w:ind w:left="4" w:right="160" w:firstLine="987"/>
        <w:spacing w:after="0" w:line="256" w:lineRule="auto"/>
        <w:tabs>
          <w:tab w:leader="none" w:pos="12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such documents (including such legal opinions) as the Administrative Agent or its counsel may reasonably request relating to the formation, existence and good standing of such Designated Borrower, the authorization of the Transactions insofar as they relate to such Designated Borrower and any other legal matters relating to such Designated Borrower, its Designated Borrower Request and Assumption Agreement or such Transactions, including, with respect to any Designated Borrower organized under the laws of any jurisdiction outside of the United States of America, a legal opinion from such Designated Borrower’s counsel in such jurisdiction, all in form and substance satisfactory to the Administrative Agent and its counsel.</w:t>
      </w:r>
    </w:p>
    <w:p>
      <w:pPr>
        <w:spacing w:after="0" w:line="187" w:lineRule="exact"/>
        <w:rPr>
          <w:rFonts w:ascii="Times New Roman" w:cs="Times New Roman" w:eastAsia="Times New Roman" w:hAnsi="Times New Roman"/>
          <w:sz w:val="18"/>
          <w:szCs w:val="18"/>
          <w:color w:val="auto"/>
        </w:rPr>
      </w:pPr>
    </w:p>
    <w:p>
      <w:pPr>
        <w:ind w:left="4" w:right="260" w:firstLine="987"/>
        <w:spacing w:after="0" w:line="312" w:lineRule="auto"/>
        <w:tabs>
          <w:tab w:leader="none" w:pos="12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and the Lenders shall have received all documentation and other information reasonably requested by the Lenders or the Administrative Agent under applicable “know your customer” and anti-money laundering rules and regulations, including the Act.</w:t>
      </w:r>
    </w:p>
    <w:p>
      <w:pPr>
        <w:spacing w:after="0" w:line="3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Until the Commitments have expired or been terminated and the principal of and interest on each Loan and all fees payable hereunder shall have been paid in full and all Letters of Credit shall have expired or terminated or been cash collateralized or otherwise secured on terms and conditions reasonably satisfactory to the Issuing Bank, in each case, without any pending draw, and all LC Disbursements shall have been reimbursed, the Company (with respect to the covenants set forth in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each Borrower (with respect to all other covenants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covenants and agrees with the Lenders that: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Company will furnish to the Administrative Agent and each Lender:</w:t>
      </w:r>
    </w:p>
    <w:p>
      <w:pPr>
        <w:spacing w:after="0" w:line="225" w:lineRule="exact"/>
        <w:rPr>
          <w:sz w:val="20"/>
          <w:szCs w:val="20"/>
          <w:color w:val="auto"/>
        </w:rPr>
      </w:pPr>
    </w:p>
    <w:p>
      <w:pPr>
        <w:ind w:left="1244" w:hanging="253"/>
        <w:spacing w:after="0"/>
        <w:tabs>
          <w:tab w:leader="none" w:pos="124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Business Days following the date such information is filed with the SEC, and in any event not later than ninety-seven</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34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fiscal year of the Company, its audited consolidated balance sheet and related statements of income or operations, shareholders’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w:t>
      </w:r>
    </w:p>
    <w:p>
      <w:pPr>
        <w:spacing w:after="0" w:line="18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Business Days following the date such information is filed with the SEC, and in any event not later than fifty-two</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3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of the first three (3) fiscal quarters of each fiscal year of the Company, its consolidated balance sheet and related statements of income or operations,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subject to normal year-end audit adjustments and the absence of footnotes;</w:t>
      </w:r>
    </w:p>
    <w:p>
      <w:pPr>
        <w:spacing w:after="0" w:line="189"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duly completed Compliance Certificate signed by a Financial Officer of the Company;</w:t>
      </w:r>
    </w:p>
    <w:p>
      <w:pPr>
        <w:spacing w:after="0" w:line="161"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available, copies of all periodic and other reports, proxy statements and other materials filed by the Company or any Subsidiary with the SEC or with any national securities exchange, or distributed by the Company to its shareholders generally, as the case may be;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0" w:name="page91"/>
    <w:bookmarkEnd w:id="90"/>
    <w:p>
      <w:pPr>
        <w:ind w:right="340" w:firstLine="987"/>
        <w:spacing w:after="0" w:line="266"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and in any event within seven (7) Business Days after receipt thereof by the Company or any Subsidiary, copies of each notice or other correspondence received from the SEC (or comparable agency in any applicable foreign jurisdiction) concerning any investigation or possible investigation or other inquiry by such agency regarding financial or other operational results of the Company or any Subsidiary;</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Company or any Subsidiary, or compliance with the terms of the Loan Documents, as the Administrative Agent or any Lender may reasonably request; and</w:t>
      </w:r>
    </w:p>
    <w:p>
      <w:pPr>
        <w:spacing w:after="0" w:line="175" w:lineRule="exact"/>
        <w:rPr>
          <w:rFonts w:ascii="Times New Roman" w:cs="Times New Roman" w:eastAsia="Times New Roman" w:hAnsi="Times New Roman"/>
          <w:sz w:val="18"/>
          <w:szCs w:val="18"/>
          <w:color w:val="auto"/>
        </w:rPr>
      </w:pPr>
    </w:p>
    <w:p>
      <w:pPr>
        <w:ind w:right="380" w:firstLine="987"/>
        <w:spacing w:after="0" w:line="266"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information and documentation reasonably requested by the Administrative Agent or any Lender required for purposes of compliance with applicable “know your customer” and anti-money laundering rules and regulations, including the Patriot Act and the Beneficial Ownership Regulation.</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Section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Company shall deliver paper copies of such documents to the Administrative Agent or any Lender that requests the Company to deliver such paper copies until a written request to cease delivering paper copies is given by the Administrative Agent or such Lender and (y) the Company shall notify the Administrative Agent and each Lender (by telecopier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9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Company will furnish to the Administrative Agent and each Lender prompt written notice of the following:</w:t>
      </w:r>
    </w:p>
    <w:p>
      <w:pPr>
        <w:spacing w:after="0" w:line="162" w:lineRule="exact"/>
        <w:rPr>
          <w:sz w:val="20"/>
          <w:szCs w:val="20"/>
          <w:color w:val="auto"/>
        </w:rPr>
      </w:pPr>
    </w:p>
    <w:p>
      <w:pPr>
        <w:ind w:left="1240" w:hanging="253"/>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any ERISA Event (other than an ERISA Event under any of </w:t>
      </w:r>
      <w:r>
        <w:rPr>
          <w:rFonts w:ascii="Times New Roman" w:cs="Times New Roman" w:eastAsia="Times New Roman" w:hAnsi="Times New Roman"/>
          <w:sz w:val="18"/>
          <w:szCs w:val="18"/>
          <w:u w:val="single" w:color="auto"/>
          <w:color w:val="auto"/>
        </w:rPr>
        <w:t>clauses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the definition thereof that could not, individually or in the aggregate,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financial reporting practices by the Company or any Subsidiary not otherwise reported in the Company’s SEC filings;</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published announcement by Moody’s or S&amp;P of any change or possible change in the rating established or deemed to have been established for the Index Debt;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91" w:name="page92"/>
    <w:bookmarkEnd w:id="91"/>
    <w:p>
      <w:pPr>
        <w:ind w:left="4" w:right="180" w:firstLine="987"/>
        <w:spacing w:after="0" w:line="261"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development that results in, or could reasonably be expected to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and (iii) the commencement of, or any material development in, any litigation or proceeding affecting the Company or any Subsidiary, including pursuant to any applicable Environmental Laws.</w:t>
      </w:r>
    </w:p>
    <w:p>
      <w:pPr>
        <w:spacing w:after="0" w:line="180"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62"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It will, and will cause each of its Subsidiaries to, (a) preserve, renew and keep in full force and effect its legal existence, (b) preserve, renew and keep in full force and effect its good standing under the laws of the jurisdiction of its organization except as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(c) take all reasonable action to maintain all rights, licenses, permits, privileges and franchises necessary or desirable in the normal conduct of its business, except to the extent that failure to do so could not reasonably be expected to have a Material Adverse Effect; and (d) preserve and renew all of its registered patents, trademarks, trade names and service marks, the non-preservation of which could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sale, liquidation or dissolution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It will, and will cause each of its Subsidiaries to, pay its material obligations and liabilities, including</w:t>
      </w:r>
    </w:p>
    <w:p>
      <w:pPr>
        <w:spacing w:after="0" w:line="27" w:lineRule="exact"/>
        <w:rPr>
          <w:sz w:val="20"/>
          <w:szCs w:val="20"/>
          <w:color w:val="auto"/>
        </w:rPr>
      </w:pPr>
    </w:p>
    <w:p>
      <w:pPr>
        <w:ind w:left="4" w:right="100" w:hanging="4"/>
        <w:spacing w:after="0" w:line="273" w:lineRule="auto"/>
        <w:tabs>
          <w:tab w:leader="none" w:pos="249"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Tax liabilities, except where (i) the validity or amount thereof is being contested in good faith by appropriate proceedings diligently conducted and (ii) the Company or such Subsidiary has set aside on its books adequate reserves with respect thereto in accordance with GAAP, (b) all lawful material claims which, if unpaid, would by law become a Lien upon its property (other than Liens permitted by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and (c) all Indebtedness, as and when due and payable, but subject to any subordination provisions contained in any instrument or agreement evidencing such Indebtedness.</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5"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and will cause each of its Subsidiaries to, (i) keep and maintain all property material to the conduct of its business in good working order and condition, ordinary wear and tear excepted, and (ii) make all necessary repairs thereto and renewals and replacements thereof except where the failure to do so could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shall prevent the Company or any Subsidiary from discontinuing the operations and maintenance of any of its properties or those of its Subsidiaries if such discontinuance is, in the judgment of the Company or such Subsidiary, desirable in the conduct of its or their business and which do not in the aggregate cause a Material Adverse Effect. Except as provided above, the Borrowers shall maintain direct ownership of the majority of the tangible and intangible assets employed in connection with the Borrowers’ United States domestic carbon black business.</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and will cause each of its Significant Subsidiaries to, maintain, with financially sound and reputable insurance companies that are not Affiliates of the Company, insurance in such amounts and against such risks as are customarily maintained by companies engaged in the same or similar businesses.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4"/>
          </w:cols>
          <w:pgMar w:left="436" w:top="270" w:right="49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87"/>
        <w:spacing w:after="0" w:line="282"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and will cause each of its Subsidiaries to, keep proper books of record and account in which full, true and correct entries in conformity with GAAP are made of all financial dealings and transactions in relation to its business and activities.</w:t>
      </w:r>
    </w:p>
    <w:p>
      <w:pPr>
        <w:spacing w:after="0" w:line="161"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and will cause each of its Subsidiaries to, permit any representatives and independent contractors designated by the Administrative Agent or any Lender, upon reasonable prior notice, to visit and inspect its properties, to examine and make extracts from its books and records, and to discuss its affairs, finances and accounts with its directors, officers and independent accountants, all at the expense of the Company and at such reasonable times during normal business hours and not more than once each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has occurred and is continuing, such representatives and independent contractors may do any of the foregoing at the expense of the Company at any time during normal business hours and without prior notice.</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It will, and will cause each of its Subsidiaries to, comply with all laws, rules and regulations and orders, injunctions, writs and decrees of any Governmental Authority applicable to it or its property, except where (a) the failure to do so could not reasonably be expected to result in a Material Adverse Effect and (b) the requirement to do so is being contested in good faith by appropriate proceedings diligently conducted.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will be used only for general corporate purposes of the Company and its Subsidiaries in the ordinary course of business, including Permitted Acquisitions, and to refinance indebtedness and any other amounts outstanding under the Existing Credit Agreement on the Effective Date. No Borrower will request any Borrowing or Letter of Credit, and no Borrower shall use the proceeds of any Borrowing or Letter of Credit, and each Borrower shall ensure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to the extent such activities, businesses or transaction would be prohibited by Sanctions if conducted by a corporation incorporated in the United States or in a European Union member state, or (c) in any other manner that would result in the violation of any Sanctions applicable to any party hereto. The foregoing clauses (b) and (c) of this Section 5.08 will not apply to any party hereto to which (i) the Blocking Law applies, if and to the extent that such representations are or would be unenforceable by or in respect of that party pursuant to, or would otherwise result in a breach and/or violation of, any provision of the Blocking Law or (ii) the UKPTIL applies, if and to the extent that such representations are or would be unenforceable by or in respect of that party pursuant to, or would otherwise result in a breach and/or violation of any provision of, the Blocking Law or the UKPTIL, as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have been paid in full and all Letters of Credit have expired or terminated or been cash collateralized or otherwise secured on terms and conditions reasonably satisfactory to the Issuing Banks, in each case, without any pending draw, and all LC Disbursements shall have been reimbursed, each Borrower covenants and agrees with the Lenders that: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3" w:name="page94"/>
    <w:bookmarkEnd w:id="9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It will not, and will not permit any of its Subsidiaries to, create, incur, assume or permit to exist any Lien on any property, asset or revenue now owned or hereafter acquired by it, except:</w:t>
      </w:r>
    </w:p>
    <w:p>
      <w:pPr>
        <w:spacing w:after="0" w:line="162" w:lineRule="exact"/>
        <w:rPr>
          <w:sz w:val="20"/>
          <w:szCs w:val="20"/>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89" w:lineRule="auto"/>
        <w:tabs>
          <w:tab w:leader="none" w:pos="124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any property or asset of the Company or any Subsidiary existing on the date hereof and set forth in </w:t>
      </w:r>
      <w:r>
        <w:rPr>
          <w:rFonts w:ascii="Times New Roman" w:cs="Times New Roman" w:eastAsia="Times New Roman" w:hAnsi="Times New Roman"/>
          <w:sz w:val="17"/>
          <w:szCs w:val="17"/>
          <w:u w:val="single" w:color="auto"/>
          <w:color w:val="auto"/>
        </w:rPr>
        <w:t>Schedule 6.01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57" w:lineRule="exact"/>
        <w:rPr>
          <w:rFonts w:ascii="Times New Roman" w:cs="Times New Roman" w:eastAsia="Times New Roman" w:hAnsi="Times New Roman"/>
          <w:sz w:val="17"/>
          <w:szCs w:val="17"/>
          <w:color w:val="auto"/>
        </w:rPr>
      </w:pPr>
    </w:p>
    <w:p>
      <w:pPr>
        <w:ind w:right="140" w:firstLine="987"/>
        <w:spacing w:after="0" w:line="25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of a Person prior to the acquisition thereof by the Company or any Subsidiary or prior to merger or consolidation of such Person into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 such Lien is not created in contemplation of or in connection with such acquisition, merger or consolidation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purchase money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others not interfering in any material respect with the business of the Company or any Subsidiary;</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or deemed to exist in connection with a Securitization Transaction (including any related filings of any UCC financing statements (or equivalent filings, registrations or agreements in foreign jurisdictions)) securing Indebtedness in an aggregate amount not to exceed $200,000,000 during the term of this Agreement, but only to the extent that any such Lien relates to the applicable property actually sold, contributed, financed or otherwise conveyed or pledged pursuant to such transaction;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rights of setoff upon deposits of cash in favor of banks or other depository institutions;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commodities subject to any arrangement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860"/>
          </w:cols>
          <w:pgMar w:left="440" w:top="270" w:right="599" w:bottom="1440" w:gutter="0" w:footer="0" w:header="0"/>
        </w:sectPr>
      </w:pPr>
    </w:p>
    <w:bookmarkStart w:id="94" w:name="page95"/>
    <w:bookmarkEnd w:id="94"/>
    <w:p>
      <w:pPr>
        <w:ind w:right="120" w:firstLine="987"/>
        <w:spacing w:after="0" w:line="282" w:lineRule="auto"/>
        <w:tabs>
          <w:tab w:leader="none" w:pos="12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Indebtedness (for working capital purposes) of any Foreign Subsidiary, but only to the extent that any such Lien relates to the property or assets of such Foreign Subsidiary;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pursuant to any Swap Agreement;</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arising out of the refinancing, extension, renewal or refunding of any Indebtedness secured by any Lien permitted by any of the foregoing clauses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increased and is not secured by any additional assets;</w:t>
      </w:r>
    </w:p>
    <w:p>
      <w:pPr>
        <w:spacing w:after="0" w:line="161"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the ordinary course of business that (i) do not secure Indebtedness, (ii) do not secure any single obligation exceeding $50,000,000 and (iii) do not in the aggregate materially detract from the value of the assets of the Company or any Subsidiary or materially impair the use thereof in the operation of its business;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created hereunder in favor of any Credit Party; and</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by the foregoing clauses of this Section securing Indebtedness in an aggregate principal amount at any time outstanding not to exceed ten percent (10%) of Consolidated Tangible Net Worth at any time.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It will not, and will not permit any of its Subsidiaries to,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of any Subsidiary (in each case, whether now owned or hereafter acquired), or divide, liquidate or dissolve, except that, if at the time thereof and immediately after giving effect thereto no Default shall have occurred and be continuing:</w:t>
      </w:r>
    </w:p>
    <w:p>
      <w:pPr>
        <w:spacing w:after="0" w:line="183" w:lineRule="exact"/>
        <w:rPr>
          <w:sz w:val="20"/>
          <w:szCs w:val="20"/>
          <w:color w:val="auto"/>
        </w:rPr>
      </w:pPr>
    </w:p>
    <w:p>
      <w:pPr>
        <w:ind w:firstLine="987"/>
        <w:spacing w:after="0" w:line="266"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(i) may merge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the continuing or surviving Person, (ii) may merge with any Designated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Designated Borrower shall be the continuing or surviving Person, or (iii) that is not a Borrower may merge with or into any other Subsidiary that is not a Borrower;</w:t>
      </w:r>
    </w:p>
    <w:p>
      <w:pPr>
        <w:spacing w:after="0" w:line="175"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sell, transfer, lease or otherwise dispose of all or substantially all of its assets (upon voluntary liquidation or otherwise) to the Company or to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Borrower, then the transferee must be a Borrower; and</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transfer, lease or otherwise dispose of its assets, or any Subsidiary may sell, transfer, lease or otherwise dispose of all or substantially all of its assets, so long as the aggregate net book value of all such assets sold, transferred, leased or otherwise disposed of by the Company and its Subsidiaries in all transactions occurring from and after the date of this Agreement shall not exceed an amount equal to twenty-five percent (25%) of Consolidated Total Tangible Assets, measured as the sum of the percentages for each such transaction, in each case based upon the Consolidated Total Tangible Assets as of the end of the most recently completed fiscal year prior to the applicable sale, transfer, lease or other disposition.</w:t>
      </w:r>
    </w:p>
    <w:p>
      <w:pPr>
        <w:spacing w:after="0" w:line="187"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Investments, Loans, Advances, Guarantees and Acquisitions</w:t>
      </w:r>
      <w:r>
        <w:rPr>
          <w:rFonts w:ascii="Times New Roman" w:cs="Times New Roman" w:eastAsia="Times New Roman" w:hAnsi="Times New Roman"/>
          <w:sz w:val="17"/>
          <w:szCs w:val="17"/>
          <w:color w:val="auto"/>
        </w:rPr>
        <w:t>. It will not, and will not permit any of its Subsidiaries to, make any Investment where the aggregate consideration for such Investment exceeds $200,000,000, other than Permitted Investments and Permitted Acquisitions.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5" w:name="page96"/>
    <w:bookmarkEnd w:id="95"/>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It will not, and will not permit any of its Subsidiaries to, enter into any transaction of any kind with any Affiliate of the Company, whether or not in the ordinary course of business, other than (a) reasonable and customary fees paid to members of the board of directors of the Company and its Subsidiaries, (b) transactions otherwise expressly permitted hereunder between the Company or any Subsidiary and any such Affiliate or (c) on fair and reasonable terms substantially as favorable to the Company or such Subsidiary as would be obtainable by the Company or such Subsidiary at the time in a comparable arm’s length transaction with a Person other than an Affiliate.</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It will not permit the Consolidated Net Leverage Ratio as of the last day of any Reference Period to be greater than 3.75:1.00;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the election of the Company (prior written notice of which shall be given to the Administrative Agent), following the consummation of any Material Acquisition, the Consolidated Net Leverage Ratio (x) as at the end of the fiscal quarter in which such Material Acquisition occurs and the three fiscal quarters immediately thereafter, shall not be greater than 4.25:1.00 and (y) as at the end of any fiscal quarter thereafter, shall not be greater than 3.75:1.00.</w:t>
      </w:r>
    </w:p>
    <w:p>
      <w:pPr>
        <w:spacing w:after="0" w:line="183"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It will not, and will not permit any of its Subsidiaries to, amend, modify or change its Organization Documents in any manner which could materially adversely affect the rights of the Credit Parties under the Loan Documents.</w:t>
      </w:r>
    </w:p>
    <w:p>
      <w:pPr>
        <w:spacing w:after="0" w:line="162"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It will not, and will not permit any of its Subsidiaries to, use any part of the proceeds of any Loan to be used, whether directly or indirectly, and whether immediately, incidentally or ultimately, for any purpose that entails a violation of any of the Regulations of the Board (including Regulations T, U and X), including to purchase or carry margin stock (within the meaning of Regulation U) other than stock of the Company or to extend credit to others for the purpose of purchasing or carrying margin stock or to refund indebtedness originally incurred for such purpose.</w:t>
      </w:r>
    </w:p>
    <w:p>
      <w:pPr>
        <w:spacing w:after="0" w:line="183"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Subsidiary Indebtedness</w:t>
      </w:r>
      <w:r>
        <w:rPr>
          <w:rFonts w:ascii="Times New Roman" w:cs="Times New Roman" w:eastAsia="Times New Roman" w:hAnsi="Times New Roman"/>
          <w:sz w:val="18"/>
          <w:szCs w:val="18"/>
          <w:color w:val="auto"/>
        </w:rPr>
        <w:t>. It will not permit, at any time, the aggregate Indebtedness of all Subsidiaries (excluding Indebtedness of a Subsidiary owing to a Borrower or to another Subsidiary) to exceed 30% of Total Capitalization.</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shall occur:</w:t>
      </w:r>
    </w:p>
    <w:p>
      <w:pPr>
        <w:spacing w:after="0" w:line="229" w:lineRule="exact"/>
        <w:rPr>
          <w:sz w:val="20"/>
          <w:szCs w:val="20"/>
          <w:color w:val="auto"/>
        </w:rPr>
      </w:pPr>
    </w:p>
    <w:p>
      <w:pPr>
        <w:ind w:left="4" w:right="40" w:firstLine="987"/>
        <w:spacing w:after="0" w:line="282" w:lineRule="auto"/>
        <w:tabs>
          <w:tab w:leader="none" w:pos="12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any Loan or any reimbursement obligation in respect of any LC Disbursement when and as the same shall become due and payable, whether at the due date thereof or otherwise;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4" w:right="280" w:hanging="4"/>
        <w:spacing w:after="0" w:line="260" w:lineRule="auto"/>
        <w:tabs>
          <w:tab w:leader="none" w:pos="249" w:val="left"/>
        </w:tabs>
        <w:numPr>
          <w:ilvl w:val="0"/>
          <w:numId w:val="1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Article) payable under this Agreement or any other Loan Document, when and as the same shall become due and payable, and such failure shall continue unremedied for a period of five (5) days;</w:t>
      </w:r>
    </w:p>
    <w:p>
      <w:pPr>
        <w:spacing w:after="0" w:line="181" w:lineRule="exact"/>
        <w:rPr>
          <w:rFonts w:ascii="Times New Roman" w:cs="Times New Roman" w:eastAsia="Times New Roman" w:hAnsi="Times New Roman"/>
          <w:sz w:val="18"/>
          <w:szCs w:val="18"/>
          <w:u w:val="single" w:color="auto"/>
          <w:color w:val="auto"/>
        </w:rPr>
      </w:pPr>
    </w:p>
    <w:p>
      <w:pPr>
        <w:ind w:left="4" w:right="180" w:firstLine="987"/>
        <w:spacing w:after="0" w:line="258" w:lineRule="auto"/>
        <w:tabs>
          <w:tab w:leader="none" w:pos="12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any respect if such representation or warranty is already qualified by concepts of materiality) when made or deemed made;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4"/>
          </w:cols>
          <w:pgMar w:left="436" w:top="270" w:right="439" w:bottom="1440" w:gutter="0" w:footer="0" w:header="0"/>
        </w:sectPr>
      </w:pPr>
    </w:p>
    <w:bookmarkStart w:id="96" w:name="page97"/>
    <w:bookmarkEnd w:id="96"/>
    <w:p>
      <w:pPr>
        <w:ind w:left="4" w:right="40" w:firstLine="987"/>
        <w:spacing w:after="0" w:line="261" w:lineRule="auto"/>
        <w:tabs>
          <w:tab w:leader="none" w:pos="125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Borrower shall fail to observe or perform any covenant, condition or agreement contained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(ii) the Company shall fail to observe or perform any covenant, condition or agreement contained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such failure shall continue unremedied for a period of five (5) Business Days after the earlier of any of the chief executive officer, president or any Financial Officer of the Company becoming aware of such failure or notice thereof by the Administrative Agent;</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observe or perform any covenant, condition or agreement contained in any Loan Document (other than those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Article), and such failure shall continue unremedied for a period of thirty (30) days after written notice from the Administrative Agent;</w:t>
      </w:r>
    </w:p>
    <w:p>
      <w:pPr>
        <w:spacing w:after="0" w:line="175"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(i) shall fail to make any payment when due (whether by scheduled maturity, required prepayment, acceleration, demand or otherwise) in respect of any Indebtedness or Guarantee having an aggregate principal amount (including undrawn committed or available amounts and including amounts owing to all creditors under any combined or syndicated credit arrangement) of more than $50,000,000, or (ii) shall fail to observe or perform any other agreement or condition relating to any such Indebtedness or Guarantee having an aggregate principal amount (including undrawn committed or available amounts and including amounts owing to all creditors under any combined or syndicated credit arrangement) of more than $50,000,000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w:t>
      </w:r>
    </w:p>
    <w:p>
      <w:pPr>
        <w:spacing w:after="0" w:line="191"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5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involuntary proceeding shall be commenced or an involuntary petition shall be filed seeking (i) liquidation, reorganization or other relief (including, in the case of any Luxembourg Obligor, any Luxembourg Relief) in respect of any Borrower or any Significant Subsidiary or its debts, or of a substantial part of its assets, under any Federal, state or foreign bankruptcy, insolvency, receivership or similar law now or hereafter in effect or</w:t>
      </w:r>
    </w:p>
    <w:p>
      <w:pPr>
        <w:spacing w:after="0" w:line="1" w:lineRule="exact"/>
        <w:rPr>
          <w:rFonts w:ascii="Times New Roman" w:cs="Times New Roman" w:eastAsia="Times New Roman" w:hAnsi="Times New Roman"/>
          <w:sz w:val="17"/>
          <w:szCs w:val="17"/>
          <w:color w:val="auto"/>
        </w:rPr>
      </w:pPr>
    </w:p>
    <w:p>
      <w:pPr>
        <w:jc w:val="both"/>
        <w:ind w:left="4" w:right="40" w:hanging="4"/>
        <w:spacing w:after="0" w:line="255" w:lineRule="auto"/>
        <w:tabs>
          <w:tab w:leader="none" w:pos="2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trustee, custodian, sequestrator, conservator or similar official for any Borrower or any Significant Subsidiary or for a substantial part of its assets, and, in any such case, such proceeding or petition shall continue undismissed or unstayed for sixty (60) days or an order or decree approving or ordering any of the foregoing shall be entered;</w:t>
      </w:r>
    </w:p>
    <w:p>
      <w:pPr>
        <w:spacing w:after="0" w:line="185"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or any Significant Subsidiary shall (i) voluntarily commence any proceeding or file any petition seeking liquidation, reorganization or other relief (including, in the case of any Luxembourg Obligor, any Luxembourg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of this Article, (iii) apply for or consent to the appointment of a receiver, trustee, custodian, sequestrator, conservator or similar official for any Borrower or any Significant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4"/>
          </w:cols>
          <w:pgMar w:left="436" w:top="270" w:right="499" w:bottom="1440" w:gutter="0" w:footer="0" w:header="0"/>
        </w:sectPr>
      </w:pPr>
    </w:p>
    <w:bookmarkStart w:id="97" w:name="page98"/>
    <w:bookmarkEnd w:id="9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Borrower or any Significant Subsidiary shall become unable, admit in writing its inability or fail generally to pay its debts as they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become due;</w:t>
      </w:r>
    </w:p>
    <w:p>
      <w:pPr>
        <w:spacing w:after="0" w:line="207" w:lineRule="exact"/>
        <w:rPr>
          <w:sz w:val="20"/>
          <w:szCs w:val="20"/>
          <w:color w:val="auto"/>
        </w:rPr>
      </w:pPr>
    </w:p>
    <w:p>
      <w:pPr>
        <w:ind w:left="4" w:firstLine="987"/>
        <w:spacing w:after="0" w:line="258" w:lineRule="auto"/>
        <w:tabs>
          <w:tab w:leader="none" w:pos="121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for the payment of money in an aggregate amount in excess of $50,000,000 (to the extent not covered by independent third-party insurance as to which the insurer does not dispute coverage) shall be rendered against the Company or any Subsidiary and (i) the same shall remain undischarged for a period of thirty (30) consecutive days during which execution shall not be effectively stayed by reason of pending appeal or otherwise, or (ii) any action shall be legally taken by a judgment creditor to attach or levy upon any assets of the Company or any Subsidiary to enforce any such judgment;</w:t>
      </w:r>
    </w:p>
    <w:p>
      <w:pPr>
        <w:spacing w:after="0" w:line="183" w:lineRule="exact"/>
        <w:rPr>
          <w:rFonts w:ascii="Times New Roman" w:cs="Times New Roman" w:eastAsia="Times New Roman" w:hAnsi="Times New Roman"/>
          <w:sz w:val="18"/>
          <w:szCs w:val="18"/>
          <w:color w:val="auto"/>
        </w:rPr>
      </w:pPr>
    </w:p>
    <w:p>
      <w:pPr>
        <w:ind w:left="4" w:right="240" w:firstLine="987"/>
        <w:spacing w:after="0" w:line="312" w:lineRule="auto"/>
        <w:tabs>
          <w:tab w:leader="none" w:pos="125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ERISA Event shall have occurred that, when taken together with all other ERISA Events that have occurred, could reasonably be expected to result in liability of the Company and its Subsidiaries in an aggregate amount exceeding $50,000,000 from and after the Effective Date;</w:t>
      </w:r>
    </w:p>
    <w:p>
      <w:pPr>
        <w:spacing w:after="0" w:line="139" w:lineRule="exact"/>
        <w:rPr>
          <w:rFonts w:ascii="Times New Roman" w:cs="Times New Roman" w:eastAsia="Times New Roman" w:hAnsi="Times New Roman"/>
          <w:sz w:val="17"/>
          <w:szCs w:val="17"/>
          <w:color w:val="auto"/>
        </w:rPr>
      </w:pPr>
    </w:p>
    <w:p>
      <w:pPr>
        <w:ind w:left="1204" w:hanging="213"/>
        <w:spacing w:after="0"/>
        <w:tabs>
          <w:tab w:leader="none" w:pos="12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 or</w:t>
      </w:r>
    </w:p>
    <w:p>
      <w:pPr>
        <w:spacing w:after="0" w:line="225"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any Loan Document, at any time after its execution and delivery and for any reason other than as expressly permitted hereunder or satisfaction in full of all the Obligations, shall cease to be in full force and effect; or any Borrower or any other Person shall contest in any manner the validity or enforceability of any material provision of any Loan Document; or any Borrower shall deny that it has any or further liability or obligation under any material provisions of any Loan Document, or shall purport to revoke, terminate or rescind any material provision of any Loan Document;</w:t>
      </w:r>
    </w:p>
    <w:p>
      <w:pPr>
        <w:spacing w:after="0" w:line="183"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 xml:space="preserve">then, and in every such event (other than an event with respect to any Borrower described in </w:t>
      </w:r>
      <w:r>
        <w:rPr>
          <w:rFonts w:ascii="Times New Roman" w:cs="Times New Roman" w:eastAsia="Times New Roman" w:hAnsi="Times New Roman"/>
          <w:sz w:val="17"/>
          <w:szCs w:val="17"/>
          <w:u w:val="single" w:color="auto"/>
          <w:color w:val="auto"/>
        </w:rPr>
        <w:t>clause (g)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of this Article), and at any time thereafter during the continuance of such event, the Administrative Agent may with the consent of the Required Lenders, and shall at the written request of the Required Lenders, by notice to the Company, take either or both of the following actions, at the same or different times: (i) terminate the Commitments (including the Swingline Commitments and the Letter of Credit Commitments), and thereupon the Commitments shall terminate immediately, and</w:t>
      </w:r>
    </w:p>
    <w:p>
      <w:pPr>
        <w:spacing w:after="0" w:line="3" w:lineRule="exact"/>
        <w:rPr>
          <w:sz w:val="20"/>
          <w:szCs w:val="20"/>
          <w:color w:val="auto"/>
        </w:rPr>
      </w:pPr>
    </w:p>
    <w:p>
      <w:pPr>
        <w:ind w:left="4" w:right="20" w:hanging="4"/>
        <w:spacing w:after="0" w:line="251"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(iii) require cash collateral for the LC Exposure in accordance with Section 2.06(j) hereof; and in case of any event with respect to any Borrower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Article, the Commitments shall automatically terminate and the principal of the Loans then outstanding and cash collateral for the LC Exposure,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Each of the Lenders and the Issuing Banks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Each of the Arrangers and the Lenders exempts the Administrative Agent from the restrictions pursuant to Section 181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98" w:name="page99"/>
    <w:bookmarkEnd w:id="9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similar restrictions applicable to it pursuant to any other applicable law, in each case to the extent legally possible to such Lender. A Lender which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cannot grant such exemption shall notify the Administrative Agent accordingly and, upon request of the Administrative Agent, either act in accordance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the terms of this Agreement and/or any other Loan Document as required pursuant to this Agreement and/or such other Loan Document or grant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special power of attorney to a party acting on its behalf, in a manner that is not prohibited pursuant to Section 181 of the German Civil Code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and/or any other applicable laws. The provisions of this Article are solely for the benefit of the Administrative Agent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Lenders, and neither the Company nor any other Borrower shall have rights as a third party beneficiary of any of such provisions. It is understood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agreed that the use of the term “agent” as used herein or in any other Loan Documents (or any similar term) with reference to the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not intended to connote any fiduciary or other implied (or express) obligations arising under agency doctrine of any applicable law. Instead, such term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used as a matter of market custom, and is intended to create or reflect only an administrative relationship between independent contracting parties.</w:t>
      </w:r>
    </w:p>
    <w:p>
      <w:pPr>
        <w:spacing w:after="0" w:line="207" w:lineRule="exact"/>
        <w:rPr>
          <w:sz w:val="20"/>
          <w:szCs w:val="20"/>
          <w:color w:val="auto"/>
        </w:rPr>
      </w:pPr>
    </w:p>
    <w:p>
      <w:pPr>
        <w:jc w:val="both"/>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Any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Company or any Subsidiary or other Affiliate thereof as if it were not the Administrative Agent hereunder.</w:t>
      </w:r>
    </w:p>
    <w:p>
      <w:pPr>
        <w:spacing w:after="0" w:line="180"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4" w:hanging="4"/>
        <w:spacing w:after="0" w:line="251" w:lineRule="auto"/>
        <w:tabs>
          <w:tab w:leader="none" w:pos="24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herein, the Administrative Agent shall not have any duty to disclose, and shall not be liable for the failure to disclose, any information relating to the Company or any Subsidiary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in the absence of its own gross negligence or willful misconduct as determined by a final nonappealable judgment of a court of competent jurisdiction. The Administrative Agent shall be deemed not to have knowledge of any Default or Event of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any Loan Document, (ii) the contents of any certificate, report or other document delivered under any Loan Document or in connection therewith, (iii) the performance or observance of any of the covenants, agreements or other terms or conditions set forth in any Loan Document or the occurrence of any Default or Event of Default, (iv) the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99" w:name="page100"/>
    <w:bookmarkEnd w:id="9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 (i) 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 (ii) nothing in this Agreement or any Loan Document shall require the Administrative Agent to account to any Lender for any sum or the profit element of any sum received by the Administrative Agent for its own account.</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Subject to the appointment and acceptance of a successor Administrative Agent as provided in this paragraph, the Administrative Agent may resign at any time by notifying the Lenders, the Issuing Bank and the Company. Upon any such resignation, the Required Lenders shall have the right, in consultation with the Company,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Company to a successor Administrative Agent shall be the same as those payable to its predecessor unless otherwise agreed between the Company and such successor. After the Administrative Agent’s resignation hereunder, the provisions of this Article and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continue in effect for the benefit of such retiring Administrative Agent, its sub agents and their respective Related Parties in respect of any actions taken or omitted to be taken by any of them while it was acting as Administrative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0" w:name="page101"/>
    <w:bookmarkEnd w:id="100"/>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and each Issuing Bank represents and warrants that (i) the Loan Documents set forth the terms of a commercial lending facility,</w:t>
      </w:r>
    </w:p>
    <w:p>
      <w:pPr>
        <w:spacing w:after="0" w:line="27" w:lineRule="exact"/>
        <w:rPr>
          <w:sz w:val="20"/>
          <w:szCs w:val="20"/>
          <w:color w:val="auto"/>
        </w:rPr>
      </w:pPr>
    </w:p>
    <w:p>
      <w:pPr>
        <w:ind w:left="4" w:hanging="4"/>
        <w:spacing w:after="0" w:line="251" w:lineRule="auto"/>
        <w:tabs>
          <w:tab w:leader="none" w:pos="2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 (iii) it has, independently and without reliance upon the Administrative Agent, any Arranger, any Syndication Agent, any Co-Documentation Agent or any other Lender or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Co-Documentation Agent or any other Lender or other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6"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3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Guaranty</w:t>
      </w:r>
    </w:p>
    <w:p>
      <w:pPr>
        <w:spacing w:after="0" w:line="225" w:lineRule="exact"/>
        <w:rPr>
          <w:sz w:val="20"/>
          <w:szCs w:val="20"/>
          <w:color w:val="auto"/>
        </w:rPr>
      </w:pPr>
    </w:p>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In order to induce the Lenders to extend credit to the Designated Borrowers hereunder, the Company hereby irrevocably and unconditionally guarantees, as a primary obligor and not merely as a surety, the payment when and as due of the Obligations of the Designated Borrowers.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64"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8"/>
          <w:szCs w:val="18"/>
          <w:color w:val="auto"/>
        </w:rPr>
        <w:t>The Company waives presentment to, demand of payment from and protest to any Designated Borrower of any of the Obligations, and also</w:t>
      </w:r>
    </w:p>
    <w:p>
      <w:pPr>
        <w:spacing w:after="0" w:line="27"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7"/>
          <w:szCs w:val="17"/>
          <w:color w:val="auto"/>
        </w:rPr>
        <w:t>waives notice of acceptance of its obligations and notice of protest for nonpayment. The obligations of the Company hereunder shall not be affected by</w:t>
      </w:r>
    </w:p>
    <w:p>
      <w:pPr>
        <w:spacing w:after="0" w:line="21" w:lineRule="exact"/>
        <w:rPr>
          <w:sz w:val="20"/>
          <w:szCs w:val="20"/>
          <w:color w:val="auto"/>
        </w:rPr>
      </w:pPr>
    </w:p>
    <w:p>
      <w:pPr>
        <w:ind w:left="5364" w:right="2380" w:hanging="5364"/>
        <w:spacing w:after="0" w:line="433" w:lineRule="auto"/>
        <w:tabs>
          <w:tab w:leader="none" w:pos="2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Credit Party to assert any claim or demand or to enforce any right or remedy against any Borrower -93-</w:t>
      </w:r>
    </w:p>
    <w:p>
      <w:pPr>
        <w:sectPr>
          <w:pgSz w:w="11900" w:h="16838" w:orient="portrait"/>
          <w:cols w:equalWidth="0" w:num="1">
            <w:col w:w="11004"/>
          </w:cols>
          <w:pgMar w:left="436" w:top="270" w:right="459" w:bottom="1440" w:gutter="0" w:footer="0" w:header="0"/>
        </w:sectPr>
      </w:pPr>
    </w:p>
    <w:bookmarkStart w:id="101" w:name="page102"/>
    <w:bookmarkEnd w:id="10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provisions of any Loan Document or otherwise, (b) any extension or renewal of any of the Obligations, (c) any rescission, waiver, amendment or modification of, or release from, any of the terms or provisions of any Loan Document or any other agreement, (d) any default, failure or delay, willful or otherwise, in the performance of any of the Obligations, (e) any amendment or waiver of any of the Obligations, (f) any law or regulation of any jurisdiction or any other event affecting any term of the Obligations, or (g) to the fullest extent permitted by applicable law,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to the fullest extent permitted by applicable law, waives any right to require that any resort be had by any Credit Party to any balance of any deposit account or credit on the books of any Credit Party in favor of any Borrower or any other Person.</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 in each case, to the fullest extent permitted by applicable law.</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further agrees that its obligations hereunder shall continue to be effective or be reinstated, as the case may be, if at any time payment, or any part thereof, of any Obligation is rescinded or must otherwise be restored by any Credit Party upon the bankruptcy or reorganization of any Borrower or otherwise.</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Credit Party may have at law or in equity against the Company by virtue hereof, upon the failure of any Designated Borrower to pay any Obligation when and as the same shall become due, whether at maturity, by acceleration, after notice of prepayment or otherwise, the Company hereby promises to and will, upon receipt of written demand by any Credit Party, forthwith pay, or cause to be paid, to such Credit Party in cash an amount equal to the unpaid principal amount of such Obligations then due, together with accrued and unpaid interest thereon. The Company further agrees that if payment in respect of any Obligation shall be due in a Foreign Currency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Credit Party, not consistent with the protection of its rights or interests, then, at the election of the Administrative Agent, the Company shall make payment of such Obligation in U.S. Dollars (based upon the Dollar Amount of such Obligation on the date of payment) and/or in New York, and shall indemnify the Credit Parties against any losses or reasonable out-of-pocket expenses that it shall sustain as a result of such alternative payment.</w:t>
      </w:r>
    </w:p>
    <w:p>
      <w:pPr>
        <w:spacing w:after="0" w:line="19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Upon payment by the Company of any sums as provided above, all rights of the Company against any Designated Borrower arising as a result thereof by way of right of subrogation or otherwise shall in all respects be subordinated and junior in right of payment to the prior indefeasible payment in full of all the Obligations.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02" w:name="page103"/>
    <w:bookmarkEnd w:id="102"/>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that, notwithstanding anything to the contrary contained herein, none of the Company’s Subsidiaries shall be required to provide any guarantee, pledge, or asset support arrangement that would result in any adverse tax consequences due to the application of Section 956 of the Code.</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w:t>
      </w:r>
    </w:p>
    <w:p>
      <w:pPr>
        <w:spacing w:after="0" w:line="27" w:lineRule="exact"/>
        <w:rPr>
          <w:rFonts w:ascii="Times New Roman" w:cs="Times New Roman" w:eastAsia="Times New Roman" w:hAnsi="Times New Roman"/>
          <w:sz w:val="18"/>
          <w:szCs w:val="18"/>
          <w:color w:val="auto"/>
        </w:rPr>
      </w:pPr>
    </w:p>
    <w:p>
      <w:pPr>
        <w:ind w:left="4" w:right="360" w:hanging="4"/>
        <w:spacing w:after="0" w:line="260" w:lineRule="auto"/>
        <w:tabs>
          <w:tab w:leader="none" w:pos="259" w:val="left"/>
        </w:tabs>
        <w:numPr>
          <w:ilvl w:val="0"/>
          <w:numId w:val="1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all notices and other communications provided for herein shall be in writing and shall be delivered by hand or overnight courier service, mailed by certified or registered mail or sent by telecopy, as follows:</w:t>
      </w:r>
    </w:p>
    <w:p>
      <w:pPr>
        <w:spacing w:after="0" w:line="86" w:lineRule="exact"/>
        <w:rPr>
          <w:rFonts w:ascii="Times New Roman" w:cs="Times New Roman" w:eastAsia="Times New Roman" w:hAnsi="Times New Roman"/>
          <w:sz w:val="18"/>
          <w:szCs w:val="18"/>
          <w:u w:val="single" w:color="auto"/>
          <w:color w:val="auto"/>
        </w:rPr>
      </w:pPr>
    </w:p>
    <w:p>
      <w:pPr>
        <w:ind w:left="1424" w:right="460" w:hanging="439"/>
        <w:spacing w:after="0" w:line="282" w:lineRule="auto"/>
        <w:tabs>
          <w:tab w:leader="none" w:pos="14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Borrower, to the Company at Cabot Corporation, Two Seaport Lane, Boston, Massachusetts 02210-2019, Attention of Steven J. Delahunt (Telecopy No. (617) 342-6208) (Email: </w:t>
      </w:r>
      <w:r>
        <w:rPr>
          <w:rFonts w:ascii="Times New Roman" w:cs="Times New Roman" w:eastAsia="Times New Roman" w:hAnsi="Times New Roman"/>
          <w:sz w:val="18"/>
          <w:szCs w:val="18"/>
          <w:u w:val="single" w:color="auto"/>
          <w:color w:val="auto"/>
        </w:rPr>
        <w:t>steve.delahunt@cabotcorp.com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from any Borrower, to the address or addresses separately provided to the Company;</w:t>
      </w:r>
    </w:p>
    <w:p>
      <w:pPr>
        <w:spacing w:after="0" w:line="130" w:lineRule="exact"/>
        <w:rPr>
          <w:rFonts w:ascii="Times New Roman" w:cs="Times New Roman" w:eastAsia="Times New Roman" w:hAnsi="Times New Roman"/>
          <w:sz w:val="18"/>
          <w:szCs w:val="18"/>
          <w:color w:val="auto"/>
        </w:rPr>
      </w:pPr>
    </w:p>
    <w:p>
      <w:pPr>
        <w:ind w:left="1424" w:right="260" w:hanging="439"/>
        <w:spacing w:after="0" w:line="282" w:lineRule="auto"/>
        <w:tabs>
          <w:tab w:leader="none" w:pos="14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from the Lenders, to JPMorgan Chase Bank, N.A. and J.P. Morgan SE, 131 South Dearborn Street, Floor 04, Chicago, Illinois, 60603-5506, Attention: Loan and Agency Servicing;</w:t>
      </w:r>
    </w:p>
    <w:p>
      <w:pPr>
        <w:spacing w:after="0" w:line="67"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Swingline Lender or to an Issuing Bank, to it at the address separately provided by such Swingline Lender or Issuing Bank to the Company; and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or Approved Borrower Portals, to the extent provided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shall be effective as provided in said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100" w:firstLine="987"/>
        <w:spacing w:after="0" w:line="256" w:lineRule="auto"/>
        <w:tabs>
          <w:tab w:leader="none" w:pos="125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Borrowers, Lenders, the Administrative Agent and the Issuing Bank hereunder may be delivered or furnished by using Electronic Systems or Approved Borrower Portals (as applicable), in each case,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03" w:name="page104"/>
    <w:bookmarkEnd w:id="10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provided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1240" w:hanging="253"/>
        <w:spacing w:after="0"/>
        <w:tabs>
          <w:tab w:leader="none" w:pos="12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hereto.</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61" w:lineRule="auto"/>
        <w:tabs>
          <w:tab w:leader="none" w:pos="14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that the Administrative Agent may, but shall not be obligated to, make Communications (as defined below) available to the Issuing Bank and the Lenders by posting the Communications on Debt Domain, Intralinks, Syndtrak, ClearPar or a substantially similar Electronic System chosen by the Administrative Agent to be its electronic transmission system (the “</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420" w:right="140" w:hanging="439"/>
        <w:spacing w:after="0" w:line="254" w:lineRule="auto"/>
        <w:tabs>
          <w:tab w:leader="none" w:pos="142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Platform and its primary web portal are secured with generally-applicable security procedures and policies implemented or modified by the Administrative Agent from time to time (including, as of the Effective Date, a user ID/password authorization system) and the Platform is secured through a per-deal authorization method whereby each user may access the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may be confidentiality and other risks associated with such distribution. Each of the Lenders, the Issuing Banks and the Borrowers hereby approves distribution of the Communications through the Platform and understands and assumes the risks of such distribution.</w:t>
      </w:r>
    </w:p>
    <w:p>
      <w:pPr>
        <w:spacing w:after="0" w:line="97" w:lineRule="exact"/>
        <w:rPr>
          <w:rFonts w:ascii="Times New Roman" w:cs="Times New Roman" w:eastAsia="Times New Roman" w:hAnsi="Times New Roman"/>
          <w:sz w:val="18"/>
          <w:szCs w:val="18"/>
          <w:color w:val="auto"/>
        </w:rPr>
      </w:pPr>
    </w:p>
    <w:p>
      <w:pPr>
        <w:ind w:left="1420" w:hanging="439"/>
        <w:spacing w:after="0" w:line="269" w:lineRule="auto"/>
        <w:tabs>
          <w:tab w:leader="none" w:pos="142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Platform and the Communications are provided “as is” and “as available.” The Agent Parties (as defined below)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any Arranger or any of their respective Related Parties (collectively, the “</w:t>
      </w:r>
      <w:r>
        <w:rPr>
          <w:rFonts w:ascii="Times New Roman" w:cs="Times New Roman" w:eastAsia="Times New Roman" w:hAnsi="Times New Roman"/>
          <w:sz w:val="17"/>
          <w:szCs w:val="17"/>
          <w:b w:val="1"/>
          <w:bCs w:val="1"/>
          <w:i w:val="1"/>
          <w:iCs w:val="1"/>
          <w:color w:val="auto"/>
        </w:rPr>
        <w:t>Agent Parties</w:t>
      </w:r>
      <w:r>
        <w:rPr>
          <w:rFonts w:ascii="Times New Roman" w:cs="Times New Roman" w:eastAsia="Times New Roman" w:hAnsi="Times New Roman"/>
          <w:sz w:val="17"/>
          <w:szCs w:val="17"/>
          <w:color w:val="auto"/>
        </w:rPr>
        <w:t>”) have any liability to the Borrowers, any Lender, the Issuing Bank or any other Person or entity for damages of any kind, including direct or indirect, special, incidental or consequential damages, losses or expenses (whether in tort, contract or otherwise) arising out of any Borrower’s or the Administrative Agent’s transmission of communications through the internet or the Platform. “</w:t>
      </w:r>
      <w:r>
        <w:rPr>
          <w:rFonts w:ascii="Times New Roman" w:cs="Times New Roman" w:eastAsia="Times New Roman" w:hAnsi="Times New Roman"/>
          <w:sz w:val="17"/>
          <w:szCs w:val="17"/>
          <w:b w:val="1"/>
          <w:bCs w:val="1"/>
          <w:i w:val="1"/>
          <w:iCs w:val="1"/>
          <w:color w:val="auto"/>
        </w:rPr>
        <w:t>Communications</w:t>
      </w:r>
      <w:r>
        <w:rPr>
          <w:rFonts w:ascii="Times New Roman" w:cs="Times New Roman" w:eastAsia="Times New Roman" w:hAnsi="Times New Roman"/>
          <w:sz w:val="17"/>
          <w:szCs w:val="17"/>
          <w:color w:val="auto"/>
        </w:rPr>
        <w:t>” means, collectively, any notice, demand, communication, information, document or other material provided by or on behalf of any Borrower pursuant to any Loan Document or the transactions contemplated therein which is distributed by the Administrative Agent, any Lender or any Issuing Bank by means of electronic communications pursuant to this Section, including through the Platform.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4" w:name="page105"/>
    <w:bookmarkEnd w:id="104"/>
    <w:p>
      <w:pPr>
        <w:ind w:left="1420" w:right="40" w:hanging="439"/>
        <w:spacing w:after="0" w:line="277" w:lineRule="auto"/>
        <w:tabs>
          <w:tab w:leader="none" w:pos="14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and each Issuing Bank agrees that notice to it (as provided in the next sentence) specifying that Communications have been posted to the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73" w:lineRule="exact"/>
        <w:rPr>
          <w:rFonts w:ascii="Times New Roman" w:cs="Times New Roman" w:eastAsia="Times New Roman" w:hAnsi="Times New Roman"/>
          <w:sz w:val="17"/>
          <w:szCs w:val="17"/>
          <w:color w:val="auto"/>
        </w:rPr>
      </w:pPr>
    </w:p>
    <w:p>
      <w:pPr>
        <w:ind w:left="1420" w:right="60" w:hanging="439"/>
        <w:spacing w:after="0" w:line="266" w:lineRule="auto"/>
        <w:tabs>
          <w:tab w:leader="none" w:pos="14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the Issuing Banks and the Borrowers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spacing w:after="0" w:line="81"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by any Credit Party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hereunder are cumulative and are not exclusive of any rights or remedies that they would otherwise have. No waiver of any provision of this Agreement or consent to any departure by any Borrower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any Credit Party may have had notice or knowledge of such Default at the time.</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below and except as provided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with respect to an Incremental Term Loan Amendment or as provided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with respect to an extension of the Maturity Date or as provided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(it being understood and agreed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is not considered an increase in Commitments of any Lender), (ii) reduce the principal amount of any Loan or LC Disbursement or reduce the rate of interest thereon, or reduce any fees payable hereunder,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the consent of the Required Lenders shall be necessary to amend the provisions with respect to the application of default rate interest described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and the last paragraph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or waive any obligation of any Borrower to pay interest or fees at such default rate, (iii) postpone the scheduled date of payment of the principal amount of any Loan or LC Disbursement, or any interest thereon, or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5" w:name="page106"/>
    <w:bookmarkEnd w:id="10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fees payable hereunder, or reduce the amount of, waive or excuse any such payment (in each case excluding, for the avoidance of doubt, mandatory prepayments under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postpone the scheduled date of expiration of any Commitment, without the written consent of each Lender affected thereby, (iv) change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a manner that would alter the ratable reduction of Commitments or the pro rata sharing of payments required thereby, without the written consent of each Lender, (v) change the payment waterfall provisions of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without the written consent of each Lender, (vi) release the Company from its obligations under the Loan Documents without the written consent of each Lender, (vii)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to an Incremental Term Loan Amendment, Incremental Term Loans may be included in the determination of Required Lenders on substantially the same basis as the Commitments and the Revolving Loans are included on the Effective Date), (viii) change any of the provisions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or (ix) change the definition of “Agreed Currencies”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 or the Swingline Lenders hereunder without the prior written consent of the Administrative Agent, the Issuing Bank or the Swingline Lenders, as the case may be.</w:t>
      </w:r>
    </w:p>
    <w:p>
      <w:pPr>
        <w:spacing w:after="0" w:line="187" w:lineRule="exact"/>
        <w:rPr>
          <w:sz w:val="20"/>
          <w:szCs w:val="20"/>
          <w:color w:val="auto"/>
        </w:rPr>
      </w:pPr>
    </w:p>
    <w:p>
      <w:pPr>
        <w:ind w:right="160" w:firstLine="987"/>
        <w:spacing w:after="0" w:line="256"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spacing w:after="0" w:line="187" w:lineRule="exact"/>
        <w:rPr>
          <w:rFonts w:ascii="Times New Roman" w:cs="Times New Roman" w:eastAsia="Times New Roman" w:hAnsi="Times New Roman"/>
          <w:sz w:val="18"/>
          <w:szCs w:val="18"/>
          <w:color w:val="auto"/>
        </w:rPr>
      </w:pPr>
    </w:p>
    <w:p>
      <w:pPr>
        <w:ind w:right="80" w:firstLine="987"/>
        <w:spacing w:after="0" w:line="252"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(ii) 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clause (d) may be effected pursuant to an Assignment and Assumption executed by the Company, the Administrative Agent and the assignee (or, to the extent applicable, an agreement incorporating an Assignment and Assumption by reference pursuant to a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106" w:name="page107"/>
    <w:bookmarkEnd w:id="106"/>
    <w:p>
      <w:pPr>
        <w:ind w:right="80" w:firstLine="987"/>
        <w:spacing w:after="0" w:line="255"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 If the Administrative Agent and the Company make or implement any such amendment, modification or supplement to any Loan Document, the Administrative Agent agrees (without limiting or affecting the validity of any such amendment, modification or supplement) to give prompt notice thereof to the Lenders including (if appropriate) a copy of such Loan Document as so amended, modified or supplemented.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(i) all reasonable out-of-pocket expenses incurred by the Administrative Agent, the Arrangers and their respective Affiliates, including the reasonable fees, charges and disbursements of counsel for the Administrative Agent, in connection with the syndication of the credit facilities provided for herein, the preparation and administration of the Loan Documents and any amendments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Credit Parties, including the reasonable fees, charges and disbursements of one counsel (and one local counsel in each relevant jurisdiction) for the Administrative Agent and one counsel (and one local counsel in each relevant jurisdiction) for all other Credit Parties, in connection with the enforcement or protection of their rights in connection with any Loan Document, including their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4"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each Credit Party, each Arranger and each of its respective Related Parties (each such Person being called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to the Loan Documents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Subsidiary, or any Environmental Liability related in any way to the Company or any Subsidiary, or (iv) any actual or prospective claim, litigation, investigation or proceeding relating to any of the foregoing, whether or not such claim, litigation, investigation or proceeding is brought by any Borrower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7" w:name="page108"/>
    <w:bookmarkEnd w:id="10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 by final and nonappealable judgment to have resulted from the gross negligence or willful misconduct of such Indemnitee, (y) are determined by a court of competent jurisdiction by final and nonappealable judgment to have resulted from the breach by such Indemnitee of its funding obligations hereunder, to the extent caused by the inability of such Indemnitee to satisfy such funding obligations because of its status as a Defaulting Lender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or (z) result from a claim brought by any Borrower against such Indemnitee for breach in bad faith of such Indemnitee’s obligations under any Loan Document, if such Borrower has obtained a final and nonappealable judgment in its favor on such claim as determined by a court of competent jurisdiction.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shall not apply with respect to Taxes other than any Taxes that represent losses, claims or damages arising from any non-Tax claim.</w:t>
      </w:r>
    </w:p>
    <w:p>
      <w:pPr>
        <w:spacing w:after="0" w:line="189" w:lineRule="exact"/>
        <w:rPr>
          <w:sz w:val="20"/>
          <w:szCs w:val="20"/>
          <w:color w:val="auto"/>
        </w:rPr>
      </w:pPr>
    </w:p>
    <w:p>
      <w:pPr>
        <w:ind w:right="120" w:firstLine="987"/>
        <w:spacing w:after="0" w:line="256"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Company fails to pay any amount required to be paid by it to the Administrative Agent, the Issuing Banks or the Swingline Lenders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each Lender severally agrees to pay to the Administrative Agent, the Issuing Bank or the Swingline Lenders,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the Issuing Bank or the Swingline Lenders in their capacity as such.</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party hereto shall assert, and each party hereto hereby waives, any claim against any other party hereto, on any theory of liability, for special, indirect, consequential or punitive damages (as opposed to direct or actual damages) arising out of, in connection with, or as a result of, any Loan Document or any agreement or instrument contemplated 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relieve the Company of any obligation it may have to indemnify an Indemnitee against special, indirect, consequential or punitive damages asserted against such Indemnitee by a third party.</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promptly after written demand therefor.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Credit Parties)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w:t>
      </w:r>
      <w:r>
        <w:rPr>
          <w:rFonts w:ascii="Times New Roman" w:cs="Times New Roman" w:eastAsia="Times New Roman" w:hAnsi="Times New Roman"/>
          <w:sz w:val="18"/>
          <w:szCs w:val="18"/>
          <w:u w:val="single" w:color="auto"/>
          <w:color w:val="auto"/>
        </w:rPr>
        <w:t>paragraph (b)(ii)</w:t>
      </w:r>
      <w:r>
        <w:rPr>
          <w:rFonts w:ascii="Times New Roman" w:cs="Times New Roman" w:eastAsia="Times New Roman" w:hAnsi="Times New Roman"/>
          <w:sz w:val="18"/>
          <w:szCs w:val="18"/>
          <w:color w:val="auto"/>
        </w:rPr>
        <w:t xml:space="preserve"> below, any Lender may assign to one or more Persons (other than an Ineligible Assignee) all or a portion of its rights and obligations under the Loan Documents (including all or a portion of its Commitment, participations in Letters of Credit and the Loans at the time owing to it) with the prior written consent (such consent not to be unreasonably withheld, conditioned or delayed)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08" w:name="page109"/>
    <w:bookmarkEnd w:id="108"/>
    <w:p>
      <w:pPr>
        <w:ind w:left="-1" w:right="40" w:firstLine="910"/>
        <w:spacing w:after="0" w:line="281" w:lineRule="auto"/>
        <w:tabs>
          <w:tab w:leader="none" w:pos="1196"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be deemed to have consented to an assignment unless it shall have objected thereto by written notice to the Administrative Agent within five (5) Business Days after having received notice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 consent of the Company shall be required for an assignment to a Lender (other than a Defaulting Lender), an Affiliate of a Lender (other than a Defaulting Lender), an Approved Fund or, if an Event of Default has occurred and is continuing, any other assignee;</w:t>
      </w:r>
    </w:p>
    <w:p>
      <w:pPr>
        <w:spacing w:after="0" w:line="56" w:lineRule="exact"/>
        <w:rPr>
          <w:rFonts w:ascii="Times New Roman" w:cs="Times New Roman" w:eastAsia="Times New Roman" w:hAnsi="Times New Roman"/>
          <w:sz w:val="17"/>
          <w:szCs w:val="17"/>
          <w:color w:val="auto"/>
        </w:rPr>
      </w:pPr>
    </w:p>
    <w:p>
      <w:pPr>
        <w:ind w:left="-1" w:right="200" w:firstLine="910"/>
        <w:spacing w:after="0" w:line="282" w:lineRule="auto"/>
        <w:tabs>
          <w:tab w:leader="none" w:pos="118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(other than a Defaulting Lender) or an Affiliate of a Lender (other than a Defaulting Lender);</w:t>
      </w:r>
    </w:p>
    <w:p>
      <w:pPr>
        <w:spacing w:after="0" w:line="53" w:lineRule="exact"/>
        <w:rPr>
          <w:rFonts w:ascii="Times New Roman" w:cs="Times New Roman" w:eastAsia="Times New Roman" w:hAnsi="Times New Roman"/>
          <w:sz w:val="18"/>
          <w:szCs w:val="18"/>
          <w:color w:val="auto"/>
        </w:rPr>
      </w:pPr>
    </w:p>
    <w:p>
      <w:pPr>
        <w:ind w:left="-1" w:right="80" w:firstLine="910"/>
        <w:spacing w:after="0" w:line="266" w:lineRule="auto"/>
        <w:tabs>
          <w:tab w:leader="none" w:pos="118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an Issuing Bank shall be required if (x) an Event of Default occurs with respect to any Borrower under clause (g) or clause (h) of Article VII and (y) such Issuing Bank has no outstanding Letters of Credit at that time; and</w:t>
      </w:r>
    </w:p>
    <w:p>
      <w:pPr>
        <w:spacing w:after="0" w:line="67" w:lineRule="exact"/>
        <w:rPr>
          <w:rFonts w:ascii="Times New Roman" w:cs="Times New Roman" w:eastAsia="Times New Roman" w:hAnsi="Times New Roman"/>
          <w:sz w:val="18"/>
          <w:szCs w:val="18"/>
          <w:color w:val="auto"/>
        </w:rPr>
      </w:pPr>
    </w:p>
    <w:p>
      <w:pPr>
        <w:ind w:left="-1" w:right="40" w:firstLine="910"/>
        <w:spacing w:after="0" w:line="266" w:lineRule="auto"/>
        <w:tabs>
          <w:tab w:leader="none" w:pos="11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Swingline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a Swingline Lender shall be required if (x) an Event of Default occurs with respect to any Borrower under (g) or clause (h) of Article VII and (y) such Swingline Lender has no outstanding Swingline Loans at that time .</w:t>
      </w:r>
    </w:p>
    <w:p>
      <w:pPr>
        <w:spacing w:after="0" w:line="81"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1" w:right="60" w:firstLine="910"/>
        <w:spacing w:after="0" w:line="256" w:lineRule="auto"/>
        <w:tabs>
          <w:tab w:leader="none" w:pos="119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Company shall be required if an Event of Default has occurred and is continuing;</w:t>
      </w:r>
    </w:p>
    <w:p>
      <w:pPr>
        <w:spacing w:after="0" w:line="79" w:lineRule="exact"/>
        <w:rPr>
          <w:rFonts w:ascii="Times New Roman" w:cs="Times New Roman" w:eastAsia="Times New Roman" w:hAnsi="Times New Roman"/>
          <w:sz w:val="18"/>
          <w:szCs w:val="18"/>
          <w:color w:val="auto"/>
        </w:rPr>
      </w:pPr>
    </w:p>
    <w:p>
      <w:pPr>
        <w:ind w:left="-1" w:right="340" w:firstLine="910"/>
        <w:spacing w:after="0" w:line="282" w:lineRule="auto"/>
        <w:tabs>
          <w:tab w:leader="none" w:pos="118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the Loan Documents;</w:t>
      </w:r>
    </w:p>
    <w:p>
      <w:pPr>
        <w:spacing w:after="0" w:line="53" w:lineRule="exact"/>
        <w:rPr>
          <w:rFonts w:ascii="Times New Roman" w:cs="Times New Roman" w:eastAsia="Times New Roman" w:hAnsi="Times New Roman"/>
          <w:sz w:val="18"/>
          <w:szCs w:val="18"/>
          <w:color w:val="auto"/>
        </w:rPr>
      </w:pPr>
    </w:p>
    <w:p>
      <w:pPr>
        <w:ind w:left="1199" w:hanging="290"/>
        <w:spacing w:after="0"/>
        <w:tabs>
          <w:tab w:leader="none" w:pos="1199"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w:t>
      </w:r>
    </w:p>
    <w:p>
      <w:pPr>
        <w:spacing w:after="0" w:line="27" w:lineRule="exact"/>
        <w:rPr>
          <w:rFonts w:ascii="Times New Roman" w:cs="Times New Roman" w:eastAsia="Times New Roman" w:hAnsi="Times New Roman"/>
          <w:sz w:val="18"/>
          <w:szCs w:val="18"/>
          <w:color w:val="auto"/>
        </w:rPr>
      </w:pPr>
    </w:p>
    <w:p>
      <w:pPr>
        <w:ind w:left="-1" w:right="180" w:firstLine="7"/>
        <w:spacing w:after="0" w:line="255" w:lineRule="auto"/>
        <w:tabs>
          <w:tab w:leader="none" w:pos="25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 agreement incorporating an Assignment and Assumption by reference pursuant to a Platform as to which the Administrative Agent and the parties to the Assignment and Assumption are participants), together with a processing and recordation fee of $3,500;</w:t>
      </w:r>
    </w:p>
    <w:p>
      <w:pPr>
        <w:spacing w:after="0" w:line="77" w:lineRule="exact"/>
        <w:rPr>
          <w:rFonts w:ascii="Times New Roman" w:cs="Times New Roman" w:eastAsia="Times New Roman" w:hAnsi="Times New Roman"/>
          <w:sz w:val="18"/>
          <w:szCs w:val="18"/>
          <w:color w:val="auto"/>
        </w:rPr>
      </w:pPr>
    </w:p>
    <w:p>
      <w:pPr>
        <w:ind w:left="-1" w:right="960" w:firstLine="910"/>
        <w:spacing w:after="0" w:line="282" w:lineRule="auto"/>
        <w:tabs>
          <w:tab w:leader="none" w:pos="119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assignee shall deliver to the Administrative Agent, withholding agent and/or Company, as applicable, any documentation required by </w:t>
      </w:r>
      <w:r>
        <w:rPr>
          <w:rFonts w:ascii="Times New Roman" w:cs="Times New Roman" w:eastAsia="Times New Roman" w:hAnsi="Times New Roman"/>
          <w:sz w:val="18"/>
          <w:szCs w:val="18"/>
          <w:u w:val="single" w:color="auto"/>
          <w:color w:val="auto"/>
        </w:rPr>
        <w:t>Sections 2.17(f)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 w:firstLine="910"/>
        <w:spacing w:after="0" w:line="261" w:lineRule="auto"/>
        <w:tabs>
          <w:tab w:leader="none" w:pos="117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Related Parties or their respective securities) will be made available and who may receive such information in accordance with the assignee’s compliance procedures and applicable laws, including Federal and state securities laws.</w:t>
      </w:r>
    </w:p>
    <w:p>
      <w:pPr>
        <w:spacing w:after="0" w:line="112" w:lineRule="exact"/>
        <w:rPr>
          <w:sz w:val="20"/>
          <w:szCs w:val="20"/>
          <w:color w:val="auto"/>
        </w:rPr>
      </w:pPr>
    </w:p>
    <w:p>
      <w:pPr>
        <w:ind w:left="43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039"/>
          </w:cols>
          <w:pgMar w:left="1421" w:top="270" w:right="439" w:bottom="1440" w:gutter="0" w:footer="0" w:header="0"/>
        </w:sectPr>
      </w:pPr>
    </w:p>
    <w:bookmarkStart w:id="109" w:name="page110"/>
    <w:bookmarkEnd w:id="109"/>
    <w:p>
      <w:pPr>
        <w:ind w:left="439" w:hanging="439"/>
        <w:spacing w:after="0" w:line="254" w:lineRule="auto"/>
        <w:tabs>
          <w:tab w:leader="none" w:pos="43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acceptance and recording thereof pursuant to </w:t>
      </w:r>
      <w:r>
        <w:rPr>
          <w:rFonts w:ascii="Times New Roman" w:cs="Times New Roman" w:eastAsia="Times New Roman" w:hAnsi="Times New Roman"/>
          <w:sz w:val="18"/>
          <w:szCs w:val="18"/>
          <w:u w:val="single" w:color="auto"/>
          <w:color w:val="auto"/>
        </w:rPr>
        <w:t>paragraph (b)(iv)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the Loan Documents (and, in the case of an Assignment and Assumption covering all of the assigning Lender’s rights and obligations under the Loan Documents, such Lender shall cease to be a party thereto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Any assignment or transfer by a Lender of rights or obligations under the Loan Documents that does not comply with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w:t>
      </w:r>
    </w:p>
    <w:p>
      <w:pPr>
        <w:spacing w:after="0" w:line="93" w:lineRule="exact"/>
        <w:rPr>
          <w:rFonts w:ascii="Times New Roman" w:cs="Times New Roman" w:eastAsia="Times New Roman" w:hAnsi="Times New Roman"/>
          <w:sz w:val="18"/>
          <w:szCs w:val="18"/>
          <w:color w:val="auto"/>
        </w:rPr>
      </w:pPr>
    </w:p>
    <w:p>
      <w:pPr>
        <w:ind w:left="439" w:right="20" w:hanging="439"/>
        <w:spacing w:after="0" w:line="254" w:lineRule="auto"/>
        <w:tabs>
          <w:tab w:leader="none" w:pos="43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Borrowers and the Credit Parties shall treat each Person whose name is recorded in the Register pursuant to the terms hereof as a Lender hereunder for all purposes of this Agreement, notwithstanding notice to the contrary. The Register shall be available for inspection by the Company, the Issuing Bank and any Lender, at any reasonable time and from time to time upon reasonable prior notice.</w:t>
      </w:r>
    </w:p>
    <w:p>
      <w:pPr>
        <w:spacing w:after="0" w:line="97" w:lineRule="exact"/>
        <w:rPr>
          <w:rFonts w:ascii="Times New Roman" w:cs="Times New Roman" w:eastAsia="Times New Roman" w:hAnsi="Times New Roman"/>
          <w:sz w:val="18"/>
          <w:szCs w:val="18"/>
          <w:color w:val="auto"/>
        </w:rPr>
      </w:pPr>
    </w:p>
    <w:p>
      <w:pPr>
        <w:ind w:left="439" w:right="20" w:hanging="439"/>
        <w:spacing w:after="0" w:line="257" w:lineRule="auto"/>
        <w:tabs>
          <w:tab w:leader="none" w:pos="43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a duly completed Assignment and Assumption executed by an assigning Lender and an assignee (or, to the extent applicable, an agreement incorporating an Assignment and Assumption by reference pursuant to a Platform as to which the Administrative Agent and the parties to the Assignment and Assumption are participants), any documentation required by </w:t>
      </w:r>
      <w:r>
        <w:rPr>
          <w:rFonts w:ascii="Times New Roman" w:cs="Times New Roman" w:eastAsia="Times New Roman" w:hAnsi="Times New Roman"/>
          <w:sz w:val="18"/>
          <w:szCs w:val="18"/>
          <w:u w:val="single" w:color="auto"/>
          <w:color w:val="auto"/>
        </w:rPr>
        <w:t>Sections</w:t>
      </w:r>
    </w:p>
    <w:p>
      <w:pPr>
        <w:spacing w:after="0" w:line="1" w:lineRule="exact"/>
        <w:rPr>
          <w:rFonts w:ascii="Times New Roman" w:cs="Times New Roman" w:eastAsia="Times New Roman" w:hAnsi="Times New Roman"/>
          <w:sz w:val="18"/>
          <w:szCs w:val="18"/>
          <w:color w:val="auto"/>
        </w:rPr>
      </w:pPr>
    </w:p>
    <w:p>
      <w:pPr>
        <w:ind w:left="439"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any written consent to such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26" w:lineRule="exact"/>
        <w:rPr>
          <w:sz w:val="20"/>
          <w:szCs w:val="20"/>
          <w:color w:val="auto"/>
        </w:rPr>
      </w:pPr>
    </w:p>
    <w:p>
      <w:pPr>
        <w:ind w:left="43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019"/>
          </w:cols>
          <w:pgMar w:left="1421" w:top="270" w:right="459" w:bottom="1440" w:gutter="0" w:footer="0" w:header="0"/>
        </w:sectPr>
      </w:pPr>
    </w:p>
    <w:bookmarkStart w:id="110" w:name="page111"/>
    <w:bookmarkEnd w:id="110"/>
    <w:p>
      <w:pPr>
        <w:ind w:firstLine="987"/>
        <w:spacing w:after="0" w:line="252" w:lineRule="auto"/>
        <w:tabs>
          <w:tab w:leader="none" w:pos="12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may, without the consent of any Borrower, the Administrative Agent, the Issuing Bank or the Swingline Lenders, sell participations to one or more banks or other entities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other than an Ineligible Assignee, in all or a portion of such Lender’s rights and obligations under the Loan Documents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the Loan Documents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the Loan Documents.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w:t>
      </w:r>
    </w:p>
    <w:p>
      <w:pPr>
        <w:spacing w:after="0" w:line="6"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that affects such Participant. Each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Sections 2.17(f)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(g) shall be delivered to the Participant)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(B) shall not be entitled to receive any greater payment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the Loan Documents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60"/>
          </w:cols>
          <w:pgMar w:left="440" w:top="270" w:right="499" w:bottom="1440" w:gutter="0" w:footer="0" w:header="0"/>
        </w:sectPr>
      </w:pPr>
    </w:p>
    <w:bookmarkStart w:id="111" w:name="page112"/>
    <w:bookmarkEnd w:id="11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Borrowers herein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termination, cash collateralization or other securing of the Letters of Credit, the expiration or termination of the Commitments or the termination of this Agreement or any provision hereof.</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55"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b w:val="1"/>
          <w:bCs w:val="1"/>
          <w:i w:val="1"/>
          <w:iCs w:val="1"/>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similar state laws based on the Uniform Electronic Transactions Act; provided that, without limiting the foregoing, (i) the Administrative Agent and each of the Lenders shall be entitled to rely on such Electronic Signature purportedly given by or on behalf of the Borrowers without further verification thereof and without any obligation to review the appearance or form of any such Electronic Signature and (ii) upon the reasonable request of the Administrative Agent or any Lender, any Electronic Signature shall be promptly followed by a manually executed counterpart. Without limiting the generality of the foregoing, each Borrower hereby (i) agrees that, for all purposes, including without limitation, in connection with any workout, restructuring, enforcement of remedies, bankruptcy proceedings or litigation among the Administrative Agent, the Lenders, and the Borrowers, Electronic Signatures transmitted by telecopy, emailed pdf. or any other electronic means that reproduces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2" w:name="page113"/>
    <w:bookmarkEnd w:id="112"/>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the Administrative Agent, any Arranger, any Issuing Bank and any Lender, and any Related Parties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to use any available security measures in connection with the execution, delivery or transmission of any Electronic Signature.</w:t>
      </w:r>
    </w:p>
    <w:p>
      <w:pPr>
        <w:spacing w:after="0" w:line="17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against any of and all the Obligations of such Borrower now or hereafter existing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5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Borrower hereby irrevocably and unconditionally submits, for itself and its property, to the nonexclusive jurisdiction of the Supreme Court of the State of New York sitting in the Borough of Manhattan, and of the United States District Court for the Southern District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(i) affect any right that any Credit Party may otherwise have to bring any action or proceeding relating to this Agreement against any Borrower or its properties in the courts of any jurisdiction,</w:t>
      </w:r>
    </w:p>
    <w:p>
      <w:pPr>
        <w:ind w:left="264" w:hanging="264"/>
        <w:spacing w:after="0"/>
        <w:tabs>
          <w:tab w:leader="none" w:pos="26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statutory, regulatory, common law, or other rule, doctrine, legal</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70" w:right="459" w:bottom="1440" w:gutter="0" w:footer="0" w:header="0"/>
        </w:sectPr>
      </w:pPr>
    </w:p>
    <w:bookmarkStart w:id="113" w:name="page114"/>
    <w:bookmarkEnd w:id="113"/>
    <w:p>
      <w:pPr>
        <w:ind w:right="3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 provision or the like providing for the treatment of bank branches, bank agencies, or other bank offices as if they were separate juridical entities for certain purposes, including Uniform Commercial Code Sections 4-106, 4-A-105(1)(b), and 5-116(b), UCP 600 Article 3 and ISP98 Rule</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89" w:lineRule="exact"/>
        <w:rPr>
          <w:sz w:val="20"/>
          <w:szCs w:val="20"/>
          <w:color w:val="auto"/>
        </w:rPr>
      </w:pPr>
    </w:p>
    <w:p>
      <w:pPr>
        <w:ind w:right="60" w:firstLine="987"/>
        <w:spacing w:after="0" w:line="261"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applicable law.</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each Designated Borrower hereby irrevocably designates the Company, at its address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as the designee, appointee and agent of such Designated Borrower to receive, for and on behalf of such Designated Borrower, service of process in such respective jurisdictions in any legal action or proceeding with respect to this Agreement or any other Loan Document.</w:t>
      </w:r>
    </w:p>
    <w:p>
      <w:pPr>
        <w:spacing w:after="0" w:line="176"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87"/>
        <w:spacing w:after="0" w:line="277" w:lineRule="auto"/>
        <w:tabs>
          <w:tab w:leader="none" w:pos="1236"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agrees to maintain the confidentiality of the Information (as defined below), except that Information may be disclosed (i)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(ii) to the extent requested by any Governmental Authority (including any self-regulatory authority, such as the National Association of Insurance Commissioners), (iii) to the extent required by applicable laws or regulations or by any subpoena</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440" w:top="270" w:right="439" w:bottom="1440" w:gutter="0" w:footer="0" w:header="0"/>
        </w:sectPr>
      </w:pPr>
    </w:p>
    <w:bookmarkStart w:id="114" w:name="page115"/>
    <w:bookmarkEnd w:id="11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similar legal process, (iv) 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derivative or insurance transaction relating to any Borrower and its obligations, (vii) with the consent of the Company or (viii) to the extent such Information (A) becomes publicly available other than as a result of a breach of this Section or (B) becomes available to any Credit Party on a non-confidential basis from a source other than any Borrower. For the purposes of this Section,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xml:space="preserve">” means all information received from any Borrower relating to such Borrower or its business, other than any such information that is available to any Credit Party on a non-confidential basis prior to disclosure by such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such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Section 10.12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b w:val="1"/>
          <w:bCs w:val="1"/>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Authority</w:t>
      </w:r>
      <w:r>
        <w:rPr>
          <w:rFonts w:ascii="Times New Roman" w:cs="Times New Roman" w:eastAsia="Times New Roman" w:hAnsi="Times New Roman"/>
          <w:sz w:val="18"/>
          <w:szCs w:val="18"/>
          <w:color w:val="auto"/>
        </w:rPr>
        <w:t>”) to the extent that any such prohibition on disclosure set forth in this Section 10.12 shall be prohibited by the laws or regulations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such Regulatory Authority.</w:t>
      </w:r>
    </w:p>
    <w:p>
      <w:pPr>
        <w:spacing w:after="0" w:line="176" w:lineRule="exact"/>
        <w:rPr>
          <w:sz w:val="20"/>
          <w:szCs w:val="20"/>
          <w:color w:val="auto"/>
        </w:rPr>
      </w:pPr>
    </w:p>
    <w:p>
      <w:pPr>
        <w:ind w:right="60" w:firstLine="987"/>
        <w:spacing w:after="0" w:line="257" w:lineRule="auto"/>
        <w:tabs>
          <w:tab w:leader="none" w:pos="1256"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EACH LENDER ACKNOWLEDGES THAT INFORMATION AS DEFINED IN </w:t>
      </w:r>
      <w:r>
        <w:rPr>
          <w:rFonts w:ascii="Times New Roman" w:cs="Times New Roman" w:eastAsia="Times New Roman" w:hAnsi="Times New Roman"/>
          <w:sz w:val="18"/>
          <w:szCs w:val="18"/>
          <w:b w:val="1"/>
          <w:bCs w:val="1"/>
          <w:u w:val="single" w:color="auto"/>
          <w:color w:val="auto"/>
        </w:rPr>
        <w:t>SECTION 10.12(a)</w:t>
      </w:r>
      <w:r>
        <w:rPr>
          <w:rFonts w:ascii="Times New Roman" w:cs="Times New Roman" w:eastAsia="Times New Roman" w:hAnsi="Times New Roman"/>
          <w:sz w:val="18"/>
          <w:szCs w:val="18"/>
          <w:b w:val="1"/>
          <w:bCs w:val="1"/>
          <w:color w:val="auto"/>
        </w:rPr>
        <w:t xml:space="preserve">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36"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5" w:name="page116"/>
    <w:bookmarkEnd w:id="1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(Title III of Pub. L. 107-56 (signed into law October 26, 2001))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the requirements of the Beneficial Ownership Regulation hereby notifies the Borrowers that pursuant to the requirements of the Act and the Beneficial Ownership Regulation, it is required to obtain, verify and record information that identifies the Borrowers, which information includes the names, addresses and tax identification numbers of the Borrowers and other information that will allow such Lender to identify the Borrowers in accordance with the Act and the Beneficial Ownership Regulation and other applicable “know your customer” and anti-money laundering rules and regulations.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transactions contemplated herein and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88"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any Borrower by virtue of the transactions contemplated by the Loan Documents or its other relationships with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16" w:name="page117"/>
    <w:bookmarkEnd w:id="116"/>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40" w:firstLine="987"/>
        <w:spacing w:after="0" w:line="282" w:lineRule="auto"/>
        <w:tabs>
          <w:tab w:leader="none" w:pos="123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30"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85" w:lineRule="exact"/>
        <w:rPr>
          <w:rFonts w:ascii="Times New Roman" w:cs="Times New Roman" w:eastAsia="Times New Roman" w:hAnsi="Times New Roman"/>
          <w:sz w:val="18"/>
          <w:szCs w:val="18"/>
          <w:color w:val="auto"/>
        </w:rPr>
      </w:pPr>
    </w:p>
    <w:p>
      <w:pPr>
        <w:ind w:left="1420" w:right="700" w:hanging="439"/>
        <w:spacing w:after="0" w:line="282" w:lineRule="auto"/>
        <w:tabs>
          <w:tab w:leader="none" w:pos="14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b w:val="1"/>
          <w:bCs w:val="1"/>
          <w:i w:val="1"/>
          <w:i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i w:val="1"/>
          <w:i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i w:val="1"/>
          <w:i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7" w:lineRule="exact"/>
        <w:rPr>
          <w:sz w:val="20"/>
          <w:szCs w:val="20"/>
          <w:color w:val="auto"/>
        </w:rPr>
      </w:pPr>
    </w:p>
    <w:p>
      <w:pPr>
        <w:ind w:left="440" w:right="60" w:firstLine="423"/>
        <w:spacing w:after="0" w:line="262"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i w:val="1"/>
          <w:i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7" w:name="page118"/>
    <w:bookmarkEnd w:id="117"/>
    <w:p>
      <w:pPr>
        <w:ind w:left="440" w:right="2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Borrower, that at least one of the following is and will be true:</w:t>
      </w:r>
    </w:p>
    <w:p>
      <w:pPr>
        <w:spacing w:after="0" w:line="85" w:lineRule="exact"/>
        <w:rPr>
          <w:sz w:val="20"/>
          <w:szCs w:val="20"/>
          <w:color w:val="auto"/>
        </w:rPr>
      </w:pPr>
    </w:p>
    <w:p>
      <w:pPr>
        <w:ind w:left="1420" w:right="80" w:hanging="439"/>
        <w:spacing w:after="0" w:line="266" w:lineRule="auto"/>
        <w:tabs>
          <w:tab w:leader="none" w:pos="14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with respect to such Lender’s entrance into, participation in, administration of and performance of the Loans, the Letters of Credit or the Commitments,</w:t>
      </w:r>
    </w:p>
    <w:p>
      <w:pPr>
        <w:spacing w:after="0" w:line="81" w:lineRule="exact"/>
        <w:rPr>
          <w:rFonts w:ascii="Times New Roman" w:cs="Times New Roman" w:eastAsia="Times New Roman" w:hAnsi="Times New Roman"/>
          <w:sz w:val="18"/>
          <w:szCs w:val="18"/>
          <w:color w:val="auto"/>
        </w:rPr>
      </w:pPr>
    </w:p>
    <w:p>
      <w:pPr>
        <w:ind w:left="1420" w:right="20" w:hanging="439"/>
        <w:spacing w:after="0" w:line="256" w:lineRule="auto"/>
        <w:tabs>
          <w:tab w:leader="none" w:pos="14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92" w:lineRule="exact"/>
        <w:rPr>
          <w:rFonts w:ascii="Times New Roman" w:cs="Times New Roman" w:eastAsia="Times New Roman" w:hAnsi="Times New Roman"/>
          <w:sz w:val="18"/>
          <w:szCs w:val="18"/>
          <w:color w:val="auto"/>
        </w:rPr>
      </w:pPr>
    </w:p>
    <w:p>
      <w:pPr>
        <w:ind w:left="1420" w:hanging="439"/>
        <w:spacing w:after="0" w:line="255" w:lineRule="auto"/>
        <w:tabs>
          <w:tab w:leader="none" w:pos="14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94" w:lineRule="exact"/>
        <w:rPr>
          <w:rFonts w:ascii="Times New Roman" w:cs="Times New Roman" w:eastAsia="Times New Roman" w:hAnsi="Times New Roman"/>
          <w:sz w:val="18"/>
          <w:szCs w:val="18"/>
          <w:color w:val="auto"/>
        </w:rPr>
      </w:pPr>
    </w:p>
    <w:p>
      <w:pPr>
        <w:ind w:left="1420" w:right="720" w:hanging="439"/>
        <w:spacing w:after="0" w:line="282" w:lineRule="auto"/>
        <w:tabs>
          <w:tab w:leader="none" w:pos="14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18" w:name="page119"/>
    <w:bookmarkEnd w:id="118"/>
    <w:p>
      <w:pPr>
        <w:ind w:left="4" w:right="20" w:firstLine="987"/>
        <w:spacing w:after="0" w:line="254" w:lineRule="auto"/>
        <w:tabs>
          <w:tab w:leader="none" w:pos="125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Borrower, that none of the Administrative Agent, or any Arranger, any 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60" w:firstLine="987"/>
        <w:spacing w:after="0" w:line="270" w:lineRule="auto"/>
        <w:tabs>
          <w:tab w:leader="none" w:pos="124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were erroneously transmitted to such Lender (whether or not known to such Lender), and demands the return of such Payment (or a portion thereof), such Lender shall promptly, but in no event later than one</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25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be conclusive, absent manifest error.</w:t>
      </w:r>
    </w:p>
    <w:p>
      <w:pPr>
        <w:spacing w:after="0" w:line="19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1"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other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4"/>
          </w:cols>
          <w:pgMar w:left="436" w:top="270" w:right="459" w:bottom="1440" w:gutter="0" w:footer="0" w:header="0"/>
        </w:sectPr>
      </w:pPr>
    </w:p>
    <w:bookmarkStart w:id="119" w:name="page120"/>
    <w:bookmarkEnd w:id="119"/>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otherwise satisfy any Obligations owed by the Company or any other Borrower, except to the extent such erroneous Payment is, and solely with respect to the amount of such erroneous Payment that is, comprised of funds received by the Administrative Agent from the Company or any other Borrower for the purpose of making a payment to satisfy any of the Obligations. Notwithstanding anything to the contrary herein or in any other Loan Document, the provisions of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relating to Payments (including the preceding two paragraphs and this paragraph) will not constitute, create or otherwise alter any Obligations on the part of the Borrowers under the Loan Documents or otherwise.</w:t>
      </w:r>
    </w:p>
    <w:p>
      <w:pPr>
        <w:spacing w:after="0" w:line="183" w:lineRule="exact"/>
        <w:rPr>
          <w:sz w:val="20"/>
          <w:szCs w:val="20"/>
          <w:color w:val="auto"/>
        </w:rPr>
      </w:pPr>
    </w:p>
    <w:p>
      <w:pPr>
        <w:ind w:right="180" w:firstLine="987"/>
        <w:spacing w:after="0" w:line="266"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Delivery of Information.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Lenders acknowledge that there may be a constant flow of information (including information which may be subject to confidentiality obligations in favor of the Borrowers) between the Borrowers and their Affiliates, on the one hand, and JPMorgan Chase Bank, N.A. and J.P. Morgan SE and their respective Affiliates, on the other hand. Without limiting the foregoing, the Borrowers or their Affiliates may provide information, including updates to previously provided information to JPMorgan Chase Bank, N.A. and J.P. Morgan SE and/or their respective Affiliates acting in different capacities, including as Lender, lead bank, arranger or potential securities investor, independent of such entities’ role as administrative agent hereunder. The Lenders acknowledge that neither JPMorgan Chase Bank, N.A. and J.P. Morgan SE nor their respective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Borrowers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Borrower, any Affiliate thereof or any other Person. Notwithstanding the foregoing, the Lenders further acknowledge that any such information may (but shall not be required to) be shared by the Administrative Agent with one or more Lenders, or any formal or informal committee or ad hoc group of such Lenders, including at the direction of a Borrower.</w:t>
      </w:r>
    </w:p>
    <w:p>
      <w:pPr>
        <w:spacing w:after="0" w:line="19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(a) 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b w:val="1"/>
          <w:bCs w:val="1"/>
          <w:i w:val="1"/>
          <w:iCs w:val="1"/>
          <w:color w:val="auto"/>
        </w:rPr>
        <w:t>Approved Borrower Portal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987"/>
        <w:spacing w:after="0" w:line="255"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40" w:top="270" w:right="479" w:bottom="1440" w:gutter="0" w:footer="0" w:header="0"/>
        </w:sectPr>
      </w:pPr>
    </w:p>
    <w:bookmarkStart w:id="120" w:name="page121"/>
    <w:bookmarkEnd w:id="120"/>
    <w:p>
      <w:pPr>
        <w:ind w:right="80" w:firstLine="987"/>
        <w:spacing w:after="0" w:line="253"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8"/>
          <w:szCs w:val="18"/>
          <w:b w:val="1"/>
          <w:bCs w:val="1"/>
          <w:i w:val="1"/>
          <w:iCs w:val="1"/>
          <w:color w:val="auto"/>
        </w:rPr>
        <w:t>APPLICABLE PARTIES</w:t>
      </w:r>
      <w:r>
        <w:rPr>
          <w:rFonts w:ascii="Times New Roman" w:cs="Times New Roman" w:eastAsia="Times New Roman" w:hAnsi="Times New Roman"/>
          <w:sz w:val="18"/>
          <w:szCs w:val="18"/>
          <w:color w:val="auto"/>
        </w:rPr>
        <w:t>”) HAVE ANY LIABILITY TO ANY BORROWER,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Borrower pursuant to any Loan Document or the transactions contemplated therein which is distributed by any Borrower to the Administrative Agent through an Approved Borrower Portal.</w:t>
      </w:r>
    </w:p>
    <w:p>
      <w:pPr>
        <w:spacing w:after="0" w:line="180" w:lineRule="exact"/>
        <w:rPr>
          <w:sz w:val="20"/>
          <w:szCs w:val="20"/>
          <w:color w:val="auto"/>
        </w:rPr>
      </w:pPr>
    </w:p>
    <w:p>
      <w:pPr>
        <w:ind w:right="100" w:firstLine="987"/>
        <w:spacing w:after="0" w:line="266"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any Borrower to give any notice or other communication pursuant to any Loan Document in any other manner specified in such Loan Document.</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Termination of Commitments under the Existing Credit Agreement</w:t>
      </w:r>
      <w:r>
        <w:rPr>
          <w:rFonts w:ascii="Times New Roman" w:cs="Times New Roman" w:eastAsia="Times New Roman" w:hAnsi="Times New Roman"/>
          <w:sz w:val="18"/>
          <w:szCs w:val="18"/>
          <w:color w:val="auto"/>
        </w:rPr>
        <w:t>. Each of the signatories hereto that is also a party to the Existing Credit Agreement hereby agrees that, as of the Effective Date, all of the commitments to extend credit under the Existing Credit Agreement to which such signatory is a party will be terminated and cancelled automatically and any and all required notice periods in connection with such termination are hereby waived and of no further force and effect.</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Luxembourg Preservation</w:t>
      </w:r>
      <w:r>
        <w:rPr>
          <w:rFonts w:ascii="Times New Roman" w:cs="Times New Roman" w:eastAsia="Times New Roman" w:hAnsi="Times New Roman"/>
          <w:sz w:val="18"/>
          <w:szCs w:val="18"/>
          <w:color w:val="auto"/>
        </w:rPr>
        <w:t>. In the event of a transfer, assignment, novation or amendment of the rights and/or the obligations under this Agreement and any other Loan Documents, any and all security interests, guarantees and privileges created under or in connection with the Loan Documents shall automatically and without any formality be preserved for the benefit of Administrative Agent, a new Lender, an assignee of a Lender and the other Credit Parties for the purpose of the provisions of article 1278 of the Luxembourg Civil Code or any other purposes.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1" w:name="page122"/>
    <w:bookmarkEnd w:id="12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CABOT CORPORATION, as the Company and a Borrower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Erica McLaughlin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&amp;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10980"/>
          </w:cols>
          <w:pgMar w:left="440" w:top="270" w:right="47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CABOT LUXEMBOURG TC S.ÀR.L., LUXEMBOURG,</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SCHAFFHAUSEN BRANCH, as a Borrower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Ebru Ozdemir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Ebru Ozdemir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Jochen Imhof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Imhof</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860"/>
          </w:cols>
          <w:pgMar w:left="1440" w:top="270" w:right="59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Administrative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 Issuing Bank and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Oswin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Oswin Joseph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580"/>
          </w:cols>
          <w:pgMar w:left="1440" w:top="270" w:right="87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 MORGAN SE, as Administrative Agent</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Haaris Amjad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Haaris Amjad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019"/>
          </w:cols>
          <w:pgMar w:left="1440" w:top="270" w:right="1440"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an Issuing Bank and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Stephanie Epkins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Stephanie Epkins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Signer</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340"/>
          </w:cols>
          <w:pgMar w:left="1440" w:top="270" w:right="111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Petcharath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Petcharath Loyd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580"/>
          </w:cols>
          <w:pgMar w:left="1440" w:top="270" w:right="87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Mourad Liousfi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Mourad Liousfi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660"/>
          </w:cols>
          <w:pgMar w:left="1440" w:top="270" w:right="79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Jantzen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Jantzen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019"/>
          </w:cols>
          <w:pgMar w:left="1440" w:top="270" w:right="1440"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O’Donoghue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O’Donoghue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Ciaran Dunne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Ciaran Dunne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10020"/>
          </w:cols>
          <w:pgMar w:left="1440" w:top="270" w:right="43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Cara Younger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Cara Younger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Armen Semizian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Armen Semizian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10020"/>
          </w:cols>
          <w:pgMar w:left="1440" w:top="270" w:right="43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780"/>
          </w:cols>
          <w:pgMar w:left="1440" w:top="270" w:right="67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p>
      <w:pPr>
        <w:sectPr>
          <w:pgSz w:w="11900" w:h="16838" w:orient="portrait"/>
          <w:cols w:equalWidth="0" w:num="1">
            <w:col w:w="9180"/>
          </w:cols>
          <w:pgMar w:left="1440" w:top="270" w:right="127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Peggy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Peggy Yip</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 PAGE TO CREDIT AGREEMENT (JPM/CABOT 2026)]</w:t>
      </w:r>
    </w:p>
    <w:sectPr>
      <w:pgSz w:w="11900" w:h="16838" w:orient="portrait"/>
      <w:cols w:equalWidth="0" w:num="1">
        <w:col w:w="9680"/>
      </w:cols>
      <w:pgMar w:left="1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lowerLetter"/>
      <w:start w:val="1"/>
    </w:lvl>
  </w:abstractNum>
  <w:abstractNum w:abstractNumId="2">
    <w:nsid w:val="3222E7CD"/>
    <w:multiLevelType w:val="hybridMultilevel"/>
    <w:lvl w:ilvl="0">
      <w:lvlJc w:val="left"/>
      <w:lvlText w:val="1"/>
      <w:numFmt w:val="bullet"/>
      <w:start w:val="1"/>
    </w:lvl>
  </w:abstractNum>
  <w:abstractNum w:abstractNumId="3">
    <w:nsid w:val="74DE0EE3"/>
    <w:multiLevelType w:val="hybridMultilevel"/>
    <w:lvl w:ilvl="0">
      <w:lvlJc w:val="left"/>
      <w:lvlText w:val="2"/>
      <w:numFmt w:val="bullet"/>
      <w:start w:val="1"/>
    </w:lvl>
  </w:abstractNum>
  <w:abstractNum w:abstractNumId="4">
    <w:nsid w:val="68EBC550"/>
    <w:multiLevelType w:val="hybridMultilevel"/>
    <w:lvl w:ilvl="0">
      <w:lvlJc w:val="left"/>
      <w:lvlText w:val="(%1)"/>
      <w:numFmt w:val="decimal"/>
      <w:start w:val="1"/>
    </w:lvl>
  </w:abstractNum>
  <w:abstractNum w:abstractNumId="5">
    <w:nsid w:val="2DF6D648"/>
    <w:multiLevelType w:val="hybridMultilevel"/>
    <w:lvl w:ilvl="0">
      <w:lvlJc w:val="left"/>
      <w:lvlText w:val="(%1)"/>
      <w:numFmt w:val="decimal"/>
      <w:start w:val="1"/>
    </w:lvl>
  </w:abstractNum>
  <w:abstractNum w:abstractNumId="6">
    <w:nsid w:val="46B7D447"/>
    <w:multiLevelType w:val="hybridMultilevel"/>
    <w:lvl w:ilvl="0">
      <w:lvlJc w:val="left"/>
      <w:lvlText w:val="(%1)"/>
      <w:numFmt w:val="lowerLetter"/>
      <w:start w:val="1"/>
    </w:lvl>
  </w:abstractNum>
  <w:abstractNum w:abstractNumId="7">
    <w:nsid w:val="4A2AC315"/>
    <w:multiLevelType w:val="hybridMultilevel"/>
    <w:lvl w:ilvl="0">
      <w:lvlJc w:val="left"/>
      <w:lvlText w:val="%1"/>
      <w:numFmt w:val="decimal"/>
      <w:start w:val="1"/>
    </w:lvl>
    <w:lvl w:ilvl="1">
      <w:lvlJc w:val="left"/>
      <w:lvlText w:val="(%2)"/>
      <w:numFmt w:val="lowerLetter"/>
      <w:start w:val="3"/>
    </w:lvl>
  </w:abstractNum>
  <w:abstractNum w:abstractNumId="8">
    <w:nsid w:val="39EE015C"/>
    <w:multiLevelType w:val="hybridMultilevel"/>
    <w:lvl w:ilvl="0">
      <w:lvlJc w:val="left"/>
      <w:lvlText w:val="(%1)"/>
      <w:numFmt w:val="decimal"/>
      <w:start w:val="5"/>
    </w:lvl>
    <w:lvl w:ilvl="1">
      <w:lvlJc w:val="left"/>
      <w:lvlText w:val="(%2)"/>
      <w:numFmt w:val="lowerLetter"/>
      <w:start w:val="4"/>
    </w:lvl>
  </w:abstractNum>
  <w:abstractNum w:abstractNumId="9">
    <w:nsid w:val="57FC4FBB"/>
    <w:multiLevelType w:val="hybridMultilevel"/>
    <w:lvl w:ilvl="0">
      <w:lvlJc w:val="left"/>
      <w:lvlText w:val="(%1)"/>
      <w:numFmt w:val="lowerLetter"/>
      <w:start w:val="25"/>
    </w:lvl>
  </w:abstractNum>
  <w:abstractNum w:abstractNumId="10">
    <w:nsid w:val="CC1016F"/>
    <w:multiLevelType w:val="hybridMultilevel"/>
    <w:lvl w:ilvl="0">
      <w:lvlJc w:val="left"/>
      <w:lvlText w:val="(%1)"/>
      <w:numFmt w:val="lowerLetter"/>
      <w:start w:val="1"/>
    </w:lvl>
  </w:abstractNum>
  <w:abstractNum w:abstractNumId="11">
    <w:nsid w:val="43F18422"/>
    <w:multiLevelType w:val="hybridMultilevel"/>
    <w:lvl w:ilvl="0">
      <w:lvlJc w:val="left"/>
      <w:lvlText w:val="(%1)"/>
      <w:numFmt w:val="lowerRoman"/>
      <w:start w:val="1"/>
    </w:lvl>
  </w:abstractNum>
  <w:abstractNum w:abstractNumId="12">
    <w:nsid w:val="60EF0119"/>
    <w:multiLevelType w:val="hybridMultilevel"/>
    <w:lvl w:ilvl="0">
      <w:lvlJc w:val="left"/>
      <w:lvlText w:val="(%1)"/>
      <w:numFmt w:val="lowerRoman"/>
      <w:start w:val="2"/>
    </w:lvl>
  </w:abstractNum>
  <w:abstractNum w:abstractNumId="13">
    <w:nsid w:val="26F324BA"/>
    <w:multiLevelType w:val="hybridMultilevel"/>
    <w:lvl w:ilvl="0">
      <w:lvlJc w:val="left"/>
      <w:lvlText w:val="(%1)"/>
      <w:numFmt w:val="lowerRoman"/>
      <w:start w:val="3"/>
    </w:lvl>
  </w:abstractNum>
  <w:abstractNum w:abstractNumId="14">
    <w:nsid w:val="7F01579B"/>
    <w:multiLevelType w:val="hybridMultilevel"/>
    <w:lvl w:ilvl="0">
      <w:lvlJc w:val="left"/>
      <w:lvlText w:val="(%1)"/>
      <w:numFmt w:val="decimal"/>
      <w:start w:val="3"/>
    </w:lvl>
  </w:abstractNum>
  <w:abstractNum w:abstractNumId="15">
    <w:nsid w:val="49DA307D"/>
    <w:multiLevelType w:val="hybridMultilevel"/>
    <w:lvl w:ilvl="0">
      <w:lvlJc w:val="left"/>
      <w:lvlText w:val="(%1)"/>
      <w:numFmt w:val="lowerLetter"/>
      <w:start w:val="1"/>
    </w:lvl>
  </w:abstractNum>
  <w:abstractNum w:abstractNumId="16">
    <w:nsid w:val="7055A5F5"/>
    <w:multiLevelType w:val="hybridMultilevel"/>
    <w:lvl w:ilvl="0">
      <w:lvlJc w:val="left"/>
      <w:lvlText w:val="(%1)"/>
      <w:numFmt w:val="lowerRoman"/>
      <w:start w:val="3"/>
    </w:lvl>
  </w:abstractNum>
  <w:abstractNum w:abstractNumId="17">
    <w:nsid w:val="5FB8370B"/>
    <w:multiLevelType w:val="hybridMultilevel"/>
    <w:lvl w:ilvl="0">
      <w:lvlJc w:val="left"/>
      <w:lvlText w:val="(%1)"/>
      <w:numFmt w:val="lowerLetter"/>
      <w:start w:val="1"/>
    </w:lvl>
  </w:abstractNum>
  <w:abstractNum w:abstractNumId="18">
    <w:nsid w:val="50801EE1"/>
    <w:multiLevelType w:val="hybridMultilevel"/>
    <w:lvl w:ilvl="0">
      <w:lvlJc w:val="left"/>
      <w:lvlText w:val="(%1)"/>
      <w:numFmt w:val="lowerLetter"/>
      <w:start w:val="1"/>
    </w:lvl>
  </w:abstractNum>
  <w:abstractNum w:abstractNumId="19">
    <w:nsid w:val="488AC1A"/>
    <w:multiLevelType w:val="hybridMultilevel"/>
    <w:lvl w:ilvl="0">
      <w:lvlJc w:val="left"/>
      <w:lvlText w:val="(%1)"/>
      <w:numFmt w:val="lowerRoman"/>
      <w:start w:val="2"/>
    </w:lvl>
  </w:abstractNum>
  <w:abstractNum w:abstractNumId="20">
    <w:nsid w:val="5FB8011C"/>
    <w:multiLevelType w:val="hybridMultilevel"/>
    <w:lvl w:ilvl="0">
      <w:lvlJc w:val="left"/>
      <w:lvlText w:val="(%1)"/>
      <w:numFmt w:val="decimal"/>
      <w:start w:val="2"/>
    </w:lvl>
  </w:abstractNum>
  <w:abstractNum w:abstractNumId="21">
    <w:nsid w:val="6AA78F7F"/>
    <w:multiLevelType w:val="hybridMultilevel"/>
    <w:lvl w:ilvl="0">
      <w:lvlJc w:val="left"/>
      <w:lvlText w:val="(%1)"/>
      <w:numFmt w:val="lowerLetter"/>
      <w:start w:val="1"/>
    </w:lvl>
  </w:abstractNum>
  <w:abstractNum w:abstractNumId="22">
    <w:nsid w:val="7672BD23"/>
    <w:multiLevelType w:val="hybridMultilevel"/>
    <w:lvl w:ilvl="0">
      <w:lvlJc w:val="left"/>
      <w:lvlText w:val="(%1)"/>
      <w:numFmt w:val="lowerRoman"/>
      <w:start w:val="4"/>
    </w:lvl>
  </w:abstractNum>
  <w:abstractNum w:abstractNumId="23">
    <w:nsid w:val="6FC75AF8"/>
    <w:multiLevelType w:val="hybridMultilevel"/>
    <w:lvl w:ilvl="0">
      <w:lvlJc w:val="left"/>
      <w:lvlText w:val="(%1)"/>
      <w:numFmt w:val="lowerLetter"/>
      <w:start w:val="1"/>
    </w:lvl>
  </w:abstractNum>
  <w:abstractNum w:abstractNumId="24">
    <w:nsid w:val="6A5F7029"/>
    <w:multiLevelType w:val="hybridMultilevel"/>
    <w:lvl w:ilvl="0">
      <w:lvlJc w:val="left"/>
      <w:lvlText w:val="(%1)"/>
      <w:numFmt w:val="lowerLetter"/>
      <w:start w:val="2"/>
    </w:lvl>
  </w:abstractNum>
  <w:abstractNum w:abstractNumId="25">
    <w:nsid w:val="7D5E18F8"/>
    <w:multiLevelType w:val="hybridMultilevel"/>
    <w:lvl w:ilvl="0">
      <w:lvlJc w:val="left"/>
      <w:lvlText w:val="(%1)"/>
      <w:numFmt w:val="lowerLetter"/>
      <w:start w:val="3"/>
    </w:lvl>
    <w:lvl w:ilvl="1">
      <w:lvlJc w:val="left"/>
      <w:lvlText w:val="(%2)"/>
      <w:numFmt w:val="lowerRoman"/>
      <w:start w:val="1"/>
    </w:lvl>
  </w:abstractNum>
  <w:abstractNum w:abstractNumId="26">
    <w:nsid w:val="5F3534A4"/>
    <w:multiLevelType w:val="hybridMultilevel"/>
    <w:lvl w:ilvl="0">
      <w:lvlJc w:val="left"/>
      <w:lvlText w:val="(%1)"/>
      <w:numFmt w:val="lowerRoman"/>
      <w:start w:val="3"/>
    </w:lvl>
  </w:abstractNum>
  <w:abstractNum w:abstractNumId="27">
    <w:nsid w:val="73A1821B"/>
    <w:multiLevelType w:val="hybridMultilevel"/>
    <w:lvl w:ilvl="0">
      <w:lvlJc w:val="left"/>
      <w:lvlText w:val="(%1)"/>
      <w:numFmt w:val="lowerLetter"/>
      <w:start w:val="1"/>
    </w:lvl>
  </w:abstractNum>
  <w:abstractNum w:abstractNumId="28">
    <w:nsid w:val="7DE67713"/>
    <w:multiLevelType w:val="hybridMultilevel"/>
    <w:lvl w:ilvl="0">
      <w:lvlJc w:val="left"/>
      <w:lvlText w:val="(%1)"/>
      <w:numFmt w:val="lowerLetter"/>
      <w:start w:val="1"/>
    </w:lvl>
  </w:abstractNum>
  <w:abstractNum w:abstractNumId="29">
    <w:nsid w:val="555C55B5"/>
    <w:multiLevelType w:val="hybridMultilevel"/>
    <w:lvl w:ilvl="0">
      <w:lvlJc w:val="left"/>
      <w:lvlText w:val="(%1)"/>
      <w:numFmt w:val="lowerLetter"/>
      <w:start w:val="5"/>
    </w:lvl>
  </w:abstractNum>
  <w:abstractNum w:abstractNumId="30">
    <w:nsid w:val="3FA62ACA"/>
    <w:multiLevelType w:val="hybridMultilevel"/>
    <w:lvl w:ilvl="0">
      <w:lvlJc w:val="left"/>
      <w:lvlText w:val="(%1)"/>
      <w:numFmt w:val="lowerLetter"/>
      <w:start w:val="1"/>
    </w:lvl>
  </w:abstractNum>
  <w:abstractNum w:abstractNumId="31">
    <w:nsid w:val="14FCE74E"/>
    <w:multiLevelType w:val="hybridMultilevel"/>
    <w:lvl w:ilvl="0">
      <w:lvlJc w:val="left"/>
      <w:lvlText w:val="(%1)"/>
      <w:numFmt w:val="lowerLetter"/>
      <w:start w:val="2"/>
    </w:lvl>
  </w:abstractNum>
  <w:abstractNum w:abstractNumId="32">
    <w:nsid w:val="6A3DD3E8"/>
    <w:multiLevelType w:val="hybridMultilevel"/>
    <w:lvl w:ilvl="0">
      <w:lvlJc w:val="left"/>
      <w:lvlText w:val="(%1)"/>
      <w:numFmt w:val="lowerLetter"/>
      <w:start w:val="3"/>
    </w:lvl>
  </w:abstractNum>
  <w:abstractNum w:abstractNumId="33">
    <w:nsid w:val="71C91298"/>
    <w:multiLevelType w:val="hybridMultilevel"/>
    <w:lvl w:ilvl="0">
      <w:lvlJc w:val="left"/>
      <w:lvlText w:val="(%1)"/>
      <w:numFmt w:val="lowerLetter"/>
      <w:start w:val="4"/>
    </w:lvl>
  </w:abstractNum>
  <w:abstractNum w:abstractNumId="34">
    <w:nsid w:val="9DAF632"/>
    <w:multiLevelType w:val="hybridMultilevel"/>
    <w:lvl w:ilvl="0">
      <w:lvlJc w:val="left"/>
      <w:lvlText w:val="%1"/>
      <w:numFmt w:val="lowerLetter"/>
      <w:start w:val="1"/>
    </w:lvl>
    <w:lvl w:ilvl="1">
      <w:lvlJc w:val="left"/>
      <w:lvlText w:val="(%2)"/>
      <w:numFmt w:val="lowerLetter"/>
      <w:start w:val="6"/>
    </w:lvl>
  </w:abstractNum>
  <w:abstractNum w:abstractNumId="35">
    <w:nsid w:val="53299938"/>
    <w:multiLevelType w:val="hybridMultilevel"/>
    <w:lvl w:ilvl="0">
      <w:lvlJc w:val="left"/>
      <w:lvlText w:val="(%1)"/>
      <w:numFmt w:val="lowerLetter"/>
      <w:start w:val="35"/>
    </w:lvl>
    <w:lvl w:ilvl="1">
      <w:lvlJc w:val="left"/>
      <w:lvlText w:val="(%2)"/>
      <w:numFmt w:val="lowerLetter"/>
      <w:start w:val="7"/>
    </w:lvl>
  </w:abstractNum>
  <w:abstractNum w:abstractNumId="36">
    <w:nsid w:val="1FBFE8E0"/>
    <w:multiLevelType w:val="hybridMultilevel"/>
    <w:lvl w:ilvl="0">
      <w:lvlJc w:val="left"/>
      <w:lvlText w:val="(%1)"/>
      <w:numFmt w:val="lowerLetter"/>
      <w:start w:val="5"/>
    </w:lvl>
    <w:lvl w:ilvl="1">
      <w:lvlJc w:val="left"/>
      <w:lvlText w:val="(%2)"/>
      <w:numFmt w:val="lowerRoman"/>
      <w:start w:val="1"/>
    </w:lvl>
  </w:abstractNum>
  <w:abstractNum w:abstractNumId="37">
    <w:nsid w:val="5092CA79"/>
    <w:multiLevelType w:val="hybridMultilevel"/>
    <w:lvl w:ilvl="0">
      <w:lvlJc w:val="left"/>
      <w:lvlText w:val="(%1)"/>
      <w:numFmt w:val="lowerLetter"/>
      <w:start w:val="35"/>
    </w:lvl>
    <w:lvl w:ilvl="1">
      <w:lvlJc w:val="left"/>
      <w:lvlText w:val="%2"/>
      <w:numFmt w:val="lowerRoman"/>
      <w:start w:val="1"/>
    </w:lvl>
  </w:abstractNum>
  <w:abstractNum w:abstractNumId="38">
    <w:nsid w:val="1D545C4D"/>
    <w:multiLevelType w:val="hybridMultilevel"/>
    <w:lvl w:ilvl="0">
      <w:lvlJc w:val="left"/>
      <w:lvlText w:val="(%1)"/>
      <w:numFmt w:val="lowerLetter"/>
      <w:start w:val="10"/>
    </w:lvl>
  </w:abstractNum>
  <w:abstractNum w:abstractNumId="39">
    <w:nsid w:val="59ADEA3D"/>
    <w:multiLevelType w:val="hybridMultilevel"/>
    <w:lvl w:ilvl="0">
      <w:lvlJc w:val="left"/>
      <w:lvlText w:val="(%1)"/>
      <w:numFmt w:val="lowerLetter"/>
      <w:start w:val="1"/>
    </w:lvl>
  </w:abstractNum>
  <w:abstractNum w:abstractNumId="40">
    <w:nsid w:val="288F1A34"/>
    <w:multiLevelType w:val="hybridMultilevel"/>
    <w:lvl w:ilvl="0">
      <w:lvlJc w:val="left"/>
      <w:lvlText w:val="(%1)"/>
      <w:numFmt w:val="lowerLetter"/>
      <w:start w:val="1"/>
    </w:lvl>
  </w:abstractNum>
  <w:abstractNum w:abstractNumId="41">
    <w:nsid w:val="2A155DBC"/>
    <w:multiLevelType w:val="hybridMultilevel"/>
    <w:lvl w:ilvl="0">
      <w:lvlJc w:val="left"/>
      <w:lvlText w:val="(%1)"/>
      <w:numFmt w:val="lowerRoman"/>
      <w:start w:val="2"/>
    </w:lvl>
  </w:abstractNum>
  <w:abstractNum w:abstractNumId="42">
    <w:nsid w:val="1D9F6E5F"/>
    <w:multiLevelType w:val="hybridMultilevel"/>
    <w:lvl w:ilvl="0">
      <w:lvlJc w:val="left"/>
      <w:lvlText w:val="(%1)"/>
      <w:numFmt w:val="lowerRoman"/>
      <w:start w:val="1"/>
    </w:lvl>
  </w:abstractNum>
  <w:abstractNum w:abstractNumId="43">
    <w:nsid w:val="97E1B4E"/>
    <w:multiLevelType w:val="hybridMultilevel"/>
    <w:lvl w:ilvl="0">
      <w:lvlJc w:val="left"/>
      <w:lvlText w:val="(%1)"/>
      <w:numFmt w:val="lowerLetter"/>
      <w:start w:val="4"/>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lowerLetter"/>
      <w:start w:val="1"/>
    </w:lvl>
  </w:abstractNum>
  <w:abstractNum w:abstractNumId="46">
    <w:nsid w:val="53584BCB"/>
    <w:multiLevelType w:val="hybridMultilevel"/>
    <w:lvl w:ilvl="0">
      <w:lvlJc w:val="left"/>
      <w:lvlText w:val="%1"/>
      <w:numFmt w:val="upperLetter"/>
      <w:start w:val="1"/>
    </w:lvl>
    <w:lvl w:ilvl="1">
      <w:lvlJc w:val="left"/>
      <w:lvlText w:val="(%2)"/>
      <w:numFmt w:val="lowerLetter"/>
      <w:start w:val="1"/>
    </w:lvl>
  </w:abstractNum>
  <w:abstractNum w:abstractNumId="47">
    <w:nsid w:val="415E286C"/>
    <w:multiLevelType w:val="hybridMultilevel"/>
    <w:lvl w:ilvl="0">
      <w:lvlJc w:val="left"/>
      <w:lvlText w:val="(%1)"/>
      <w:numFmt w:val="upperLetter"/>
      <w:start w:val="1"/>
    </w:lvl>
    <w:lvl w:ilvl="1">
      <w:lvlJc w:val="left"/>
      <w:lvlText w:val="%2"/>
      <w:numFmt w:val="lowerLetter"/>
      <w:start w:val="1"/>
    </w:lvl>
  </w:abstractNum>
  <w:abstractNum w:abstractNumId="48">
    <w:nsid w:val="7C58FD05"/>
    <w:multiLevelType w:val="hybridMultilevel"/>
    <w:lvl w:ilvl="0">
      <w:lvlJc w:val="left"/>
      <w:lvlText w:val="(%1)"/>
      <w:numFmt w:val="lowerLetter"/>
      <w:start w:val="2"/>
    </w:lvl>
  </w:abstractNum>
  <w:abstractNum w:abstractNumId="49">
    <w:nsid w:val="23D86AAC"/>
    <w:multiLevelType w:val="hybridMultilevel"/>
    <w:lvl w:ilvl="0">
      <w:lvlJc w:val="left"/>
      <w:lvlText w:val="(%1)"/>
      <w:numFmt w:val="lowerLetter"/>
      <w:start w:val="1"/>
    </w:lvl>
  </w:abstractNum>
  <w:abstractNum w:abstractNumId="50">
    <w:nsid w:val="45E6D486"/>
    <w:multiLevelType w:val="hybridMultilevel"/>
    <w:lvl w:ilvl="0">
      <w:lvlJc w:val="left"/>
      <w:lvlText w:val="(%1)"/>
      <w:numFmt w:val="lowerLetter"/>
      <w:start w:val="2"/>
    </w:lvl>
  </w:abstractNum>
  <w:abstractNum w:abstractNumId="51">
    <w:nsid w:val="5C10FE21"/>
    <w:multiLevelType w:val="hybridMultilevel"/>
    <w:lvl w:ilvl="0">
      <w:lvlJc w:val="left"/>
      <w:lvlText w:val="(%1)"/>
      <w:numFmt w:val="lowerLetter"/>
      <w:start w:val="1"/>
    </w:lvl>
  </w:abstractNum>
  <w:abstractNum w:abstractNumId="52">
    <w:nsid w:val="E7FFA2B"/>
    <w:multiLevelType w:val="hybridMultilevel"/>
    <w:lvl w:ilvl="0">
      <w:lvlJc w:val="left"/>
      <w:lvlText w:val="%1"/>
      <w:numFmt w:val="lowerLetter"/>
      <w:start w:val="1"/>
    </w:lvl>
    <w:lvl w:ilvl="1">
      <w:lvlJc w:val="left"/>
      <w:lvlText w:val="(%2)"/>
      <w:numFmt w:val="lowerLetter"/>
      <w:start w:val="4"/>
    </w:lvl>
  </w:abstractNum>
  <w:abstractNum w:abstractNumId="53">
    <w:nsid w:val="3C5991AA"/>
    <w:multiLevelType w:val="hybridMultilevel"/>
    <w:lvl w:ilvl="0">
      <w:lvlJc w:val="left"/>
      <w:lvlText w:val="(%1)"/>
      <w:numFmt w:val="lowerLetter"/>
      <w:start w:val="35"/>
    </w:lvl>
    <w:lvl w:ilvl="1">
      <w:lvlJc w:val="left"/>
      <w:lvlText w:val="(%2)"/>
      <w:numFmt w:val="lowerLetter"/>
      <w:start w:val="6"/>
    </w:lvl>
  </w:abstractNum>
  <w:abstractNum w:abstractNumId="54">
    <w:nsid w:val="4BD8591A"/>
    <w:multiLevelType w:val="hybridMultilevel"/>
    <w:lvl w:ilvl="0">
      <w:lvlJc w:val="left"/>
      <w:lvlText w:val="(%1)"/>
      <w:numFmt w:val="lowerLetter"/>
      <w:start w:val="1"/>
    </w:lvl>
    <w:lvl w:ilvl="1">
      <w:lvlJc w:val="left"/>
      <w:lvlText w:val="(%2)"/>
      <w:numFmt w:val="lowerRoman"/>
      <w:start w:val="1"/>
    </w:lvl>
  </w:abstractNum>
  <w:abstractNum w:abstractNumId="55">
    <w:nsid w:val="78DF6A55"/>
    <w:multiLevelType w:val="hybridMultilevel"/>
    <w:lvl w:ilvl="0">
      <w:lvlJc w:val="left"/>
      <w:lvlText w:val="(%1)"/>
      <w:numFmt w:val="upperLetter"/>
      <w:start w:val="2"/>
    </w:lvl>
  </w:abstractNum>
  <w:abstractNum w:abstractNumId="56">
    <w:nsid w:val="39B7AAA2"/>
    <w:multiLevelType w:val="hybridMultilevel"/>
    <w:lvl w:ilvl="0">
      <w:lvlJc w:val="left"/>
      <w:lvlText w:val="%1"/>
      <w:numFmt w:val="lowerLetter"/>
      <w:start w:val="1"/>
    </w:lvl>
    <w:lvl w:ilvl="1">
      <w:lvlJc w:val="left"/>
      <w:lvlText w:val="(%2)"/>
      <w:numFmt w:val="lowerLetter"/>
      <w:start w:val="2"/>
    </w:lvl>
  </w:abstractNum>
  <w:abstractNum w:abstractNumId="57">
    <w:nsid w:val="2B0D8DBE"/>
    <w:multiLevelType w:val="hybridMultilevel"/>
    <w:lvl w:ilvl="0">
      <w:lvlJc w:val="left"/>
      <w:lvlText w:val="(%1)"/>
      <w:numFmt w:val="lowerLetter"/>
      <w:start w:val="35"/>
    </w:lvl>
    <w:lvl w:ilvl="1">
      <w:lvlJc w:val="left"/>
      <w:lvlText w:val="(%2)"/>
      <w:numFmt w:val="lowerLetter"/>
      <w:start w:val="4"/>
    </w:lvl>
  </w:abstractNum>
  <w:abstractNum w:abstractNumId="58">
    <w:nsid w:val="6C80EC70"/>
    <w:multiLevelType w:val="hybridMultilevel"/>
    <w:lvl w:ilvl="0">
      <w:lvlJc w:val="left"/>
      <w:lvlText w:val="(%1)"/>
      <w:numFmt w:val="lowerLetter"/>
      <w:start w:val="35"/>
    </w:lvl>
    <w:lvl w:ilvl="1">
      <w:lvlJc w:val="left"/>
      <w:lvlText w:val="%2"/>
      <w:numFmt w:val="lowerLetter"/>
      <w:start w:val="1"/>
    </w:lvl>
  </w:abstractNum>
  <w:abstractNum w:abstractNumId="59">
    <w:nsid w:val="379E21B5"/>
    <w:multiLevelType w:val="hybridMultilevel"/>
    <w:lvl w:ilvl="0">
      <w:lvlJc w:val="left"/>
      <w:lvlText w:val="(%1)"/>
      <w:numFmt w:val="lowerLetter"/>
      <w:start w:val="5"/>
    </w:lvl>
  </w:abstractNum>
  <w:abstractNum w:abstractNumId="60">
    <w:nsid w:val="69E373"/>
    <w:multiLevelType w:val="hybridMultilevel"/>
    <w:lvl w:ilvl="0">
      <w:lvlJc w:val="left"/>
      <w:lvlText w:val="%1"/>
      <w:numFmt w:val="lowerRoman"/>
      <w:start w:val="1"/>
    </w:lvl>
    <w:lvl w:ilvl="1">
      <w:lvlJc w:val="left"/>
      <w:lvlText w:val="(%2)"/>
      <w:numFmt w:val="lowerLetter"/>
      <w:start w:val="1"/>
    </w:lvl>
  </w:abstractNum>
  <w:abstractNum w:abstractNumId="61">
    <w:nsid w:val="2C27173B"/>
    <w:multiLevelType w:val="hybridMultilevel"/>
    <w:lvl w:ilvl="0">
      <w:lvlJc w:val="left"/>
      <w:lvlText w:val="%1"/>
      <w:numFmt w:val="lowerRoman"/>
      <w:start w:val="1"/>
    </w:lvl>
    <w:lvl w:ilvl="1">
      <w:lvlJc w:val="left"/>
      <w:lvlText w:val="(%2)"/>
      <w:numFmt w:val="lowerLetter"/>
      <w:start w:val="9"/>
    </w:lvl>
  </w:abstractNum>
  <w:abstractNum w:abstractNumId="62">
    <w:nsid w:val="4C9B0904"/>
    <w:multiLevelType w:val="hybridMultilevel"/>
    <w:lvl w:ilvl="0">
      <w:lvlJc w:val="left"/>
      <w:lvlText w:val="%1"/>
      <w:numFmt w:val="lowerRoman"/>
      <w:start w:val="1"/>
    </w:lvl>
    <w:lvl w:ilvl="1">
      <w:lvlJc w:val="left"/>
      <w:lvlText w:val="(%2)"/>
      <w:numFmt w:val="lowerLetter"/>
      <w:start w:val="35"/>
    </w:lvl>
  </w:abstractNum>
  <w:abstractNum w:abstractNumId="63">
    <w:nsid w:val="6AA7B75C"/>
    <w:multiLevelType w:val="hybridMultilevel"/>
    <w:lvl w:ilvl="0">
      <w:lvlJc w:val="left"/>
      <w:lvlText w:val="%1"/>
      <w:numFmt w:val="lowerRoman"/>
      <w:start w:val="1"/>
    </w:lvl>
    <w:lvl w:ilvl="1">
      <w:lvlJc w:val="left"/>
      <w:lvlText w:val="(%2)"/>
      <w:numFmt w:val="lowerLetter"/>
      <w:start w:val="61"/>
    </w:lvl>
  </w:abstractNum>
  <w:abstractNum w:abstractNumId="64">
    <w:nsid w:val="1DF029D3"/>
    <w:multiLevelType w:val="hybridMultilevel"/>
    <w:lvl w:ilvl="0">
      <w:lvlJc w:val="left"/>
      <w:lvlText w:val="(%1)"/>
      <w:numFmt w:val="lowerLetter"/>
      <w:start w:val="2"/>
    </w:lvl>
  </w:abstractNum>
  <w:abstractNum w:abstractNumId="65">
    <w:nsid w:val="5675FF36"/>
    <w:multiLevelType w:val="hybridMultilevel"/>
    <w:lvl w:ilvl="0">
      <w:lvlJc w:val="left"/>
      <w:lvlText w:val="(%1)"/>
      <w:numFmt w:val="lowerLetter"/>
      <w:start w:val="3"/>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lowerLetter"/>
      <w:start w:val="2"/>
    </w:lvl>
  </w:abstractNum>
  <w:abstractNum w:abstractNumId="68">
    <w:nsid w:val="2708C9AF"/>
    <w:multiLevelType w:val="hybridMultilevel"/>
    <w:lvl w:ilvl="0">
      <w:lvlJc w:val="left"/>
      <w:lvlText w:val="(%1)"/>
      <w:numFmt w:val="lowerLetter"/>
      <w:start w:val="1"/>
    </w:lvl>
  </w:abstractNum>
  <w:abstractNum w:abstractNumId="69">
    <w:nsid w:val="5B25ACE2"/>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70">
    <w:nsid w:val="175DFCF0"/>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71">
    <w:nsid w:val="4F97E3E4"/>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72">
    <w:nsid w:val="53B0A9E"/>
    <w:multiLevelType w:val="hybridMultilevel"/>
    <w:lvl w:ilvl="0">
      <w:lvlJc w:val="left"/>
      <w:lvlText w:val="(%1)"/>
      <w:numFmt w:val="upperLetter"/>
      <w:start w:val="2"/>
    </w:lvl>
    <w:lvl w:ilvl="1">
      <w:lvlJc w:val="left"/>
      <w:lvlText w:val="(%2)"/>
      <w:numFmt w:val="decimal"/>
      <w:start w:val="1"/>
    </w:lvl>
  </w:abstractNum>
  <w:abstractNum w:abstractNumId="73">
    <w:nsid w:val="34FD6B4F"/>
    <w:multiLevelType w:val="hybridMultilevel"/>
    <w:lvl w:ilvl="0">
      <w:lvlJc w:val="left"/>
      <w:lvlText w:val="(%1)"/>
      <w:numFmt w:val="upperLetter"/>
      <w:start w:val="3"/>
    </w:lvl>
  </w:abstractNum>
  <w:abstractNum w:abstractNumId="74">
    <w:nsid w:val="5915FF32"/>
    <w:multiLevelType w:val="hybridMultilevel"/>
    <w:lvl w:ilvl="0">
      <w:lvlJc w:val="left"/>
      <w:lvlText w:val="(%1)"/>
      <w:numFmt w:val="lowerLetter"/>
      <w:start w:val="7"/>
    </w:lvl>
    <w:lvl w:ilvl="1">
      <w:lvlJc w:val="left"/>
      <w:lvlText w:val="%2"/>
      <w:numFmt w:val="lowerLetter"/>
      <w:start w:val="1"/>
    </w:lvl>
  </w:abstractNum>
  <w:abstractNum w:abstractNumId="75">
    <w:nsid w:val="56438D15"/>
    <w:multiLevelType w:val="hybridMultilevel"/>
    <w:lvl w:ilvl="0">
      <w:lvlJc w:val="left"/>
      <w:lvlText w:val="(%1)"/>
      <w:numFmt w:val="lowerLetter"/>
      <w:start w:val="9"/>
    </w:lvl>
    <w:lvl w:ilvl="1">
      <w:lvlJc w:val="left"/>
      <w:lvlText w:val="%2"/>
      <w:numFmt w:val="lowerLetter"/>
      <w:start w:val="1"/>
    </w:lvl>
  </w:abstractNum>
  <w:abstractNum w:abstractNumId="76">
    <w:nsid w:val="519E3149"/>
    <w:multiLevelType w:val="hybridMultilevel"/>
    <w:lvl w:ilvl="0">
      <w:lvlJc w:val="left"/>
      <w:lvlText w:val="(%1)"/>
      <w:numFmt w:val="upperLetter"/>
      <w:start w:val="1"/>
    </w:lvl>
  </w:abstractNum>
  <w:abstractNum w:abstractNumId="77">
    <w:nsid w:val="2C6E4AFD"/>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78">
    <w:nsid w:val="17A1B582"/>
    <w:multiLevelType w:val="hybridMultilevel"/>
    <w:lvl w:ilvl="0">
      <w:lvlJc w:val="left"/>
      <w:lvlText w:val="(%1)"/>
      <w:numFmt w:val="lowerRoman"/>
      <w:start w:val="4"/>
    </w:lvl>
  </w:abstractNum>
  <w:abstractNum w:abstractNumId="79">
    <w:nsid w:val="4DF72E4E"/>
    <w:multiLevelType w:val="hybridMultilevel"/>
    <w:lvl w:ilvl="0">
      <w:lvlJc w:val="left"/>
      <w:lvlText w:val="(%1)"/>
      <w:numFmt w:val="lowerLetter"/>
      <w:start w:val="8"/>
    </w:lvl>
  </w:abstractNum>
  <w:abstractNum w:abstractNumId="80">
    <w:nsid w:val="5046B5A9"/>
    <w:multiLevelType w:val="hybridMultilevel"/>
    <w:lvl w:ilvl="0">
      <w:lvlJc w:val="left"/>
      <w:lvlText w:val="(%1)"/>
      <w:numFmt w:val="lowerLetter"/>
      <w:start w:val="1"/>
    </w:lvl>
  </w:abstractNum>
  <w:abstractNum w:abstractNumId="81">
    <w:nsid w:val="5D888A08"/>
    <w:multiLevelType w:val="hybridMultilevel"/>
    <w:lvl w:ilvl="0">
      <w:lvlJc w:val="left"/>
      <w:lvlText w:val="(%1)"/>
      <w:numFmt w:val="lowerLetter"/>
      <w:start w:val="2"/>
    </w:lvl>
  </w:abstractNum>
  <w:abstractNum w:abstractNumId="82">
    <w:nsid w:val="2A082C70"/>
    <w:multiLevelType w:val="hybridMultilevel"/>
    <w:lvl w:ilvl="0">
      <w:lvlJc w:val="left"/>
      <w:lvlText w:val="(%1)"/>
      <w:numFmt w:val="lowerLetter"/>
      <w:start w:val="5"/>
    </w:lvl>
  </w:abstractNum>
  <w:abstractNum w:abstractNumId="83">
    <w:nsid w:val="5EC6AFD4"/>
    <w:multiLevelType w:val="hybridMultilevel"/>
    <w:lvl w:ilvl="0">
      <w:lvlJc w:val="left"/>
      <w:lvlText w:val="(%1)"/>
      <w:numFmt w:val="lowerLetter"/>
      <w:start w:val="1"/>
    </w:lvl>
  </w:abstractNum>
  <w:abstractNum w:abstractNumId="84">
    <w:nsid w:val="19E21BB2"/>
    <w:multiLevelType w:val="hybridMultilevel"/>
    <w:lvl w:ilvl="0">
      <w:lvlJc w:val="left"/>
      <w:lvlText w:val="(%1)"/>
      <w:numFmt w:val="lowerLetter"/>
      <w:start w:val="1"/>
    </w:lvl>
  </w:abstractNum>
  <w:abstractNum w:abstractNumId="85">
    <w:nsid w:val="75E0858A"/>
    <w:multiLevelType w:val="hybridMultilevel"/>
    <w:lvl w:ilvl="0">
      <w:lvlJc w:val="left"/>
      <w:lvlText w:val="%1"/>
      <w:numFmt w:val="lowerRoman"/>
      <w:start w:val="1"/>
    </w:lvl>
    <w:lvl w:ilvl="1">
      <w:lvlJc w:val="left"/>
      <w:lvlText w:val="(%2)"/>
      <w:numFmt w:val="lowerLetter"/>
      <w:start w:val="4"/>
    </w:lvl>
  </w:abstractNum>
  <w:abstractNum w:abstractNumId="86">
    <w:nsid w:val="57A61A29"/>
    <w:multiLevelType w:val="hybridMultilevel"/>
    <w:lvl w:ilvl="0">
      <w:lvlJc w:val="left"/>
      <w:lvlText w:val="%1"/>
      <w:numFmt w:val="lowerRoman"/>
      <w:start w:val="1"/>
    </w:lvl>
    <w:lvl w:ilvl="1">
      <w:lvlJc w:val="left"/>
      <w:lvlText w:val="(%2)"/>
      <w:numFmt w:val="lowerLetter"/>
      <w:start w:val="9"/>
    </w:lvl>
  </w:abstractNum>
  <w:abstractNum w:abstractNumId="87">
    <w:nsid w:val="5399C654"/>
    <w:multiLevelType w:val="hybridMultilevel"/>
    <w:lvl w:ilvl="0">
      <w:lvlJc w:val="left"/>
      <w:lvlText w:val="%1"/>
      <w:numFmt w:val="lowerRoman"/>
      <w:start w:val="1"/>
    </w:lvl>
    <w:lvl w:ilvl="1">
      <w:lvlJc w:val="left"/>
      <w:lvlText w:val="(%2)"/>
      <w:numFmt w:val="lowerLetter"/>
      <w:start w:val="35"/>
    </w:lvl>
  </w:abstractNum>
  <w:abstractNum w:abstractNumId="88">
    <w:nsid w:val="20EE1348"/>
    <w:multiLevelType w:val="hybridMultilevel"/>
    <w:lvl w:ilvl="0">
      <w:lvlJc w:val="left"/>
      <w:lvlText w:val="%1"/>
      <w:numFmt w:val="lowerRoman"/>
      <w:start w:val="1"/>
    </w:lvl>
    <w:lvl w:ilvl="1">
      <w:lvlJc w:val="left"/>
      <w:lvlText w:val="(%2)"/>
      <w:numFmt w:val="lowerLetter"/>
      <w:start w:val="61"/>
    </w:lvl>
  </w:abstractNum>
  <w:abstractNum w:abstractNumId="89">
    <w:nsid w:val="4427069A"/>
    <w:multiLevelType w:val="hybridMultilevel"/>
    <w:lvl w:ilvl="0">
      <w:lvlJc w:val="left"/>
      <w:lvlText w:val="(%1)"/>
      <w:numFmt w:val="lowerRoman"/>
      <w:start w:val="4"/>
    </w:lvl>
    <w:lvl w:ilvl="1">
      <w:lvlJc w:val="left"/>
      <w:lvlText w:val="%2"/>
      <w:numFmt w:val="lowerLetter"/>
      <w:start w:val="1"/>
    </w:lvl>
  </w:abstractNum>
  <w:abstractNum w:abstractNumId="90">
    <w:nsid w:val="B37E80A"/>
    <w:multiLevelType w:val="hybridMultilevel"/>
    <w:lvl w:ilvl="0">
      <w:lvlJc w:val="left"/>
      <w:lvlText w:val="(%1)"/>
      <w:numFmt w:val="lowerLetter"/>
      <w:start w:val="5"/>
    </w:lvl>
  </w:abstractNum>
  <w:abstractNum w:abstractNumId="91">
    <w:nsid w:val="2157F6BC"/>
    <w:multiLevelType w:val="hybridMultilevel"/>
    <w:lvl w:ilvl="0">
      <w:lvlJc w:val="left"/>
      <w:lvlText w:val="(%1)"/>
      <w:numFmt w:val="lowerLetter"/>
      <w:start w:val="1"/>
    </w:lvl>
  </w:abstractNum>
  <w:abstractNum w:abstractNumId="92">
    <w:nsid w:val="704E1DD5"/>
    <w:multiLevelType w:val="hybridMultilevel"/>
    <w:lvl w:ilvl="0">
      <w:lvlJc w:val="left"/>
      <w:lvlText w:val="(%1)"/>
      <w:numFmt w:val="lowerLetter"/>
      <w:start w:val="3"/>
    </w:lvl>
  </w:abstractNum>
  <w:abstractNum w:abstractNumId="93">
    <w:nsid w:val="57D2F10E"/>
    <w:multiLevelType w:val="hybridMultilevel"/>
    <w:lvl w:ilvl="0">
      <w:lvlJc w:val="left"/>
      <w:lvlText w:val="(%1)"/>
      <w:numFmt w:val="lowerLetter"/>
      <w:start w:val="2"/>
    </w:lvl>
  </w:abstractNum>
  <w:abstractNum w:abstractNumId="94">
    <w:nsid w:val="BFFAE18"/>
    <w:multiLevelType w:val="hybridMultilevel"/>
    <w:lvl w:ilvl="0">
      <w:lvlJc w:val="left"/>
      <w:lvlText w:val="%1"/>
      <w:numFmt w:val="lowerLetter"/>
      <w:start w:val="1"/>
    </w:lvl>
    <w:lvl w:ilvl="1">
      <w:lvlJc w:val="left"/>
      <w:lvlText w:val="(%2)"/>
      <w:numFmt w:val="lowerLetter"/>
      <w:start w:val="1"/>
    </w:lvl>
  </w:abstractNum>
  <w:abstractNum w:abstractNumId="95">
    <w:nsid w:val="E3E47A8"/>
    <w:multiLevelType w:val="hybridMultilevel"/>
    <w:lvl w:ilvl="0">
      <w:lvlJc w:val="left"/>
      <w:lvlText w:val="(%1)"/>
      <w:numFmt w:val="lowerLetter"/>
      <w:start w:val="35"/>
    </w:lvl>
    <w:lvl w:ilvl="1">
      <w:lvlJc w:val="left"/>
      <w:lvlText w:val="(%2)"/>
      <w:numFmt w:val="lowerLetter"/>
      <w:start w:val="3"/>
    </w:lvl>
  </w:abstractNum>
  <w:abstractNum w:abstractNumId="96">
    <w:nsid w:val="2E48F044"/>
    <w:multiLevelType w:val="hybridMultilevel"/>
    <w:lvl w:ilvl="0">
      <w:lvlJc w:val="left"/>
      <w:lvlText w:val="%1"/>
      <w:numFmt w:val="lowerLetter"/>
      <w:start w:val="1"/>
    </w:lvl>
    <w:lvl w:ilvl="1">
      <w:lvlJc w:val="left"/>
      <w:lvlText w:val="(%2)"/>
      <w:numFmt w:val="lowerLetter"/>
      <w:start w:val="4"/>
    </w:lvl>
  </w:abstractNum>
  <w:abstractNum w:abstractNumId="97">
    <w:nsid w:val="49D0FEAC"/>
    <w:multiLevelType w:val="hybridMultilevel"/>
    <w:lvl w:ilvl="0">
      <w:lvlJc w:val="left"/>
      <w:lvlText w:val="(%1)"/>
      <w:numFmt w:val="lowerLetter"/>
      <w:start w:val="9"/>
    </w:lvl>
    <w:lvl w:ilvl="1">
      <w:lvlJc w:val="left"/>
      <w:lvlText w:val="%2"/>
      <w:numFmt w:val="lowerLetter"/>
      <w:start w:val="1"/>
    </w:lvl>
  </w:abstractNum>
  <w:abstractNum w:abstractNumId="98">
    <w:nsid w:val="4BEE5A5B"/>
    <w:multiLevelType w:val="hybridMultilevel"/>
    <w:lvl w:ilvl="0">
      <w:lvlJc w:val="left"/>
      <w:lvlText w:val="(%1)"/>
      <w:numFmt w:val="lowerLetter"/>
      <w:start w:val="1"/>
    </w:lvl>
  </w:abstractNum>
  <w:abstractNum w:abstractNumId="99">
    <w:nsid w:val="5551B9F3"/>
    <w:multiLevelType w:val="hybridMultilevel"/>
    <w:lvl w:ilvl="0">
      <w:lvlJc w:val="left"/>
      <w:lvlText w:val="%1"/>
      <w:numFmt w:val="lowerLetter"/>
      <w:start w:val="1"/>
    </w:lvl>
    <w:lvl w:ilvl="1">
      <w:lvlJc w:val="left"/>
      <w:lvlText w:val="(%2)"/>
      <w:numFmt w:val="lowerLetter"/>
      <w:start w:val="4"/>
    </w:lvl>
  </w:abstractNum>
  <w:abstractNum w:abstractNumId="100">
    <w:nsid w:val="24F6AB8E"/>
    <w:multiLevelType w:val="hybridMultilevel"/>
    <w:lvl w:ilvl="0">
      <w:lvlJc w:val="left"/>
      <w:lvlText w:val="(%1)"/>
      <w:numFmt w:val="lowerLetter"/>
      <w:start w:val="9"/>
    </w:lvl>
    <w:lvl w:ilvl="1">
      <w:lvlJc w:val="left"/>
      <w:lvlText w:val="%2"/>
      <w:numFmt w:val="lowerLetter"/>
      <w:start w:val="1"/>
    </w:lvl>
  </w:abstractNum>
  <w:abstractNum w:abstractNumId="101">
    <w:nsid w:val="634C574C"/>
    <w:multiLevelType w:val="hybridMultilevel"/>
    <w:lvl w:ilvl="0">
      <w:lvlJc w:val="left"/>
      <w:lvlText w:val="(%1)"/>
      <w:numFmt w:val="lowerLetter"/>
      <w:start w:val="1"/>
    </w:lvl>
  </w:abstractNum>
  <w:abstractNum w:abstractNumId="102">
    <w:nsid w:val="24E99DD7"/>
    <w:multiLevelType w:val="hybridMultilevel"/>
    <w:lvl w:ilvl="0">
      <w:lvlJc w:val="left"/>
      <w:lvlText w:val="(%1)"/>
      <w:numFmt w:val="lowerLetter"/>
      <w:start w:val="1"/>
    </w:lvl>
  </w:abstractNum>
  <w:abstractNum w:abstractNumId="103">
    <w:nsid w:val="2A31B62D"/>
    <w:multiLevelType w:val="hybridMultilevel"/>
    <w:lvl w:ilvl="0">
      <w:lvlJc w:val="left"/>
      <w:lvlText w:val="(%1)"/>
      <w:numFmt w:val="lowerLetter"/>
      <w:start w:val="1"/>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1)"/>
      <w:numFmt w:val="lowerLetter"/>
      <w:start w:val="2"/>
    </w:lvl>
  </w:abstractNum>
  <w:abstractNum w:abstractNumId="107">
    <w:nsid w:val="69E7F3E5"/>
    <w:multiLevelType w:val="hybridMultilevel"/>
    <w:lvl w:ilvl="0">
      <w:lvlJc w:val="left"/>
      <w:lvlText w:val="%1"/>
      <w:numFmt w:val="lowerRoman"/>
      <w:start w:val="1"/>
    </w:lvl>
    <w:lvl w:ilvl="1">
      <w:lvlJc w:val="left"/>
      <w:lvlText w:val="(%2)"/>
      <w:numFmt w:val="lowerLetter"/>
      <w:start w:val="1"/>
    </w:lvl>
  </w:abstractNum>
  <w:abstractNum w:abstractNumId="108">
    <w:nsid w:val="2A6DE806"/>
    <w:multiLevelType w:val="hybridMultilevel"/>
    <w:lvl w:ilvl="0">
      <w:lvlJc w:val="left"/>
      <w:lvlText w:val="%1"/>
      <w:numFmt w:val="lowerRoman"/>
      <w:start w:val="1"/>
    </w:lvl>
    <w:lvl w:ilvl="1">
      <w:lvlJc w:val="left"/>
      <w:lvlText w:val="(%2)"/>
      <w:numFmt w:val="lowerLetter"/>
      <w:start w:val="9"/>
    </w:lvl>
  </w:abstractNum>
  <w:abstractNum w:abstractNumId="109">
    <w:nsid w:val="1816F8C4"/>
    <w:multiLevelType w:val="hybridMultilevel"/>
    <w:lvl w:ilvl="0">
      <w:lvlJc w:val="left"/>
      <w:lvlText w:val="%1"/>
      <w:numFmt w:val="lowerRoman"/>
      <w:start w:val="1"/>
    </w:lvl>
    <w:lvl w:ilvl="1">
      <w:lvlJc w:val="left"/>
      <w:lvlText w:val="(%2)"/>
      <w:numFmt w:val="lowerLetter"/>
      <w:start w:val="35"/>
    </w:lvl>
  </w:abstractNum>
  <w:abstractNum w:abstractNumId="110">
    <w:nsid w:val="37DF2233"/>
    <w:multiLevelType w:val="hybridMultilevel"/>
    <w:lvl w:ilvl="0">
      <w:lvlJc w:val="left"/>
      <w:lvlText w:val="(%1)"/>
      <w:numFmt w:val="lowerRoman"/>
      <w:start w:val="3"/>
    </w:lvl>
    <w:lvl w:ilvl="1">
      <w:lvlJc w:val="left"/>
      <w:lvlText w:val="(%2)"/>
      <w:numFmt w:val="lowerLetter"/>
      <w:start w:val="4"/>
    </w:lvl>
  </w:abstractNum>
  <w:abstractNum w:abstractNumId="111">
    <w:nsid w:val="7AB49DAF"/>
    <w:multiLevelType w:val="hybridMultilevel"/>
    <w:lvl w:ilvl="0">
      <w:lvlJc w:val="left"/>
      <w:lvlText w:val="%1"/>
      <w:numFmt w:val="lowerLetter"/>
      <w:start w:val="1"/>
    </w:lvl>
    <w:lvl w:ilvl="1">
      <w:lvlJc w:val="left"/>
      <w:lvlText w:val="(%2)"/>
      <w:numFmt w:val="lowerLetter"/>
      <w:start w:val="6"/>
    </w:lvl>
  </w:abstractNum>
  <w:abstractNum w:abstractNumId="112">
    <w:nsid w:val="759F82CD"/>
    <w:multiLevelType w:val="hybridMultilevel"/>
    <w:lvl w:ilvl="0">
      <w:lvlJc w:val="left"/>
      <w:lvlText w:val="(%1)"/>
      <w:numFmt w:val="lowerLetter"/>
      <w:start w:val="35"/>
    </w:lvl>
    <w:lvl w:ilvl="1">
      <w:lvlJc w:val="left"/>
      <w:lvlText w:val="(%2)"/>
      <w:numFmt w:val="lowerLetter"/>
      <w:start w:val="7"/>
    </w:lvl>
  </w:abstractNum>
  <w:abstractNum w:abstractNumId="113">
    <w:nsid w:val="61E74EA3"/>
    <w:multiLevelType w:val="hybridMultilevel"/>
    <w:lvl w:ilvl="0">
      <w:lvlJc w:val="left"/>
      <w:lvlText w:val="(%1)"/>
      <w:numFmt w:val="lowerLetter"/>
      <w:start w:val="1"/>
    </w:lvl>
  </w:abstractNum>
  <w:abstractNum w:abstractNumId="114">
    <w:nsid w:val="597B4D84"/>
    <w:multiLevelType w:val="hybridMultilevel"/>
    <w:lvl w:ilvl="0">
      <w:lvlJc w:val="left"/>
      <w:lvlText w:val="(%1)"/>
      <w:numFmt w:val="lowerLetter"/>
      <w:start w:val="1"/>
    </w:lvl>
  </w:abstractNum>
  <w:abstractNum w:abstractNumId="115">
    <w:nsid w:val="F819E7F"/>
    <w:multiLevelType w:val="hybridMultilevel"/>
    <w:lvl w:ilvl="0">
      <w:lvlJc w:val="left"/>
      <w:lvlText w:val="(%1)"/>
      <w:numFmt w:val="lowerLetter"/>
      <w:start w:val="2"/>
    </w:lvl>
  </w:abstractNum>
  <w:abstractNum w:abstractNumId="116">
    <w:nsid w:val="57C7D42D"/>
    <w:multiLevelType w:val="hybridMultilevel"/>
    <w:lvl w:ilvl="0">
      <w:lvlJc w:val="left"/>
      <w:lvlText w:val="%1"/>
      <w:numFmt w:val="decimal"/>
      <w:start w:val="1"/>
    </w:lvl>
    <w:lvl w:ilvl="1">
      <w:lvlJc w:val="left"/>
      <w:lvlText w:val="(%2)"/>
      <w:numFmt w:val="lowerLetter"/>
      <w:start w:val="1"/>
    </w:lvl>
  </w:abstractNum>
  <w:abstractNum w:abstractNumId="117">
    <w:nsid w:val="312167AD"/>
    <w:multiLevelType w:val="hybridMultilevel"/>
    <w:lvl w:ilvl="0">
      <w:lvlJc w:val="left"/>
      <w:lvlText w:val="(%1)"/>
      <w:numFmt w:val="decimal"/>
      <w:start w:val="97"/>
    </w:lvl>
    <w:lvl w:ilvl="1">
      <w:lvlJc w:val="left"/>
      <w:lvlText w:val="(%2)"/>
      <w:numFmt w:val="lowerLetter"/>
      <w:start w:val="2"/>
    </w:lvl>
  </w:abstractNum>
  <w:abstractNum w:abstractNumId="118">
    <w:nsid w:val="631B64D4"/>
    <w:multiLevelType w:val="hybridMultilevel"/>
    <w:lvl w:ilvl="0">
      <w:lvlJc w:val="left"/>
      <w:lvlText w:val="(%1)"/>
      <w:numFmt w:val="decimal"/>
      <w:start w:val="52"/>
    </w:lvl>
    <w:lvl w:ilvl="1">
      <w:lvlJc w:val="left"/>
      <w:lvlText w:val="(%2)"/>
      <w:numFmt w:val="lowerLetter"/>
      <w:start w:val="3"/>
    </w:lvl>
  </w:abstractNum>
  <w:abstractNum w:abstractNumId="119">
    <w:nsid w:val="78B5E776"/>
    <w:multiLevelType w:val="hybridMultilevel"/>
    <w:lvl w:ilvl="0">
      <w:lvlJc w:val="left"/>
      <w:lvlText w:val="(%1)"/>
      <w:numFmt w:val="lowerLetter"/>
      <w:start w:val="5"/>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5"/>
    </w:lvl>
  </w:abstractNum>
  <w:abstractNum w:abstractNumId="122">
    <w:nsid w:val="1A0DDE32"/>
    <w:multiLevelType w:val="hybridMultilevel"/>
    <w:lvl w:ilvl="0">
      <w:lvlJc w:val="left"/>
      <w:lvlText w:val="(%1)"/>
      <w:numFmt w:val="lowerLetter"/>
      <w:start w:val="1"/>
    </w:lvl>
  </w:abstractNum>
  <w:abstractNum w:abstractNumId="123">
    <w:nsid w:val="65968C1C"/>
    <w:multiLevelType w:val="hybridMultilevel"/>
    <w:lvl w:ilvl="0">
      <w:lvlJc w:val="left"/>
      <w:lvlText w:val="(%1)"/>
      <w:numFmt w:val="lowerLetter"/>
      <w:start w:val="1"/>
    </w:lvl>
  </w:abstractNum>
  <w:abstractNum w:abstractNumId="124">
    <w:nsid w:val="46263DEC"/>
    <w:multiLevelType w:val="hybridMultilevel"/>
    <w:lvl w:ilvl="0">
      <w:lvlJc w:val="left"/>
      <w:lvlText w:val="(%1)"/>
      <w:numFmt w:val="lowerLetter"/>
      <w:start w:val="1"/>
    </w:lvl>
  </w:abstractNum>
  <w:abstractNum w:abstractNumId="125">
    <w:nsid w:val="260D8C4A"/>
    <w:multiLevelType w:val="hybridMultilevel"/>
    <w:lvl w:ilvl="0">
      <w:lvlJc w:val="left"/>
      <w:lvlText w:val="(%1)"/>
      <w:numFmt w:val="lowerLetter"/>
      <w:start w:val="1"/>
    </w:lvl>
  </w:abstractNum>
  <w:abstractNum w:abstractNumId="126">
    <w:nsid w:val="73D4D3C4"/>
    <w:multiLevelType w:val="hybridMultilevel"/>
    <w:lvl w:ilvl="0">
      <w:lvlJc w:val="left"/>
      <w:lvlText w:val="(%1)"/>
      <w:numFmt w:val="lowerLetter"/>
      <w:start w:val="10"/>
    </w:lvl>
  </w:abstractNum>
  <w:abstractNum w:abstractNumId="127">
    <w:nsid w:val="746F2E30"/>
    <w:multiLevelType w:val="hybridMultilevel"/>
    <w:lvl w:ilvl="0">
      <w:lvlJc w:val="left"/>
      <w:lvlText w:val="(%1)"/>
      <w:numFmt w:val="lowerLetter"/>
      <w:start w:val="1"/>
    </w:lvl>
  </w:abstractNum>
  <w:abstractNum w:abstractNumId="128">
    <w:nsid w:val="6FDE8AF6"/>
    <w:multiLevelType w:val="hybridMultilevel"/>
    <w:lvl w:ilvl="0">
      <w:lvlJc w:val="left"/>
      <w:lvlText w:val="%1"/>
      <w:numFmt w:val="lowerLetter"/>
      <w:start w:val="1"/>
    </w:lvl>
    <w:lvl w:ilvl="1">
      <w:lvlJc w:val="left"/>
      <w:lvlText w:val="(%2)"/>
      <w:numFmt w:val="lowerLetter"/>
      <w:start w:val="1"/>
    </w:lvl>
  </w:abstractNum>
  <w:abstractNum w:abstractNumId="129">
    <w:nsid w:val="3FC32E20"/>
    <w:multiLevelType w:val="hybridMultilevel"/>
    <w:lvl w:ilvl="0">
      <w:lvlJc w:val="left"/>
      <w:lvlText w:val="(%1)"/>
      <w:numFmt w:val="lowerLetter"/>
      <w:start w:val="1"/>
    </w:lvl>
    <w:lvl w:ilvl="1">
      <w:lvlJc w:val="left"/>
      <w:lvlText w:val="(%2)"/>
      <w:numFmt w:val="lowerLetter"/>
      <w:start w:val="3"/>
    </w:lvl>
  </w:abstractNum>
  <w:abstractNum w:abstractNumId="130">
    <w:nsid w:val="49C0E823"/>
    <w:multiLevelType w:val="hybridMultilevel"/>
    <w:lvl w:ilvl="0">
      <w:lvlJc w:val="left"/>
      <w:lvlText w:val="%1"/>
      <w:numFmt w:val="lowerLetter"/>
      <w:start w:val="1"/>
    </w:lvl>
    <w:lvl w:ilvl="1">
      <w:lvlJc w:val="left"/>
      <w:lvlText w:val="(%2)"/>
      <w:numFmt w:val="lowerLetter"/>
      <w:start w:val="4"/>
    </w:lvl>
  </w:abstractNum>
  <w:abstractNum w:abstractNumId="131">
    <w:nsid w:val="14D53685"/>
    <w:multiLevelType w:val="hybridMultilevel"/>
    <w:lvl w:ilvl="0">
      <w:lvlJc w:val="left"/>
      <w:lvlText w:val="(%1)"/>
      <w:numFmt w:val="lowerLetter"/>
      <w:start w:val="35"/>
    </w:lvl>
    <w:lvl w:ilvl="1">
      <w:lvlJc w:val="left"/>
      <w:lvlText w:val="(%2)"/>
      <w:numFmt w:val="lowerLetter"/>
      <w:start w:val="8"/>
    </w:lvl>
  </w:abstractNum>
  <w:abstractNum w:abstractNumId="132">
    <w:nsid w:val="230F856C"/>
    <w:multiLevelType w:val="hybridMultilevel"/>
    <w:lvl w:ilvl="0">
      <w:lvlJc w:val="left"/>
      <w:lvlText w:val="(%1)"/>
      <w:numFmt w:val="lowerLetter"/>
      <w:start w:val="10"/>
    </w:lvl>
  </w:abstractNum>
  <w:abstractNum w:abstractNumId="133">
    <w:nsid w:val="6EAA85FB"/>
    <w:multiLevelType w:val="hybridMultilevel"/>
    <w:lvl w:ilvl="0">
      <w:lvlJc w:val="left"/>
      <w:lvlText w:val="(%1)"/>
      <w:numFmt w:val="lowerRoman"/>
      <w:start w:val="2"/>
    </w:lvl>
  </w:abstractNum>
  <w:abstractNum w:abstractNumId="134">
    <w:nsid w:val="3F06ECB2"/>
    <w:multiLevelType w:val="hybridMultilevel"/>
    <w:lvl w:ilvl="0">
      <w:lvlJc w:val="left"/>
      <w:lvlText w:val="(%1)"/>
      <w:numFmt w:val="lowerLetter"/>
      <w:start w:val="3"/>
    </w:lvl>
  </w:abstractNum>
  <w:abstractNum w:abstractNumId="135">
    <w:nsid w:val="3B594807"/>
    <w:multiLevelType w:val="hybridMultilevel"/>
    <w:lvl w:ilvl="0">
      <w:lvlJc w:val="left"/>
      <w:lvlText w:val="(%1)"/>
      <w:numFmt w:val="lowerRoman"/>
      <w:start w:val="2"/>
    </w:lvl>
  </w:abstractNum>
  <w:abstractNum w:abstractNumId="136">
    <w:nsid w:val="6CAA2304"/>
    <w:multiLevelType w:val="hybridMultilevel"/>
    <w:lvl w:ilvl="0">
      <w:lvlJc w:val="left"/>
      <w:lvlText w:val="(%1)"/>
      <w:numFmt w:val="lowerLetter"/>
      <w:start w:val="1"/>
    </w:lvl>
  </w:abstractNum>
  <w:abstractNum w:abstractNumId="137">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8">
    <w:nsid w:val="25413BE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39">
    <w:nsid w:val="17180B0B"/>
    <w:multiLevelType w:val="hybridMultilevel"/>
    <w:lvl w:ilvl="0">
      <w:lvlJc w:val="left"/>
      <w:lvlText w:val="(%1)"/>
      <w:numFmt w:val="lowerLetter"/>
      <w:start w:val="2"/>
    </w:lvl>
  </w:abstractNum>
  <w:abstractNum w:abstractNumId="140">
    <w:nsid w:val="579328B9"/>
    <w:multiLevelType w:val="hybridMultilevel"/>
    <w:lvl w:ilvl="0">
      <w:lvlJc w:val="left"/>
      <w:lvlText w:val="%1"/>
      <w:numFmt w:val="lowerRoman"/>
      <w:start w:val="1"/>
    </w:lvl>
    <w:lvl w:ilvl="1">
      <w:lvlJc w:val="left"/>
      <w:lvlText w:val="(%2)"/>
      <w:numFmt w:val="lowerLetter"/>
      <w:start w:val="3"/>
    </w:lvl>
  </w:abstractNum>
  <w:abstractNum w:abstractNumId="141">
    <w:nsid w:val="5D205E20"/>
    <w:multiLevelType w:val="hybridMultilevel"/>
    <w:lvl w:ilvl="0">
      <w:lvlJc w:val="left"/>
      <w:lvlText w:val="%1"/>
      <w:numFmt w:val="lowerRoman"/>
      <w:start w:val="1"/>
    </w:lvl>
    <w:lvl w:ilvl="1">
      <w:lvlJc w:val="left"/>
      <w:lvlText w:val="(%2)"/>
      <w:numFmt w:val="lowerLetter"/>
      <w:start w:val="9"/>
    </w:lvl>
  </w:abstractNum>
  <w:abstractNum w:abstractNumId="142">
    <w:nsid w:val="11CCA8BA"/>
    <w:multiLevelType w:val="hybridMultilevel"/>
    <w:lvl w:ilvl="0">
      <w:lvlJc w:val="left"/>
      <w:lvlText w:val="%1"/>
      <w:numFmt w:val="lowerRoman"/>
      <w:start w:val="1"/>
    </w:lvl>
    <w:lvl w:ilvl="1">
      <w:lvlJc w:val="left"/>
      <w:lvlText w:val="(%2)"/>
      <w:numFmt w:val="lowerLetter"/>
      <w:start w:val="35"/>
    </w:lvl>
  </w:abstractNum>
  <w:abstractNum w:abstractNumId="143">
    <w:nsid w:val="4D32AB86"/>
    <w:multiLevelType w:val="hybridMultilevel"/>
    <w:lvl w:ilvl="0">
      <w:lvlJc w:val="left"/>
      <w:lvlText w:val="%1"/>
      <w:numFmt w:val="lowerRoman"/>
      <w:start w:val="1"/>
    </w:lvl>
    <w:lvl w:ilvl="1">
      <w:lvlJc w:val="left"/>
      <w:lvlText w:val="(%2)"/>
      <w:numFmt w:val="lowerLetter"/>
      <w:start w:val="61"/>
    </w:lvl>
  </w:abstractNum>
  <w:abstractNum w:abstractNumId="144">
    <w:nsid w:val="3F07ACC3"/>
    <w:multiLevelType w:val="hybridMultilevel"/>
    <w:lvl w:ilvl="0">
      <w:lvlJc w:val="left"/>
      <w:lvlText w:val="(%1)"/>
      <w:numFmt w:val="lowerRoman"/>
      <w:start w:val="4"/>
    </w:lvl>
  </w:abstractNum>
  <w:abstractNum w:abstractNumId="145">
    <w:nsid w:val="6B47F63E"/>
    <w:multiLevelType w:val="hybridMultilevel"/>
    <w:lvl w:ilvl="0">
      <w:lvlJc w:val="left"/>
      <w:lvlText w:val="(%1)"/>
      <w:numFmt w:val="lowerLetter"/>
      <w:start w:val="1"/>
    </w:lvl>
  </w:abstractNum>
  <w:abstractNum w:abstractNumId="146">
    <w:nsid w:val="5CB44A05"/>
    <w:multiLevelType w:val="hybridMultilevel"/>
    <w:lvl w:ilvl="0">
      <w:lvlJc w:val="left"/>
      <w:lvlText w:val="(%1)"/>
      <w:numFmt w:val="lowerLetter"/>
      <w:start w:val="3"/>
    </w:lvl>
  </w:abstractNum>
  <w:abstractNum w:abstractNumId="147">
    <w:nsid w:val="16CF80F1"/>
    <w:multiLevelType w:val="hybridMultilevel"/>
    <w:lvl w:ilvl="0">
      <w:lvlJc w:val="left"/>
      <w:lvlText w:val="(%1)"/>
      <w:numFmt w:val="lowerLetter"/>
      <w:start w:val="5"/>
    </w:lvl>
  </w:abstractNum>
  <w:abstractNum w:abstractNumId="148">
    <w:nsid w:val="1C695DEC"/>
    <w:multiLevelType w:val="hybridMultilevel"/>
    <w:lvl w:ilvl="0">
      <w:lvlJc w:val="left"/>
      <w:lvlText w:val="(%1)"/>
      <w:numFmt w:val="lowerLetter"/>
      <w:start w:val="1"/>
    </w:lvl>
  </w:abstractNum>
  <w:abstractNum w:abstractNumId="149">
    <w:nsid w:val="3FCFAED9"/>
    <w:multiLevelType w:val="hybridMultilevel"/>
    <w:lvl w:ilvl="0">
      <w:lvlJc w:val="left"/>
      <w:lvlText w:val="(%1)"/>
      <w:numFmt w:val="lowerLetter"/>
      <w:start w:val="3"/>
    </w:lvl>
  </w:abstractNum>
  <w:abstractNum w:abstractNumId="150">
    <w:nsid w:val="F856867"/>
    <w:multiLevelType w:val="hybridMultilevel"/>
    <w:lvl w:ilvl="0">
      <w:lvlJc w:val="left"/>
      <w:lvlText w:val="(%1)"/>
      <w:numFmt w:val="lowerLetter"/>
      <w:start w:val="1"/>
    </w:lvl>
  </w:abstractNum>
  <w:abstractNum w:abstractNumId="151">
    <w:nsid w:val="11B1CC33"/>
    <w:multiLevelType w:val="hybridMultilevel"/>
    <w:lvl w:ilvl="0">
      <w:lvlJc w:val="left"/>
      <w:lvlText w:val="%1"/>
      <w:numFmt w:val="lowerLetter"/>
      <w:start w:val="1"/>
    </w:lvl>
    <w:lvl w:ilvl="1">
      <w:lvlJc w:val="left"/>
      <w:lvlText w:val="(%2)"/>
      <w:numFmt w:val="upperLetter"/>
      <w:start w:val="1"/>
    </w:lvl>
  </w:abstractNum>
  <w:abstractNum w:abstractNumId="152">
    <w:nsid w:val="2E22FBB7"/>
    <w:multiLevelType w:val="hybridMultilevel"/>
    <w:lvl w:ilvl="0">
      <w:lvlJc w:val="left"/>
      <w:lvlText w:val="(%1)"/>
      <w:numFmt w:val="lowerLetter"/>
      <w:start w:val="35"/>
    </w:lvl>
    <w:lvl w:ilvl="1">
      <w:lvlJc w:val="left"/>
      <w:lvlText w:val="(%2)"/>
      <w:numFmt w:val="upperLetter"/>
      <w:start w:val="1"/>
    </w:lvl>
  </w:abstractNum>
  <w:abstractNum w:abstractNumId="153">
    <w:nsid w:val="29934699"/>
    <w:multiLevelType w:val="hybridMultilevel"/>
    <w:lvl w:ilvl="0">
      <w:lvlJc w:val="left"/>
      <w:lvlText w:val="(%1)"/>
      <w:numFmt w:val="lowerLetter"/>
      <w:start w:val="25"/>
    </w:lvl>
    <w:lvl w:ilvl="1">
      <w:lvlJc w:val="left"/>
      <w:lvlText w:val="(%2)"/>
      <w:numFmt w:val="upperLetter"/>
      <w:start w:val="4"/>
    </w:lvl>
  </w:abstractNum>
  <w:abstractNum w:abstractNumId="154">
    <w:nsid w:val="77485850"/>
    <w:multiLevelType w:val="hybridMultilevel"/>
    <w:lvl w:ilvl="0">
      <w:lvlJc w:val="left"/>
      <w:lvlText w:val="(%1)"/>
      <w:numFmt w:val="lowerRoman"/>
      <w:start w:val="3"/>
    </w:lvl>
  </w:abstractNum>
  <w:abstractNum w:abstractNumId="155">
    <w:nsid w:val="744939A3"/>
    <w:multiLevelType w:val="hybridMultilevel"/>
    <w:lvl w:ilvl="0">
      <w:lvlJc w:val="left"/>
      <w:lvlText w:val="(%1)"/>
      <w:numFmt w:val="lowerLetter"/>
      <w:start w:val="3"/>
    </w:lvl>
  </w:abstractNum>
  <w:abstractNum w:abstractNumId="156">
    <w:nsid w:val="4FA0D2E3"/>
    <w:multiLevelType w:val="hybridMultilevel"/>
    <w:lvl w:ilvl="0">
      <w:lvlJc w:val="left"/>
      <w:lvlText w:val="(%1)"/>
      <w:numFmt w:val="lowerLetter"/>
      <w:start w:val="1"/>
    </w:lvl>
  </w:abstractNum>
  <w:abstractNum w:abstractNumId="157">
    <w:nsid w:val="6B1D2C14"/>
    <w:multiLevelType w:val="hybridMultilevel"/>
    <w:lvl w:ilvl="0">
      <w:lvlJc w:val="left"/>
      <w:lvlText w:val="%1"/>
      <w:numFmt w:val="lowerLetter"/>
      <w:start w:val="1"/>
    </w:lvl>
    <w:lvl w:ilvl="1">
      <w:lvlJc w:val="left"/>
      <w:lvlText w:val="(%2)"/>
      <w:numFmt w:val="lowerLetter"/>
      <w:start w:val="1"/>
    </w:lvl>
  </w:abstractNum>
  <w:abstractNum w:abstractNumId="158">
    <w:nsid w:val="68B867D3"/>
    <w:multiLevelType w:val="hybridMultilevel"/>
    <w:lvl w:ilvl="0">
      <w:lvlJc w:val="left"/>
      <w:lvlText w:val="(%1)"/>
      <w:numFmt w:val="lowerLetter"/>
      <w:start w:val="35"/>
    </w:lvl>
    <w:lvl w:ilvl="1">
      <w:lvlJc w:val="left"/>
      <w:lvlText w:val="%2"/>
      <w:numFmt w:val="lowerLetter"/>
      <w:start w:val="1"/>
    </w:lvl>
  </w:abstractNum>
  <w:abstractNum w:abstractNumId="159">
    <w:nsid w:val="3F7F5DD9"/>
    <w:multiLevelType w:val="hybridMultilevel"/>
    <w:lvl w:ilvl="0">
      <w:lvlJc w:val="left"/>
      <w:lvlText w:val="(%1)"/>
      <w:numFmt w:val="lowerLetter"/>
      <w:start w:val="3"/>
    </w:lvl>
  </w:abstractNum>
  <w:abstractNum w:abstractNumId="160">
    <w:nsid w:val="2AE05A34"/>
    <w:multiLevelType w:val="hybridMultilevel"/>
    <w:lvl w:ilvl="0">
      <w:lvlJc w:val="left"/>
      <w:lvlText w:val="(%1)"/>
      <w:numFmt w:val="lowerLetter"/>
      <w:start w:val="1"/>
    </w:lvl>
  </w:abstractNum>
  <w:abstractNum w:abstractNumId="161">
    <w:nsid w:val="32794FF7"/>
    <w:multiLevelType w:val="hybridMultilevel"/>
    <w:lvl w:ilvl="0">
      <w:lvlJc w:val="left"/>
      <w:lvlText w:val="(%1)"/>
      <w:numFmt w:val="lowerLetter"/>
      <w:start w:val="2"/>
    </w:lvl>
  </w:abstractNum>
  <w:abstractNum w:abstractNumId="162">
    <w:nsid w:val="5454945E"/>
    <w:multiLevelType w:val="hybridMultilevel"/>
    <w:lvl w:ilvl="0">
      <w:lvlJc w:val="left"/>
      <w:lvlText w:val="(%1)"/>
      <w:numFmt w:val="lowerLetter"/>
      <w:start w:val="1"/>
    </w:lvl>
  </w:abstractNum>
  <w:abstractNum w:abstractNumId="163">
    <w:nsid w:val="4DEFDFA0"/>
    <w:multiLevelType w:val="hybridMultilevel"/>
    <w:lvl w:ilvl="0">
      <w:lvlJc w:val="left"/>
      <w:lvlText w:val="%1"/>
      <w:numFmt w:val="lowerRoman"/>
      <w:start w:val="1"/>
    </w:lvl>
    <w:lvl w:ilvl="1">
      <w:lvlJc w:val="left"/>
      <w:lvlText w:val="(%2)"/>
      <w:numFmt w:val="lowerLetter"/>
      <w:start w:val="1"/>
    </w:lvl>
  </w:abstractNum>
  <w:abstractNum w:abstractNumId="164">
    <w:nsid w:val="2123D5F2"/>
    <w:multiLevelType w:val="hybridMultilevel"/>
    <w:lvl w:ilvl="0">
      <w:lvlJc w:val="left"/>
      <w:lvlText w:val="%1"/>
      <w:numFmt w:val="lowerRoman"/>
      <w:start w:val="1"/>
    </w:lvl>
    <w:lvl w:ilvl="1">
      <w:lvlJc w:val="left"/>
      <w:lvlText w:val="(%2)"/>
      <w:numFmt w:val="lowerLetter"/>
      <w:start w:val="9"/>
    </w:lvl>
  </w:abstractNum>
  <w:abstractNum w:abstractNumId="165">
    <w:nsid w:val="135B8110"/>
    <w:multiLevelType w:val="hybridMultilevel"/>
    <w:lvl w:ilvl="0">
      <w:lvlJc w:val="left"/>
      <w:lvlText w:val="%1"/>
      <w:numFmt w:val="lowerRoman"/>
      <w:start w:val="1"/>
    </w:lvl>
    <w:lvl w:ilvl="1">
      <w:lvlJc w:val="left"/>
      <w:lvlText w:val="(%2)"/>
      <w:numFmt w:val="lowerLetter"/>
      <w:start w:val="35"/>
    </w:lvl>
  </w:abstractNum>
  <w:abstractNum w:abstractNumId="166">
    <w:nsid w:val="94927A8"/>
    <w:multiLevelType w:val="hybridMultilevel"/>
    <w:lvl w:ilvl="0">
      <w:lvlJc w:val="left"/>
      <w:lvlText w:val="%1"/>
      <w:numFmt w:val="lowerRoman"/>
      <w:start w:val="1"/>
    </w:lvl>
    <w:lvl w:ilvl="1">
      <w:lvlJc w:val="left"/>
      <w:lvlText w:val="(%2)"/>
      <w:numFmt w:val="lowerLetter"/>
      <w:start w:val="61"/>
    </w:lvl>
  </w:abstractNum>
  <w:abstractNum w:abstractNumId="167">
    <w:nsid w:val="DCDF8F6"/>
    <w:multiLevelType w:val="hybridMultilevel"/>
    <w:lvl w:ilvl="0">
      <w:lvlJc w:val="left"/>
      <w:lvlText w:val="(%1)"/>
      <w:numFmt w:val="lowerRoman"/>
      <w:start w:val="1"/>
    </w:lvl>
  </w:abstractNum>
  <w:abstractNum w:abstractNumId="168">
    <w:nsid w:val="52D7B105"/>
    <w:multiLevelType w:val="hybridMultilevel"/>
    <w:lvl w:ilvl="0">
      <w:lvlJc w:val="left"/>
      <w:lvlText w:val="(%1)"/>
      <w:numFmt w:val="lowerLetter"/>
      <w:start w:val="2"/>
    </w:lvl>
  </w:abstractNum>
  <w:abstractNum w:abstractNumId="169">
    <w:nsid w:val="2E8A6394"/>
    <w:multiLevelType w:val="hybridMultilevel"/>
    <w:lvl w:ilvl="0">
      <w:lvlJc w:val="left"/>
      <w:lvlText w:val="%1"/>
      <w:numFmt w:val="decimal"/>
      <w:start w:val="1"/>
    </w:lvl>
    <w:lvl w:ilvl="1">
      <w:lvlJc w:val="left"/>
      <w:lvlText w:val="(%2)"/>
      <w:numFmt w:val="lowerLetter"/>
      <w:start w:val="1"/>
    </w:lvl>
  </w:abstractNum>
  <w:abstractNum w:abstractNumId="170">
    <w:nsid w:val="24E60401"/>
    <w:multiLevelType w:val="hybridMultilevel"/>
    <w:lvl w:ilvl="0">
      <w:lvlJc w:val="left"/>
      <w:lvlText w:val="(%1)"/>
      <w:numFmt w:val="decimal"/>
      <w:start w:val="1"/>
    </w:lvl>
    <w:lvl w:ilvl="1">
      <w:lvlJc w:val="left"/>
      <w:lvlText w:val="(%2)"/>
      <w:numFmt w:val="lowerLetter"/>
      <w:start w:val="2"/>
    </w:lvl>
  </w:abstractNum>
  <w:abstractNum w:abstractNumId="171">
    <w:nsid w:val="2A6AD9BE"/>
    <w:multiLevelType w:val="hybridMultilevel"/>
    <w:lvl w:ilvl="0">
      <w:lvlJc w:val="left"/>
      <w:lvlText w:val="(%1)"/>
      <w:numFmt w:val="lowerLetter"/>
      <w:start w:val="4"/>
    </w:lvl>
  </w:abstractNum>
  <w:abstractNum w:abstractNumId="172">
    <w:nsid w:val="BAAC1B4"/>
    <w:multiLevelType w:val="hybridMultilevel"/>
    <w:lvl w:ilvl="0">
      <w:lvlJc w:val="left"/>
      <w:lvlText w:val="(%1)"/>
      <w:numFmt w:val="lowerLetter"/>
      <w:start w:val="2"/>
    </w:lvl>
  </w:abstractNum>
  <w:abstractNum w:abstractNumId="173">
    <w:nsid w:val="36B2ACBC"/>
    <w:multiLevelType w:val="hybridMultilevel"/>
    <w:lvl w:ilvl="0">
      <w:lvlJc w:val="left"/>
      <w:lvlText w:val="(%1)"/>
      <w:numFmt w:val="lowerLetter"/>
      <w:start w:val="3"/>
    </w:lvl>
  </w:abstractNum>
  <w:abstractNum w:abstractNumId="174">
    <w:nsid w:val="779D854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2026-05-14T07:02:20Z</dcterms:created>
  <dcterms:modified xsi:type="dcterms:W3CDTF">2026-05-14T07:02:20Z</dcterms:modified>
</cp:coreProperties>
</file>