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55" w:lineRule="exact"/>
        <w:rPr>
          <w:sz w:val="24"/>
          <w:szCs w:val="24"/>
          <w:color w:val="auto"/>
        </w:rPr>
      </w:pPr>
    </w:p>
    <w:p>
      <w:pPr>
        <w:jc w:val="center"/>
        <w:ind w:right="-99"/>
        <w:spacing w:after="0"/>
        <w:rPr>
          <w:sz w:val="20"/>
          <w:szCs w:val="20"/>
          <w:color w:val="auto"/>
        </w:rPr>
      </w:pPr>
      <w:r>
        <w:rPr>
          <w:rFonts w:ascii="Calibri" w:cs="Calibri" w:eastAsia="Calibri" w:hAnsi="Calibri"/>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Calibri" w:cs="Calibri" w:eastAsia="Calibri" w:hAnsi="Calibri"/>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ind w:left="3920" w:right="2620" w:hanging="3248"/>
        <w:spacing w:after="0" w:line="331" w:lineRule="auto"/>
        <w:tabs>
          <w:tab w:leader="none" w:pos="12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b w:val="1"/>
          <w:bCs w:val="1"/>
          <w:color w:val="auto"/>
        </w:rPr>
        <w:t>QUARTERLY REPORT PURSUANT TO SECTION 13 OR 15(d) OF THE SECURITIES EXCHANGE ACT OF 1934 For the quarterly period ended March 31, 2023</w:t>
      </w:r>
    </w:p>
    <w:p>
      <w:pPr>
        <w:jc w:val="center"/>
        <w:ind w:right="-99"/>
        <w:spacing w:after="0" w:line="236" w:lineRule="auto"/>
        <w:rPr>
          <w:sz w:val="20"/>
          <w:szCs w:val="20"/>
          <w:color w:val="auto"/>
        </w:rPr>
      </w:pPr>
      <w:r>
        <w:rPr>
          <w:rFonts w:ascii="Calibri" w:cs="Calibri" w:eastAsia="Calibri" w:hAnsi="Calibri"/>
          <w:sz w:val="18"/>
          <w:szCs w:val="18"/>
          <w:b w:val="1"/>
          <w:bCs w:val="1"/>
          <w:color w:val="auto"/>
        </w:rPr>
        <w:t>or</w:t>
      </w:r>
    </w:p>
    <w:p>
      <w:pPr>
        <w:spacing w:after="0" w:line="91" w:lineRule="exact"/>
        <w:rPr>
          <w:sz w:val="24"/>
          <w:szCs w:val="24"/>
          <w:color w:val="auto"/>
        </w:rPr>
      </w:pPr>
    </w:p>
    <w:p>
      <w:pPr>
        <w:ind w:left="1200" w:hanging="528"/>
        <w:spacing w:after="0"/>
        <w:tabs>
          <w:tab w:leader="none" w:pos="1200" w:val="left"/>
        </w:tabs>
        <w:numPr>
          <w:ilvl w:val="0"/>
          <w:numId w:val="2"/>
        </w:numPr>
        <w:rPr>
          <w:rFonts w:ascii="MS PGothic" w:cs="MS PGothic" w:eastAsia="MS PGothic" w:hAnsi="MS PGothic"/>
          <w:sz w:val="18"/>
          <w:szCs w:val="18"/>
          <w:color w:val="auto"/>
        </w:rPr>
      </w:pPr>
      <w:r>
        <w:rPr>
          <w:rFonts w:ascii="Calibri" w:cs="Calibri" w:eastAsia="Calibri" w:hAnsi="Calibri"/>
          <w:sz w:val="18"/>
          <w:szCs w:val="18"/>
          <w:b w:val="1"/>
          <w:bCs w:val="1"/>
          <w:color w:val="auto"/>
        </w:rPr>
        <w:t>TRANSITION REPORT PURSUANT TO SECTION 13 OR 15(d) OF THE SECURITIES EXCHANGE ACT OF 1934</w:t>
      </w:r>
    </w:p>
    <w:p>
      <w:pPr>
        <w:spacing w:after="0" w:line="60" w:lineRule="exact"/>
        <w:rPr>
          <w:sz w:val="24"/>
          <w:szCs w:val="24"/>
          <w:color w:val="auto"/>
        </w:rPr>
      </w:pPr>
    </w:p>
    <w:tbl>
      <w:tblPr>
        <w:tblLayout w:type="fixed"/>
        <w:tblInd w:w="360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Calibri" w:cs="Calibri" w:eastAsia="Calibri" w:hAnsi="Calibri"/>
                <w:sz w:val="18"/>
                <w:szCs w:val="18"/>
                <w:b w:val="1"/>
                <w:bCs w:val="1"/>
                <w:color w:val="auto"/>
              </w:rPr>
              <w:t>For the transiton period from</w:t>
            </w:r>
          </w:p>
        </w:tc>
        <w:tc>
          <w:tcPr>
            <w:tcW w:w="800" w:type="dxa"/>
            <w:vAlign w:val="bottom"/>
            <w:tcBorders>
              <w:bottom w:val="single" w:sz="8" w:color="auto"/>
            </w:tcBorders>
          </w:tcPr>
          <w:p>
            <w:pPr>
              <w:spacing w:after="0"/>
              <w:rPr>
                <w:sz w:val="19"/>
                <w:szCs w:val="19"/>
                <w:color w:val="auto"/>
              </w:rPr>
            </w:pPr>
          </w:p>
        </w:tc>
        <w:tc>
          <w:tcPr>
            <w:tcW w:w="180" w:type="dxa"/>
            <w:vAlign w:val="bottom"/>
          </w:tcPr>
          <w:p>
            <w:pPr>
              <w:ind w:left="40"/>
              <w:spacing w:after="0"/>
              <w:rPr>
                <w:sz w:val="20"/>
                <w:szCs w:val="20"/>
                <w:color w:val="auto"/>
              </w:rPr>
            </w:pPr>
            <w:r>
              <w:rPr>
                <w:rFonts w:ascii="Calibri" w:cs="Calibri" w:eastAsia="Calibri" w:hAnsi="Calibri"/>
                <w:sz w:val="18"/>
                <w:szCs w:val="18"/>
                <w:b w:val="1"/>
                <w:bCs w:val="1"/>
                <w:color w:val="auto"/>
                <w:w w:val="75"/>
              </w:rPr>
              <w:t>to</w:t>
            </w:r>
          </w:p>
        </w:tc>
      </w:tr>
      <w:tr>
        <w:trPr>
          <w:trHeight w:val="308"/>
        </w:trPr>
        <w:tc>
          <w:tcPr>
            <w:tcW w:w="3200" w:type="dxa"/>
            <w:vAlign w:val="bottom"/>
            <w:gridSpan w:val="3"/>
          </w:tcPr>
          <w:p>
            <w:pPr>
              <w:ind w:left="860"/>
              <w:spacing w:after="0"/>
              <w:rPr>
                <w:sz w:val="20"/>
                <w:szCs w:val="20"/>
                <w:color w:val="auto"/>
              </w:rPr>
            </w:pPr>
            <w:r>
              <w:rPr>
                <w:rFonts w:ascii="Calibri" w:cs="Calibri" w:eastAsia="Calibri" w:hAnsi="Calibri"/>
                <w:sz w:val="18"/>
                <w:szCs w:val="18"/>
                <w:b w:val="1"/>
                <w:bCs w:val="1"/>
                <w:color w:val="auto"/>
                <w:w w:val="99"/>
              </w:rPr>
              <w:t>Commission fle number 1-5667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tbl>
      <w:tblPr>
        <w:tblLayout w:type="fixed"/>
        <w:tblInd w:w="1660" w:type="dxa"/>
        <w:tblCellMar>
          <w:top w:w="0" w:type="dxa"/>
          <w:left w:w="0" w:type="dxa"/>
          <w:bottom w:w="0" w:type="dxa"/>
          <w:right w:w="0" w:type="dxa"/>
        </w:tblCellMar>
      </w:tblPr>
      <w:tr>
        <w:trPr>
          <w:trHeight w:val="525"/>
        </w:trPr>
        <w:tc>
          <w:tcPr>
            <w:tcW w:w="6020" w:type="dxa"/>
            <w:vAlign w:val="bottom"/>
            <w:gridSpan w:val="3"/>
          </w:tcPr>
          <w:p>
            <w:pPr>
              <w:jc w:val="center"/>
              <w:ind w:left="1821"/>
              <w:spacing w:after="0"/>
              <w:rPr>
                <w:sz w:val="20"/>
                <w:szCs w:val="20"/>
                <w:color w:val="auto"/>
              </w:rPr>
            </w:pPr>
            <w:r>
              <w:rPr>
                <w:rFonts w:ascii="Calibri" w:cs="Calibri" w:eastAsia="Calibri" w:hAnsi="Calibri"/>
                <w:sz w:val="43"/>
                <w:szCs w:val="43"/>
                <w:b w:val="1"/>
                <w:bCs w:val="1"/>
                <w:color w:val="auto"/>
              </w:rPr>
              <w:t>Cabot Corporaton</w:t>
            </w:r>
          </w:p>
        </w:tc>
        <w:tc>
          <w:tcPr>
            <w:tcW w:w="1300" w:type="dxa"/>
            <w:vAlign w:val="bottom"/>
          </w:tcPr>
          <w:p>
            <w:pPr>
              <w:spacing w:after="0"/>
              <w:rPr>
                <w:sz w:val="24"/>
                <w:szCs w:val="24"/>
                <w:color w:val="auto"/>
              </w:rPr>
            </w:pPr>
          </w:p>
        </w:tc>
      </w:tr>
      <w:tr>
        <w:trPr>
          <w:trHeight w:val="248"/>
        </w:trPr>
        <w:tc>
          <w:tcPr>
            <w:tcW w:w="6020" w:type="dxa"/>
            <w:vAlign w:val="bottom"/>
            <w:gridSpan w:val="3"/>
          </w:tcPr>
          <w:p>
            <w:pPr>
              <w:jc w:val="center"/>
              <w:ind w:left="1801"/>
              <w:spacing w:after="0"/>
              <w:rPr>
                <w:sz w:val="20"/>
                <w:szCs w:val="20"/>
                <w:color w:val="auto"/>
              </w:rPr>
            </w:pPr>
            <w:r>
              <w:rPr>
                <w:rFonts w:ascii="Calibri" w:cs="Calibri" w:eastAsia="Calibri" w:hAnsi="Calibri"/>
                <w:sz w:val="18"/>
                <w:szCs w:val="18"/>
                <w:b w:val="1"/>
                <w:bCs w:val="1"/>
                <w:color w:val="auto"/>
                <w:w w:val="98"/>
              </w:rPr>
              <w:t>(Exact name of registrant as specifed in its charter)</w:t>
            </w:r>
          </w:p>
        </w:tc>
        <w:tc>
          <w:tcPr>
            <w:tcW w:w="1300" w:type="dxa"/>
            <w:vAlign w:val="bottom"/>
          </w:tcPr>
          <w:p>
            <w:pPr>
              <w:spacing w:after="0"/>
              <w:rPr>
                <w:sz w:val="21"/>
                <w:szCs w:val="21"/>
                <w:color w:val="auto"/>
              </w:rPr>
            </w:pPr>
          </w:p>
        </w:tc>
      </w:tr>
      <w:tr>
        <w:trPr>
          <w:trHeight w:val="145"/>
        </w:trPr>
        <w:tc>
          <w:tcPr>
            <w:tcW w:w="28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416"/>
        </w:trPr>
        <w:tc>
          <w:tcPr>
            <w:tcW w:w="6020" w:type="dxa"/>
            <w:vAlign w:val="bottom"/>
            <w:gridSpan w:val="3"/>
          </w:tcPr>
          <w:p>
            <w:pPr>
              <w:jc w:val="center"/>
              <w:ind w:right="3700"/>
              <w:spacing w:after="0"/>
              <w:rPr>
                <w:sz w:val="20"/>
                <w:szCs w:val="20"/>
                <w:color w:val="auto"/>
              </w:rPr>
            </w:pPr>
            <w:r>
              <w:rPr>
                <w:rFonts w:ascii="Calibri" w:cs="Calibri" w:eastAsia="Calibri" w:hAnsi="Calibri"/>
                <w:sz w:val="18"/>
                <w:szCs w:val="18"/>
                <w:b w:val="1"/>
                <w:bCs w:val="1"/>
                <w:color w:val="auto"/>
                <w:w w:val="95"/>
              </w:rPr>
              <w:t>Delaware</w:t>
            </w:r>
          </w:p>
        </w:tc>
        <w:tc>
          <w:tcPr>
            <w:tcW w:w="1300" w:type="dxa"/>
            <w:vAlign w:val="bottom"/>
          </w:tcPr>
          <w:p>
            <w:pPr>
              <w:jc w:val="center"/>
              <w:ind w:left="121"/>
              <w:spacing w:after="0"/>
              <w:rPr>
                <w:sz w:val="20"/>
                <w:szCs w:val="20"/>
                <w:color w:val="auto"/>
              </w:rPr>
            </w:pPr>
            <w:r>
              <w:rPr>
                <w:rFonts w:ascii="Calibri" w:cs="Calibri" w:eastAsia="Calibri" w:hAnsi="Calibri"/>
                <w:sz w:val="18"/>
                <w:szCs w:val="18"/>
                <w:b w:val="1"/>
                <w:bCs w:val="1"/>
                <w:color w:val="auto"/>
                <w:w w:val="98"/>
              </w:rPr>
              <w:t>04-2271897</w:t>
            </w:r>
          </w:p>
        </w:tc>
      </w:tr>
      <w:tr>
        <w:trPr>
          <w:trHeight w:val="206"/>
        </w:trPr>
        <w:tc>
          <w:tcPr>
            <w:tcW w:w="6020" w:type="dxa"/>
            <w:vAlign w:val="bottom"/>
            <w:gridSpan w:val="3"/>
          </w:tcPr>
          <w:p>
            <w:pPr>
              <w:jc w:val="center"/>
              <w:ind w:right="3700"/>
              <w:spacing w:after="0"/>
              <w:rPr>
                <w:sz w:val="20"/>
                <w:szCs w:val="20"/>
                <w:color w:val="auto"/>
              </w:rPr>
            </w:pPr>
            <w:r>
              <w:rPr>
                <w:rFonts w:ascii="Calibri" w:cs="Calibri" w:eastAsia="Calibri" w:hAnsi="Calibri"/>
                <w:sz w:val="14"/>
                <w:szCs w:val="14"/>
                <w:b w:val="1"/>
                <w:bCs w:val="1"/>
                <w:color w:val="auto"/>
              </w:rPr>
              <w:t>(State or other jurisdicton of</w:t>
            </w:r>
          </w:p>
        </w:tc>
        <w:tc>
          <w:tcPr>
            <w:tcW w:w="13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(I.R.S. Employer</w:t>
            </w:r>
          </w:p>
        </w:tc>
      </w:tr>
      <w:tr>
        <w:trPr>
          <w:trHeight w:val="175"/>
        </w:trPr>
        <w:tc>
          <w:tcPr>
            <w:tcW w:w="6020" w:type="dxa"/>
            <w:vAlign w:val="bottom"/>
            <w:gridSpan w:val="3"/>
          </w:tcPr>
          <w:p>
            <w:pPr>
              <w:jc w:val="center"/>
              <w:ind w:right="3700"/>
              <w:spacing w:after="0"/>
              <w:rPr>
                <w:sz w:val="20"/>
                <w:szCs w:val="20"/>
                <w:color w:val="auto"/>
              </w:rPr>
            </w:pPr>
            <w:r>
              <w:rPr>
                <w:rFonts w:ascii="Calibri" w:cs="Calibri" w:eastAsia="Calibri" w:hAnsi="Calibri"/>
                <w:sz w:val="14"/>
                <w:szCs w:val="14"/>
                <w:b w:val="1"/>
                <w:bCs w:val="1"/>
                <w:color w:val="auto"/>
              </w:rPr>
              <w:t>incorporaton or organizaton)</w:t>
            </w:r>
          </w:p>
        </w:tc>
        <w:tc>
          <w:tcPr>
            <w:tcW w:w="1300" w:type="dxa"/>
            <w:vAlign w:val="bottom"/>
          </w:tcPr>
          <w:p>
            <w:pPr>
              <w:jc w:val="center"/>
              <w:ind w:left="141"/>
              <w:spacing w:after="0"/>
              <w:rPr>
                <w:sz w:val="20"/>
                <w:szCs w:val="20"/>
                <w:color w:val="auto"/>
              </w:rPr>
            </w:pPr>
            <w:r>
              <w:rPr>
                <w:rFonts w:ascii="Calibri" w:cs="Calibri" w:eastAsia="Calibri" w:hAnsi="Calibri"/>
                <w:sz w:val="14"/>
                <w:szCs w:val="14"/>
                <w:b w:val="1"/>
                <w:bCs w:val="1"/>
                <w:color w:val="auto"/>
              </w:rPr>
              <w:t>Identfcaton No.)</w:t>
            </w:r>
          </w:p>
        </w:tc>
      </w:tr>
      <w:tr>
        <w:trPr>
          <w:trHeight w:val="348"/>
        </w:trPr>
        <w:tc>
          <w:tcPr>
            <w:tcW w:w="6020" w:type="dxa"/>
            <w:vAlign w:val="bottom"/>
            <w:gridSpan w:val="3"/>
          </w:tcPr>
          <w:p>
            <w:pPr>
              <w:jc w:val="center"/>
              <w:ind w:right="3720"/>
              <w:spacing w:after="0"/>
              <w:rPr>
                <w:sz w:val="20"/>
                <w:szCs w:val="20"/>
                <w:color w:val="auto"/>
              </w:rPr>
            </w:pPr>
            <w:r>
              <w:rPr>
                <w:rFonts w:ascii="Calibri" w:cs="Calibri" w:eastAsia="Calibri" w:hAnsi="Calibri"/>
                <w:sz w:val="18"/>
                <w:szCs w:val="18"/>
                <w:b w:val="1"/>
                <w:bCs w:val="1"/>
                <w:color w:val="auto"/>
                <w:w w:val="97"/>
              </w:rPr>
              <w:t>Two Seaport Lane</w:t>
            </w:r>
          </w:p>
        </w:tc>
        <w:tc>
          <w:tcPr>
            <w:tcW w:w="1300" w:type="dxa"/>
            <w:vAlign w:val="bottom"/>
          </w:tcPr>
          <w:p>
            <w:pPr>
              <w:spacing w:after="0"/>
              <w:rPr>
                <w:sz w:val="24"/>
                <w:szCs w:val="24"/>
                <w:color w:val="auto"/>
              </w:rPr>
            </w:pPr>
          </w:p>
        </w:tc>
      </w:tr>
      <w:tr>
        <w:trPr>
          <w:trHeight w:val="216"/>
        </w:trPr>
        <w:tc>
          <w:tcPr>
            <w:tcW w:w="6020" w:type="dxa"/>
            <w:vAlign w:val="bottom"/>
            <w:gridSpan w:val="3"/>
          </w:tcPr>
          <w:p>
            <w:pPr>
              <w:jc w:val="center"/>
              <w:ind w:right="3720"/>
              <w:spacing w:after="0" w:line="216" w:lineRule="exact"/>
              <w:rPr>
                <w:sz w:val="20"/>
                <w:szCs w:val="20"/>
                <w:color w:val="auto"/>
              </w:rPr>
            </w:pPr>
            <w:r>
              <w:rPr>
                <w:rFonts w:ascii="Calibri" w:cs="Calibri" w:eastAsia="Calibri" w:hAnsi="Calibri"/>
                <w:sz w:val="18"/>
                <w:szCs w:val="18"/>
                <w:b w:val="1"/>
                <w:bCs w:val="1"/>
                <w:color w:val="auto"/>
              </w:rPr>
              <w:t>Boston, Massachusets</w:t>
            </w:r>
          </w:p>
        </w:tc>
        <w:tc>
          <w:tcPr>
            <w:tcW w:w="1300" w:type="dxa"/>
            <w:vAlign w:val="bottom"/>
          </w:tcPr>
          <w:p>
            <w:pPr>
              <w:jc w:val="center"/>
              <w:ind w:left="121"/>
              <w:spacing w:after="0" w:line="216" w:lineRule="exact"/>
              <w:rPr>
                <w:sz w:val="20"/>
                <w:szCs w:val="20"/>
                <w:color w:val="auto"/>
              </w:rPr>
            </w:pPr>
            <w:r>
              <w:rPr>
                <w:rFonts w:ascii="Calibri" w:cs="Calibri" w:eastAsia="Calibri" w:hAnsi="Calibri"/>
                <w:sz w:val="18"/>
                <w:szCs w:val="18"/>
                <w:b w:val="1"/>
                <w:bCs w:val="1"/>
                <w:color w:val="auto"/>
                <w:w w:val="98"/>
              </w:rPr>
              <w:t>02210-2019</w:t>
            </w:r>
          </w:p>
        </w:tc>
      </w:tr>
      <w:tr>
        <w:trPr>
          <w:trHeight w:val="206"/>
        </w:trPr>
        <w:tc>
          <w:tcPr>
            <w:tcW w:w="6020" w:type="dxa"/>
            <w:vAlign w:val="bottom"/>
            <w:gridSpan w:val="3"/>
          </w:tcPr>
          <w:p>
            <w:pPr>
              <w:jc w:val="center"/>
              <w:ind w:right="3720"/>
              <w:spacing w:after="0"/>
              <w:rPr>
                <w:sz w:val="20"/>
                <w:szCs w:val="20"/>
                <w:color w:val="auto"/>
              </w:rPr>
            </w:pPr>
            <w:r>
              <w:rPr>
                <w:rFonts w:ascii="Calibri" w:cs="Calibri" w:eastAsia="Calibri" w:hAnsi="Calibri"/>
                <w:sz w:val="14"/>
                <w:szCs w:val="14"/>
                <w:b w:val="1"/>
                <w:bCs w:val="1"/>
                <w:color w:val="auto"/>
              </w:rPr>
              <w:t>(Address of principal executve ofces)</w:t>
            </w:r>
          </w:p>
        </w:tc>
        <w:tc>
          <w:tcPr>
            <w:tcW w:w="1300" w:type="dxa"/>
            <w:vAlign w:val="bottom"/>
          </w:tcPr>
          <w:p>
            <w:pPr>
              <w:jc w:val="center"/>
              <w:ind w:left="121"/>
              <w:spacing w:after="0"/>
              <w:rPr>
                <w:sz w:val="20"/>
                <w:szCs w:val="20"/>
                <w:color w:val="auto"/>
              </w:rPr>
            </w:pPr>
            <w:r>
              <w:rPr>
                <w:rFonts w:ascii="Calibri" w:cs="Calibri" w:eastAsia="Calibri" w:hAnsi="Calibri"/>
                <w:sz w:val="14"/>
                <w:szCs w:val="14"/>
                <w:b w:val="1"/>
                <w:bCs w:val="1"/>
                <w:color w:val="auto"/>
              </w:rPr>
              <w:t>(Zip Code)</w:t>
            </w:r>
          </w:p>
        </w:tc>
      </w:tr>
    </w:tbl>
    <w:p>
      <w:pPr>
        <w:spacing w:after="0" w:line="87" w:lineRule="exact"/>
        <w:rPr>
          <w:sz w:val="24"/>
          <w:szCs w:val="24"/>
          <w:color w:val="auto"/>
        </w:rPr>
      </w:pPr>
    </w:p>
    <w:p>
      <w:pPr>
        <w:jc w:val="center"/>
        <w:ind w:right="-99"/>
        <w:spacing w:after="0"/>
        <w:rPr>
          <w:sz w:val="20"/>
          <w:szCs w:val="20"/>
          <w:color w:val="auto"/>
        </w:rPr>
      </w:pPr>
      <w:r>
        <w:rPr>
          <w:rFonts w:ascii="Calibri" w:cs="Calibri" w:eastAsia="Calibri" w:hAnsi="Calibri"/>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Calibri" w:cs="Calibri" w:eastAsia="Calibri" w:hAnsi="Calibri"/>
          <w:sz w:val="17"/>
          <w:szCs w:val="17"/>
          <w:color w:val="auto"/>
        </w:rPr>
        <w:t>Securites registered pursuant to Secton 12(b) of the Securites Exchange Act of 1934:</w:t>
      </w:r>
    </w:p>
    <w:p>
      <w:pPr>
        <w:spacing w:after="0" w:line="83" w:lineRule="exact"/>
        <w:rPr>
          <w:sz w:val="24"/>
          <w:szCs w:val="24"/>
          <w:color w:val="auto"/>
        </w:rPr>
      </w:pPr>
    </w:p>
    <w:tbl>
      <w:tblPr>
        <w:tblLayout w:type="fixed"/>
        <w:tblInd w:w="590" w:type="dxa"/>
        <w:tblCellMar>
          <w:top w:w="0" w:type="dxa"/>
          <w:left w:w="0" w:type="dxa"/>
          <w:bottom w:w="0" w:type="dxa"/>
          <w:right w:w="0" w:type="dxa"/>
        </w:tblCellMar>
      </w:tblPr>
      <w:tr>
        <w:trPr>
          <w:trHeight w:val="232"/>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w w:val="98"/>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Name of each exchange on which registered</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173"/>
        </w:trPr>
        <w:tc>
          <w:tcPr>
            <w:tcW w:w="3680" w:type="dxa"/>
            <w:vAlign w:val="bottom"/>
            <w:tcBorders>
              <w:left w:val="single" w:sz="8" w:color="auto"/>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Common Stock, $1 par value per share</w:t>
            </w:r>
          </w:p>
        </w:tc>
        <w:tc>
          <w:tcPr>
            <w:tcW w:w="21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CBT</w:t>
            </w:r>
          </w:p>
        </w:tc>
        <w:tc>
          <w:tcPr>
            <w:tcW w:w="42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w w:val="99"/>
              </w:rPr>
              <w:t>The New York Stock Exchange</w:t>
            </w:r>
          </w:p>
        </w:tc>
      </w:tr>
      <w:tr>
        <w:trPr>
          <w:trHeight w:val="33"/>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bl>
    <w:p>
      <w:pPr>
        <w:spacing w:after="0" w:line="54" w:lineRule="exact"/>
        <w:rPr>
          <w:sz w:val="24"/>
          <w:szCs w:val="24"/>
          <w:color w:val="auto"/>
        </w:rPr>
      </w:pPr>
    </w:p>
    <w:p>
      <w:pPr>
        <w:ind w:right="60" w:firstLine="562"/>
        <w:spacing w:after="0" w:line="222" w:lineRule="exact"/>
        <w:rPr>
          <w:sz w:val="20"/>
          <w:szCs w:val="20"/>
          <w:color w:val="auto"/>
        </w:rPr>
      </w:pPr>
      <w:r>
        <w:rPr>
          <w:rFonts w:ascii="Calibri" w:cs="Calibri" w:eastAsia="Calibri" w:hAnsi="Calibri"/>
          <w:sz w:val="17"/>
          <w:szCs w:val="17"/>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51" w:lineRule="exact"/>
        <w:rPr>
          <w:sz w:val="24"/>
          <w:szCs w:val="24"/>
          <w:color w:val="auto"/>
        </w:rPr>
      </w:pPr>
    </w:p>
    <w:p>
      <w:pPr>
        <w:jc w:val="both"/>
        <w:ind w:firstLine="562"/>
        <w:spacing w:after="0" w:line="222" w:lineRule="exact"/>
        <w:rPr>
          <w:sz w:val="20"/>
          <w:szCs w:val="20"/>
          <w:color w:val="auto"/>
        </w:rPr>
      </w:pPr>
      <w:r>
        <w:rPr>
          <w:rFonts w:ascii="Calibri" w:cs="Calibri" w:eastAsia="Calibri" w:hAnsi="Calibri"/>
          <w:sz w:val="17"/>
          <w:szCs w:val="17"/>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51" w:lineRule="exact"/>
        <w:rPr>
          <w:sz w:val="24"/>
          <w:szCs w:val="24"/>
          <w:color w:val="auto"/>
        </w:rPr>
      </w:pPr>
    </w:p>
    <w:p>
      <w:pPr>
        <w:jc w:val="both"/>
        <w:ind w:right="40" w:firstLine="469"/>
        <w:spacing w:after="0" w:line="234" w:lineRule="auto"/>
        <w:rPr>
          <w:sz w:val="20"/>
          <w:szCs w:val="20"/>
          <w:color w:val="auto"/>
        </w:rPr>
      </w:pPr>
      <w:r>
        <w:rPr>
          <w:rFonts w:ascii="Calibri" w:cs="Calibri" w:eastAsia="Calibri" w:hAnsi="Calibri"/>
          <w:sz w:val="17"/>
          <w:szCs w:val="17"/>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69"/>
        </w:trPr>
        <w:tc>
          <w:tcPr>
            <w:tcW w:w="2220" w:type="dxa"/>
            <w:vAlign w:val="bottom"/>
          </w:tcPr>
          <w:p>
            <w:pPr>
              <w:spacing w:after="0"/>
              <w:rPr>
                <w:sz w:val="20"/>
                <w:szCs w:val="20"/>
                <w:color w:val="auto"/>
              </w:rPr>
            </w:pPr>
            <w:r>
              <w:rPr>
                <w:rFonts w:ascii="Calibri" w:cs="Calibri" w:eastAsia="Calibri" w:hAnsi="Calibri"/>
                <w:sz w:val="17"/>
                <w:szCs w:val="17"/>
                <w:color w:val="auto"/>
              </w:rPr>
              <w:t>Large 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Accelerated fler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1"/>
        </w:trPr>
        <w:tc>
          <w:tcPr>
            <w:tcW w:w="2220" w:type="dxa"/>
            <w:vAlign w:val="bottom"/>
          </w:tcPr>
          <w:p>
            <w:pPr>
              <w:spacing w:after="0"/>
              <w:rPr>
                <w:sz w:val="20"/>
                <w:szCs w:val="20"/>
                <w:color w:val="auto"/>
              </w:rPr>
            </w:pPr>
            <w:r>
              <w:rPr>
                <w:rFonts w:ascii="Calibri" w:cs="Calibri" w:eastAsia="Calibri" w:hAnsi="Calibri"/>
                <w:sz w:val="17"/>
                <w:szCs w:val="17"/>
                <w:color w:val="auto"/>
              </w:rPr>
              <w:t>Non-accelerated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Smaller reportng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5"/>
        </w:trPr>
        <w:tc>
          <w:tcPr>
            <w:tcW w:w="2220" w:type="dxa"/>
            <w:vAlign w:val="bottom"/>
          </w:tcPr>
          <w:p>
            <w:pPr>
              <w:spacing w:after="0"/>
              <w:rPr>
                <w:sz w:val="20"/>
                <w:szCs w:val="20"/>
                <w:color w:val="auto"/>
              </w:rPr>
            </w:pPr>
            <w:r>
              <w:rPr>
                <w:rFonts w:ascii="Calibri" w:cs="Calibri" w:eastAsia="Calibri" w:hAnsi="Calibri"/>
                <w:sz w:val="17"/>
                <w:szCs w:val="17"/>
                <w:color w:val="auto"/>
              </w:rPr>
              <w:t>Emerging growth company</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38" w:lineRule="exact"/>
        <w:rPr>
          <w:sz w:val="24"/>
          <w:szCs w:val="24"/>
          <w:color w:val="auto"/>
        </w:rPr>
      </w:pPr>
    </w:p>
    <w:p>
      <w:pPr>
        <w:jc w:val="both"/>
        <w:ind w:right="60" w:firstLine="509"/>
        <w:spacing w:after="0" w:line="23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left="520" w:right="1460"/>
        <w:spacing w:after="0" w:line="262" w:lineRule="exact"/>
        <w:rPr>
          <w:sz w:val="20"/>
          <w:szCs w:val="20"/>
          <w:color w:val="auto"/>
        </w:rPr>
      </w:pPr>
      <w:r>
        <w:rPr>
          <w:rFonts w:ascii="Calibri" w:cs="Calibri" w:eastAsia="Calibri" w:hAnsi="Calibri"/>
          <w:sz w:val="17"/>
          <w:szCs w:val="17"/>
          <w:color w:val="auto"/>
        </w:rPr>
        <w:t xml:space="preserve">Indicate by check mark whether the registrant is a shell company (as defned in Rule 12b-2 of the Exchange Act).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The Company had 56,146,458 shares of common stock, $1.00 par value per share, outstanding as of 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432435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8"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80" w:type="dxa"/>
            <w:vAlign w:val="bottom"/>
            <w:gridSpan w:val="5"/>
          </w:tcPr>
          <w:p>
            <w:pPr>
              <w:jc w:val="center"/>
              <w:ind w:right="3060"/>
              <w:spacing w:after="0"/>
              <w:rPr>
                <w:sz w:val="20"/>
                <w:szCs w:val="20"/>
                <w:color w:val="auto"/>
              </w:rPr>
            </w:pPr>
            <w:r>
              <w:rPr>
                <w:rFonts w:ascii="Calibri" w:cs="Calibri" w:eastAsia="Calibri" w:hAnsi="Calibri"/>
                <w:sz w:val="18"/>
                <w:szCs w:val="18"/>
                <w:b w:val="1"/>
                <w:bCs w:val="1"/>
                <w:color w:val="auto"/>
                <w:w w:val="98"/>
              </w:rPr>
              <w:t>INDEX</w:t>
            </w:r>
          </w:p>
        </w:tc>
        <w:tc>
          <w:tcPr>
            <w:tcW w:w="1840" w:type="dxa"/>
            <w:vAlign w:val="bottom"/>
          </w:tcPr>
          <w:p>
            <w:pPr>
              <w:spacing w:after="0"/>
              <w:rPr>
                <w:sz w:val="19"/>
                <w:szCs w:val="19"/>
                <w:color w:val="auto"/>
              </w:rPr>
            </w:pPr>
          </w:p>
        </w:tc>
      </w:tr>
      <w:tr>
        <w:trPr>
          <w:trHeight w:val="415"/>
        </w:trPr>
        <w:tc>
          <w:tcPr>
            <w:tcW w:w="660" w:type="dxa"/>
            <w:vAlign w:val="bottom"/>
          </w:tcPr>
          <w:p>
            <w:pPr>
              <w:ind w:left="20"/>
              <w:spacing w:after="0"/>
              <w:rPr>
                <w:sz w:val="20"/>
                <w:szCs w:val="20"/>
                <w:color w:val="auto"/>
              </w:rPr>
            </w:pPr>
            <w:r>
              <w:rPr>
                <w:rFonts w:ascii="Calibri" w:cs="Calibri" w:eastAsia="Calibri" w:hAnsi="Calibri"/>
                <w:sz w:val="18"/>
                <w:szCs w:val="18"/>
                <w:color w:val="auto"/>
              </w:rPr>
              <w:t>Part I.</w:t>
            </w:r>
          </w:p>
        </w:tc>
        <w:tc>
          <w:tcPr>
            <w:tcW w:w="8740" w:type="dxa"/>
            <w:vAlign w:val="bottom"/>
            <w:gridSpan w:val="15"/>
          </w:tcPr>
          <w:p>
            <w:pPr>
              <w:spacing w:after="0"/>
              <w:rPr>
                <w:sz w:val="20"/>
                <w:szCs w:val="20"/>
                <w:color w:val="auto"/>
              </w:rPr>
            </w:pPr>
            <w:r>
              <w:rPr>
                <w:rFonts w:ascii="Calibri" w:cs="Calibri" w:eastAsia="Calibri" w:hAnsi="Calibri"/>
                <w:sz w:val="18"/>
                <w:szCs w:val="18"/>
                <w:color w:val="0000FF"/>
              </w:rPr>
              <w:t>Financial Informaton</w:t>
            </w:r>
          </w:p>
        </w:tc>
        <w:tc>
          <w:tcPr>
            <w:tcW w:w="1840" w:type="dxa"/>
            <w:vAlign w:val="bottom"/>
          </w:tcPr>
          <w:p>
            <w:pPr>
              <w:spacing w:after="0"/>
              <w:rPr>
                <w:sz w:val="24"/>
                <w:szCs w:val="24"/>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1.</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Financial Statements (unaudited)</w:t>
            </w:r>
          </w:p>
        </w:tc>
        <w:tc>
          <w:tcPr>
            <w:tcW w:w="18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Operatons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Comprehensive Income (Loss)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4</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Balance Sheets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Cash Flows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7</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Consolidated Statements of Changes in Stockholders’ Equity</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8</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Notes to the Consolidated Financial Statements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10</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21</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3.</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30</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4.</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Controls and Procedures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30</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660" w:type="dxa"/>
            <w:vAlign w:val="bottom"/>
          </w:tcPr>
          <w:p>
            <w:pPr>
              <w:ind w:left="20"/>
              <w:spacing w:after="0"/>
              <w:rPr>
                <w:sz w:val="20"/>
                <w:szCs w:val="20"/>
                <w:color w:val="auto"/>
              </w:rPr>
            </w:pPr>
            <w:r>
              <w:rPr>
                <w:rFonts w:ascii="Calibri" w:cs="Calibri" w:eastAsia="Calibri" w:hAnsi="Calibri"/>
                <w:sz w:val="18"/>
                <w:szCs w:val="18"/>
                <w:color w:val="auto"/>
              </w:rPr>
              <w:t>Part II.</w:t>
            </w:r>
          </w:p>
        </w:tc>
        <w:tc>
          <w:tcPr>
            <w:tcW w:w="8740" w:type="dxa"/>
            <w:vAlign w:val="bottom"/>
            <w:gridSpan w:val="15"/>
          </w:tcPr>
          <w:p>
            <w:pPr>
              <w:spacing w:after="0"/>
              <w:rPr>
                <w:sz w:val="20"/>
                <w:szCs w:val="20"/>
                <w:color w:val="auto"/>
              </w:rPr>
            </w:pPr>
            <w:r>
              <w:rPr>
                <w:rFonts w:ascii="Calibri" w:cs="Calibri" w:eastAsia="Calibri" w:hAnsi="Calibri"/>
                <w:sz w:val="18"/>
                <w:szCs w:val="18"/>
                <w:color w:val="0000FF"/>
              </w:rPr>
              <w:t>Other Informaton</w:t>
            </w:r>
          </w:p>
        </w:tc>
        <w:tc>
          <w:tcPr>
            <w:tcW w:w="1840" w:type="dxa"/>
            <w:vAlign w:val="bottom"/>
          </w:tcPr>
          <w:p>
            <w:pPr>
              <w:spacing w:after="0"/>
              <w:rPr>
                <w:sz w:val="24"/>
                <w:szCs w:val="24"/>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31</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6.</w:t>
            </w:r>
          </w:p>
        </w:tc>
        <w:tc>
          <w:tcPr>
            <w:tcW w:w="7840" w:type="dxa"/>
            <w:vAlign w:val="bottom"/>
            <w:gridSpan w:val="14"/>
          </w:tcPr>
          <w:p>
            <w:pPr>
              <w:spacing w:after="0"/>
              <w:rPr>
                <w:sz w:val="20"/>
                <w:szCs w:val="20"/>
                <w:color w:val="auto"/>
              </w:rPr>
            </w:pPr>
            <w:r>
              <w:rPr>
                <w:rFonts w:ascii="Calibri" w:cs="Calibri" w:eastAsia="Calibri" w:hAnsi="Calibri"/>
                <w:sz w:val="18"/>
                <w:szCs w:val="18"/>
                <w:color w:val="0000FF"/>
              </w:rPr>
              <w:t>Exhibits</w:t>
            </w:r>
          </w:p>
        </w:tc>
        <w:tc>
          <w:tcPr>
            <w:tcW w:w="1840" w:type="dxa"/>
            <w:vAlign w:val="bottom"/>
          </w:tcPr>
          <w:p>
            <w:pPr>
              <w:jc w:val="right"/>
              <w:spacing w:after="0"/>
              <w:rPr>
                <w:sz w:val="20"/>
                <w:szCs w:val="20"/>
                <w:color w:val="auto"/>
              </w:rPr>
            </w:pPr>
            <w:r>
              <w:rPr>
                <w:rFonts w:ascii="Calibri" w:cs="Calibri" w:eastAsia="Calibri" w:hAnsi="Calibri"/>
                <w:sz w:val="18"/>
                <w:szCs w:val="18"/>
                <w:color w:val="auto"/>
              </w:rPr>
              <w:t>31</w:t>
            </w:r>
          </w:p>
        </w:tc>
      </w:tr>
      <w:tr>
        <w:trPr>
          <w:trHeight w:val="632"/>
        </w:trPr>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Borders>
              <w:top w:val="single" w:sz="8" w:color="0000FF"/>
            </w:tcBorders>
            <w:gridSpan w:val="3"/>
          </w:tcPr>
          <w:p>
            <w:pPr>
              <w:spacing w:after="0"/>
              <w:rPr>
                <w:sz w:val="24"/>
                <w:szCs w:val="24"/>
                <w:color w:val="auto"/>
              </w:rPr>
            </w:pPr>
          </w:p>
        </w:tc>
        <w:tc>
          <w:tcPr>
            <w:tcW w:w="3660" w:type="dxa"/>
            <w:vAlign w:val="bottom"/>
            <w:gridSpan w:val="8"/>
          </w:tcPr>
          <w:p>
            <w:pPr>
              <w:jc w:val="right"/>
              <w:ind w:right="60"/>
              <w:spacing w:after="0"/>
              <w:rPr>
                <w:sz w:val="20"/>
                <w:szCs w:val="20"/>
                <w:color w:val="auto"/>
              </w:rPr>
            </w:pPr>
            <w:r>
              <w:rPr>
                <w:rFonts w:ascii="Calibri" w:cs="Calibri" w:eastAsia="Calibri" w:hAnsi="Calibri"/>
                <w:sz w:val="18"/>
                <w:szCs w:val="18"/>
                <w:color w:val="auto"/>
              </w:rPr>
              <w:t>2</w:t>
            </w: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8"/>
        </w:trPr>
        <w:tc>
          <w:tcPr>
            <w:tcW w:w="6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i w:val="1"/>
          <w:iCs w:val="1"/>
          <w:color w:val="auto"/>
        </w:rPr>
        <w:t>Part I. Financial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right"/>
              <w:ind w:right="428"/>
              <w:spacing w:after="0"/>
              <w:rPr>
                <w:sz w:val="20"/>
                <w:szCs w:val="20"/>
                <w:color w:val="auto"/>
              </w:rPr>
            </w:pPr>
            <w:r>
              <w:rPr>
                <w:rFonts w:ascii="Calibri" w:cs="Calibri" w:eastAsia="Calibri" w:hAnsi="Calibri"/>
                <w:sz w:val="14"/>
                <w:szCs w:val="14"/>
                <w:b w:val="1"/>
                <w:bCs w:val="1"/>
                <w:color w:val="auto"/>
              </w:rPr>
              <w:t>Three Months Ended March 31</w:t>
            </w:r>
          </w:p>
        </w:tc>
        <w:tc>
          <w:tcPr>
            <w:tcW w:w="200" w:type="dxa"/>
            <w:vAlign w:val="bottom"/>
          </w:tcPr>
          <w:p>
            <w:pPr>
              <w:spacing w:after="0"/>
              <w:rPr>
                <w:sz w:val="14"/>
                <w:szCs w:val="14"/>
                <w:color w:val="auto"/>
              </w:rPr>
            </w:pPr>
          </w:p>
        </w:tc>
        <w:tc>
          <w:tcPr>
            <w:tcW w:w="2160" w:type="dxa"/>
            <w:vAlign w:val="bottom"/>
            <w:gridSpan w:val="5"/>
          </w:tcPr>
          <w:p>
            <w:pPr>
              <w:jc w:val="right"/>
              <w:ind w:right="400"/>
              <w:spacing w:after="0"/>
              <w:rPr>
                <w:sz w:val="20"/>
                <w:szCs w:val="20"/>
                <w:color w:val="auto"/>
              </w:rPr>
            </w:pPr>
            <w:r>
              <w:rPr>
                <w:rFonts w:ascii="Calibri" w:cs="Calibri" w:eastAsia="Calibri" w:hAnsi="Calibri"/>
                <w:sz w:val="14"/>
                <w:szCs w:val="14"/>
                <w:b w:val="1"/>
                <w:bCs w:val="1"/>
                <w:color w:val="auto"/>
              </w:rPr>
              <w:t>Six Months Ended March 31</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2"/>
              <w:spacing w:after="0" w:line="164" w:lineRule="exact"/>
              <w:rPr>
                <w:sz w:val="20"/>
                <w:szCs w:val="20"/>
                <w:color w:val="auto"/>
              </w:rPr>
            </w:pPr>
            <w:r>
              <w:rPr>
                <w:rFonts w:ascii="Calibri" w:cs="Calibri" w:eastAsia="Calibri" w:hAnsi="Calibri"/>
                <w:sz w:val="14"/>
                <w:szCs w:val="14"/>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1"/>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72"/>
              <w:spacing w:after="0" w:line="164" w:lineRule="exact"/>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line="164"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(In millions, except</w:t>
            </w:r>
          </w:p>
        </w:tc>
        <w:tc>
          <w:tcPr>
            <w:tcW w:w="260" w:type="dxa"/>
            <w:vAlign w:val="bottom"/>
          </w:tcPr>
          <w:p>
            <w:pPr>
              <w:jc w:val="right"/>
              <w:spacing w:after="0" w:line="163" w:lineRule="exact"/>
              <w:rPr>
                <w:sz w:val="20"/>
                <w:szCs w:val="20"/>
                <w:color w:val="auto"/>
              </w:rPr>
            </w:pPr>
            <w:r>
              <w:rPr>
                <w:rFonts w:ascii="Calibri" w:cs="Calibri" w:eastAsia="Calibri" w:hAnsi="Calibri"/>
                <w:sz w:val="14"/>
                <w:szCs w:val="14"/>
                <w:b w:val="1"/>
                <w:bCs w:val="1"/>
                <w:color w:val="auto"/>
              </w:rPr>
              <w:t>per</w:t>
            </w:r>
          </w:p>
        </w:tc>
        <w:tc>
          <w:tcPr>
            <w:tcW w:w="100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share amounts)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1,033</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4"/>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1,998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823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860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1,607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Gross proft</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210</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1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Research and technical expenses</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Gain on bargain purchase of a business (Note C)</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(24 )</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(24 )</w:t>
            </w:r>
          </w:p>
        </w:tc>
        <w:tc>
          <w:tcPr>
            <w:tcW w:w="0" w:type="dxa"/>
            <w:vAlign w:val="bottom"/>
          </w:tcPr>
          <w:p>
            <w:pPr>
              <w:spacing w:after="0"/>
              <w:rPr>
                <w:sz w:val="1"/>
                <w:szCs w:val="1"/>
                <w:color w:val="auto"/>
              </w:rPr>
            </w:pPr>
          </w:p>
        </w:tc>
      </w:tr>
      <w:tr>
        <w:trPr>
          <w:trHeight w:val="208"/>
        </w:trPr>
        <w:tc>
          <w:tcPr>
            <w:tcW w:w="628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Income (loss) from operatons</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129</w:t>
            </w: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161</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234</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and dividend income</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(23 )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(11 )</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(45 )</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(23 )</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income (expense)</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(5 )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(7 )</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(10 )</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(8 )</w:t>
            </w:r>
          </w:p>
        </w:tc>
        <w:tc>
          <w:tcPr>
            <w:tcW w:w="0" w:type="dxa"/>
            <w:vAlign w:val="bottom"/>
          </w:tcPr>
          <w:p>
            <w:pPr>
              <w:spacing w:after="0"/>
              <w:rPr>
                <w:sz w:val="1"/>
                <w:szCs w:val="1"/>
                <w:color w:val="auto"/>
              </w:rPr>
            </w:pPr>
          </w:p>
        </w:tc>
      </w:tr>
      <w:tr>
        <w:trPr>
          <w:trHeight w:val="201"/>
        </w:trPr>
        <w:tc>
          <w:tcPr>
            <w:tcW w:w="6280" w:type="dxa"/>
            <w:vAlign w:val="bottom"/>
            <w:tcBorders>
              <w:top w:val="single" w:sz="8" w:color="CFF0FC"/>
            </w:tcBorders>
          </w:tcPr>
          <w:p>
            <w:pPr>
              <w:ind w:left="200"/>
              <w:spacing w:after="0" w:line="201" w:lineRule="exact"/>
              <w:rPr>
                <w:sz w:val="20"/>
                <w:szCs w:val="20"/>
                <w:color w:val="auto"/>
              </w:rPr>
            </w:pPr>
            <w:r>
              <w:rPr>
                <w:rFonts w:ascii="Calibri" w:cs="Calibri" w:eastAsia="Calibri" w:hAnsi="Calibri"/>
                <w:sz w:val="18"/>
                <w:szCs w:val="18"/>
                <w:color w:val="auto"/>
              </w:rPr>
              <w:t>Income (loss) before income taxes</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320"/>
              <w:spacing w:after="0" w:line="215" w:lineRule="exact"/>
              <w:rPr>
                <w:sz w:val="20"/>
                <w:szCs w:val="20"/>
                <w:color w:val="auto"/>
              </w:rPr>
            </w:pPr>
            <w:r>
              <w:rPr>
                <w:rFonts w:ascii="Calibri" w:cs="Calibri" w:eastAsia="Calibri" w:hAnsi="Calibri"/>
                <w:sz w:val="18"/>
                <w:szCs w:val="18"/>
                <w:color w:val="auto"/>
              </w:rPr>
              <w:t>and equity in earnings of afliated companies</w:t>
            </w:r>
          </w:p>
        </w:tc>
        <w:tc>
          <w:tcPr>
            <w:tcW w:w="1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(Provision) beneft for income taxes</w:t>
            </w: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(29 )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(36 )</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(49 )</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(24 )</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 net of tax</w:t>
            </w:r>
          </w:p>
        </w:tc>
        <w:tc>
          <w:tcPr>
            <w:tcW w:w="1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CFF0FC"/>
            </w:tcBorders>
            <w:shd w:val="clear" w:color="auto" w:fill="CFF0FC"/>
          </w:tcPr>
          <w:p>
            <w:pPr>
              <w:ind w:left="200"/>
              <w:spacing w:after="0" w:line="195" w:lineRule="exact"/>
              <w:rPr>
                <w:sz w:val="20"/>
                <w:szCs w:val="20"/>
                <w:color w:val="auto"/>
              </w:rPr>
            </w:pPr>
            <w:r>
              <w:rPr>
                <w:rFonts w:ascii="Calibri" w:cs="Calibri" w:eastAsia="Calibri" w:hAnsi="Calibri"/>
                <w:sz w:val="18"/>
                <w:szCs w:val="18"/>
                <w:color w:val="auto"/>
              </w:rPr>
              <w:t>Net income (loss)</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82</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ind w:left="20"/>
              <w:spacing w:after="0" w:line="207" w:lineRule="exact"/>
              <w:rPr>
                <w:sz w:val="20"/>
                <w:szCs w:val="20"/>
                <w:color w:val="auto"/>
              </w:rPr>
            </w:pPr>
            <w:r>
              <w:rPr>
                <w:rFonts w:ascii="Calibri" w:cs="Calibri" w:eastAsia="Calibri" w:hAnsi="Calibri"/>
                <w:sz w:val="18"/>
                <w:szCs w:val="18"/>
                <w:color w:val="auto"/>
              </w:rPr>
              <w:t>Net income (loss) atributable to noncontrolling interests, net</w:t>
            </w:r>
          </w:p>
        </w:tc>
        <w:tc>
          <w:tcPr>
            <w:tcW w:w="1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Calibri" w:cs="Calibri" w:eastAsia="Calibri" w:hAnsi="Calibri"/>
                <w:sz w:val="18"/>
                <w:szCs w:val="18"/>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8"/>
                <w:szCs w:val="18"/>
                <w:color w:val="auto"/>
              </w:rPr>
              <w:t>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140"/>
              <w:spacing w:after="0" w:line="215" w:lineRule="exact"/>
              <w:rPr>
                <w:sz w:val="20"/>
                <w:szCs w:val="20"/>
                <w:color w:val="auto"/>
              </w:rPr>
            </w:pPr>
            <w:r>
              <w:rPr>
                <w:rFonts w:ascii="Calibri" w:cs="Calibri" w:eastAsia="Calibri" w:hAnsi="Calibri"/>
                <w:sz w:val="18"/>
                <w:szCs w:val="18"/>
                <w:color w:val="auto"/>
              </w:rPr>
              <w:t>of tax</w:t>
            </w: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28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Net income (loss) atributable to Cabot Corporaton</w:t>
            </w:r>
          </w:p>
        </w:tc>
        <w:tc>
          <w:tcPr>
            <w:tcW w:w="18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86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75</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CFF0FC"/>
            </w:tcBorders>
            <w:shd w:val="clear" w:color="auto" w:fill="CFF0FC"/>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107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CFF0FC"/>
            </w:tcBorders>
            <w:shd w:val="clear" w:color="auto" w:fill="CFF0FC"/>
          </w:tcPr>
          <w:p>
            <w:pPr>
              <w:jc w:val="right"/>
              <w:ind w:right="14"/>
              <w:spacing w:after="0" w:line="213"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129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CFF0FC"/>
            </w:tcBorders>
            <w:shd w:val="clear" w:color="auto" w:fill="CFF0FC"/>
          </w:tcPr>
          <w:p>
            <w:pPr>
              <w:jc w:val="right"/>
              <w:ind w:right="30"/>
              <w:spacing w:after="0" w:line="213"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Weighted-average common shares outstanding:</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1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56.3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56.8</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56.7</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Earnings (loss) per common share:</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1.31</w:t>
            </w:r>
          </w:p>
        </w:tc>
        <w:tc>
          <w:tcPr>
            <w:tcW w:w="140" w:type="dxa"/>
            <w:vAlign w:val="bottom"/>
          </w:tcPr>
          <w:p>
            <w:pPr>
              <w:spacing w:after="0"/>
              <w:rPr>
                <w:sz w:val="18"/>
                <w:szCs w:val="18"/>
                <w:color w:val="auto"/>
              </w:rPr>
            </w:pPr>
          </w:p>
        </w:tc>
        <w:tc>
          <w:tcPr>
            <w:tcW w:w="38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1.86</w:t>
            </w:r>
          </w:p>
        </w:tc>
        <w:tc>
          <w:tcPr>
            <w:tcW w:w="260" w:type="dxa"/>
            <w:vAlign w:val="bottom"/>
          </w:tcPr>
          <w:p>
            <w:pPr>
              <w:spacing w:after="0"/>
              <w:rPr>
                <w:sz w:val="18"/>
                <w:szCs w:val="18"/>
                <w:color w:val="auto"/>
              </w:rPr>
            </w:pPr>
          </w:p>
        </w:tc>
        <w:tc>
          <w:tcPr>
            <w:tcW w:w="200" w:type="dxa"/>
            <w:vAlign w:val="bottom"/>
          </w:tcPr>
          <w:p>
            <w:pPr>
              <w:jc w:val="right"/>
              <w:ind w:right="14"/>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2.24</w:t>
            </w:r>
          </w:p>
        </w:tc>
        <w:tc>
          <w:tcPr>
            <w:tcW w:w="26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28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-3102610</wp:posOffset>
            </wp:positionV>
            <wp:extent cx="7747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-3102610</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-3102610</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-2476500</wp:posOffset>
            </wp:positionV>
            <wp:extent cx="7747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-2476500</wp:posOffset>
            </wp:positionV>
            <wp:extent cx="6858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-2476500</wp:posOffset>
            </wp:positionV>
            <wp:extent cx="6858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-1868170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-1868170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-1868170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-1259205</wp:posOffset>
            </wp:positionV>
            <wp:extent cx="24942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17970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 (LOSS)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540" w:type="dxa"/>
            <w:vAlign w:val="bottom"/>
            <w:gridSpan w:val="6"/>
          </w:tcPr>
          <w:p>
            <w:pPr>
              <w:jc w:val="right"/>
              <w:ind w:right="408"/>
              <w:spacing w:after="0"/>
              <w:rPr>
                <w:sz w:val="20"/>
                <w:szCs w:val="20"/>
                <w:color w:val="auto"/>
              </w:rPr>
            </w:pPr>
            <w:r>
              <w:rPr>
                <w:rFonts w:ascii="Calibri" w:cs="Calibri" w:eastAsia="Calibri" w:hAnsi="Calibri"/>
                <w:sz w:val="14"/>
                <w:szCs w:val="14"/>
                <w:b w:val="1"/>
                <w:bCs w:val="1"/>
                <w:color w:val="auto"/>
              </w:rPr>
              <w:t>Three Months Ended March 31</w:t>
            </w:r>
          </w:p>
        </w:tc>
        <w:tc>
          <w:tcPr>
            <w:tcW w:w="220" w:type="dxa"/>
            <w:vAlign w:val="bottom"/>
          </w:tcPr>
          <w:p>
            <w:pPr>
              <w:spacing w:after="0"/>
              <w:rPr>
                <w:sz w:val="14"/>
                <w:szCs w:val="14"/>
                <w:color w:val="auto"/>
              </w:rPr>
            </w:pPr>
          </w:p>
        </w:tc>
        <w:tc>
          <w:tcPr>
            <w:tcW w:w="2080" w:type="dxa"/>
            <w:vAlign w:val="bottom"/>
            <w:gridSpan w:val="5"/>
          </w:tcPr>
          <w:p>
            <w:pPr>
              <w:jc w:val="right"/>
              <w:ind w:right="360"/>
              <w:spacing w:after="0"/>
              <w:rPr>
                <w:sz w:val="20"/>
                <w:szCs w:val="20"/>
                <w:color w:val="auto"/>
              </w:rPr>
            </w:pPr>
            <w:r>
              <w:rPr>
                <w:rFonts w:ascii="Calibri" w:cs="Calibri" w:eastAsia="Calibri" w:hAnsi="Calibri"/>
                <w:sz w:val="14"/>
                <w:szCs w:val="14"/>
                <w:b w:val="1"/>
                <w:bCs w:val="1"/>
                <w:color w:val="auto"/>
              </w:rPr>
              <w:t>Six Months Ended March 31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400" w:type="dxa"/>
            <w:vAlign w:val="bottom"/>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73"/>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33"/>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2"/>
              <w:spacing w:after="0" w:line="164"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3"/>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680" w:type="dxa"/>
            <w:vAlign w:val="bottom"/>
            <w:tcBorders>
              <w:bottom w:val="single" w:sz="8" w:color="CFF0FC"/>
            </w:tcBorders>
            <w:shd w:val="clear" w:color="auto" w:fill="CFF0FC"/>
          </w:tcPr>
          <w:p>
            <w:pPr>
              <w:jc w:val="right"/>
              <w:ind w:right="479"/>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net of tax</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Foreign currency translaton adjustment, net of tax</w:t>
            </w:r>
          </w:p>
        </w:tc>
        <w:tc>
          <w:tcPr>
            <w:tcW w:w="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200"/>
              <w:spacing w:after="0" w:line="215" w:lineRule="exact"/>
              <w:rPr>
                <w:sz w:val="20"/>
                <w:szCs w:val="20"/>
                <w:color w:val="auto"/>
              </w:rPr>
            </w:pPr>
            <w:r>
              <w:rPr>
                <w:rFonts w:ascii="Calibri" w:cs="Calibri" w:eastAsia="Calibri" w:hAnsi="Calibri"/>
                <w:sz w:val="18"/>
                <w:szCs w:val="18"/>
                <w:color w:val="auto"/>
              </w:rPr>
              <w:t>Derivatves: net investment hedges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(Gains) losses reclassifed to interest expense, net of tax</w:t>
            </w:r>
          </w:p>
        </w:tc>
        <w:tc>
          <w:tcPr>
            <w:tcW w:w="6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(2 )</w:t>
            </w: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(2 )</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(3 )</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07"/>
        </w:trPr>
        <w:tc>
          <w:tcPr>
            <w:tcW w:w="6400" w:type="dxa"/>
            <w:vAlign w:val="bottom"/>
          </w:tcPr>
          <w:p>
            <w:pPr>
              <w:ind w:left="380"/>
              <w:spacing w:after="0" w:line="207" w:lineRule="exact"/>
              <w:rPr>
                <w:sz w:val="20"/>
                <w:szCs w:val="20"/>
                <w:color w:val="auto"/>
              </w:rPr>
            </w:pPr>
            <w:r>
              <w:rPr>
                <w:rFonts w:ascii="Calibri" w:cs="Calibri" w:eastAsia="Calibri" w:hAnsi="Calibri"/>
                <w:sz w:val="18"/>
                <w:szCs w:val="18"/>
                <w:color w:val="auto"/>
              </w:rPr>
              <w:t>(Gains) losses excluded from efectveness testng and amortzed</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80"/>
              <w:spacing w:after="0" w:line="215" w:lineRule="exact"/>
              <w:rPr>
                <w:sz w:val="20"/>
                <w:szCs w:val="20"/>
                <w:color w:val="auto"/>
              </w:rPr>
            </w:pPr>
            <w:r>
              <w:rPr>
                <w:rFonts w:ascii="Calibri" w:cs="Calibri" w:eastAsia="Calibri" w:hAnsi="Calibri"/>
                <w:sz w:val="18"/>
                <w:szCs w:val="18"/>
                <w:color w:val="auto"/>
              </w:rPr>
              <w:t>to interest expense, net of tax</w:t>
            </w:r>
          </w:p>
        </w:tc>
        <w:tc>
          <w:tcPr>
            <w:tcW w:w="68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64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Pension and other postretrement beneft liability adjustments, net of tax</w:t>
            </w:r>
          </w:p>
        </w:tc>
        <w:tc>
          <w:tcPr>
            <w:tcW w:w="6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(1 )</w:t>
            </w: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40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Other comprehensive income (loss), net of tax of $ —, $ —, $ — and $(1)</w:t>
            </w: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47</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46</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134</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4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Comprehensive income (loss)</w:t>
            </w:r>
          </w:p>
        </w:tc>
        <w:tc>
          <w:tcPr>
            <w:tcW w:w="6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129</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400" w:type="dxa"/>
            <w:vAlign w:val="bottom"/>
            <w:tcBorders>
              <w:top w:val="single" w:sz="8" w:color="CFF0FC"/>
            </w:tcBorders>
          </w:tcPr>
          <w:p>
            <w:pPr>
              <w:ind w:left="200"/>
              <w:spacing w:after="0" w:line="201" w:lineRule="exact"/>
              <w:rPr>
                <w:sz w:val="20"/>
                <w:szCs w:val="20"/>
                <w:color w:val="auto"/>
              </w:rPr>
            </w:pPr>
            <w:r>
              <w:rPr>
                <w:rFonts w:ascii="Calibri" w:cs="Calibri" w:eastAsia="Calibri" w:hAnsi="Calibri"/>
                <w:sz w:val="18"/>
                <w:szCs w:val="18"/>
                <w:color w:val="auto"/>
              </w:rPr>
              <w:t>Net income (loss) atributable to noncontrolling interests, net</w:t>
            </w: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20"/>
              <w:spacing w:after="0" w:line="215" w:lineRule="exact"/>
              <w:rPr>
                <w:sz w:val="20"/>
                <w:szCs w:val="20"/>
                <w:color w:val="auto"/>
              </w:rPr>
            </w:pPr>
            <w:r>
              <w:rPr>
                <w:rFonts w:ascii="Calibri" w:cs="Calibri" w:eastAsia="Calibri" w:hAnsi="Calibri"/>
                <w:sz w:val="18"/>
                <w:szCs w:val="18"/>
                <w:color w:val="auto"/>
              </w:rPr>
              <w:t>of tax</w:t>
            </w:r>
          </w:p>
        </w:tc>
        <w:tc>
          <w:tcPr>
            <w:tcW w:w="68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40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Foreign currency translaton adjustment atributable to</w:t>
            </w:r>
          </w:p>
        </w:tc>
        <w:tc>
          <w:tcPr>
            <w:tcW w:w="68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6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4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Comprehensive income (loss) atributable to noncontrolling interests</w:t>
            </w: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4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Comprehensive income (loss) atributable to Cabot Corporaton</w:t>
            </w:r>
          </w:p>
        </w:tc>
        <w:tc>
          <w:tcPr>
            <w:tcW w:w="680" w:type="dxa"/>
            <w:vAlign w:val="bottom"/>
            <w:tcBorders>
              <w:bottom w:val="single" w:sz="8" w:color="CFF0FC"/>
            </w:tcBorders>
            <w:shd w:val="clear" w:color="auto" w:fill="CFF0FC"/>
          </w:tcPr>
          <w:p>
            <w:pPr>
              <w:jc w:val="right"/>
              <w:ind w:right="479"/>
              <w:spacing w:after="0" w:line="213"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119</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line="213"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152</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line="213"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254</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line="213"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-1259205</wp:posOffset>
            </wp:positionV>
            <wp:extent cx="7683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-1259205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-1259205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-933450</wp:posOffset>
            </wp:positionV>
            <wp:extent cx="76835"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-933450</wp:posOffset>
            </wp:positionV>
            <wp:extent cx="6858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-933450</wp:posOffset>
            </wp:positionV>
            <wp:extent cx="6858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-350520</wp:posOffset>
            </wp:positionV>
            <wp:extent cx="7683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-350520</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-350520</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ASSETS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12"/>
              <w:spacing w:after="0"/>
              <w:rPr>
                <w:sz w:val="20"/>
                <w:szCs w:val="20"/>
                <w:color w:val="auto"/>
              </w:rPr>
            </w:pPr>
            <w:r>
              <w:rPr>
                <w:rFonts w:ascii="Calibri" w:cs="Calibri" w:eastAsia="Calibri" w:hAnsi="Calibri"/>
                <w:sz w:val="14"/>
                <w:szCs w:val="14"/>
                <w:b w:val="1"/>
                <w:bCs w:val="1"/>
                <w:color w:val="auto"/>
              </w:rPr>
              <w:t>March 31, 2023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91"/>
              <w:spacing w:after="0"/>
              <w:rPr>
                <w:sz w:val="20"/>
                <w:szCs w:val="20"/>
                <w:color w:val="auto"/>
              </w:rPr>
            </w:pPr>
            <w:r>
              <w:rPr>
                <w:rFonts w:ascii="Calibri" w:cs="Calibri" w:eastAsia="Calibri" w:hAnsi="Calibri"/>
                <w:sz w:val="14"/>
                <w:szCs w:val="14"/>
                <w:b w:val="1"/>
                <w:bCs w:val="1"/>
                <w:color w:val="auto"/>
              </w:rPr>
              <w:t>September 30, 2022</w:t>
            </w:r>
          </w:p>
        </w:tc>
        <w:tc>
          <w:tcPr>
            <w:tcW w:w="100" w:type="dxa"/>
            <w:vAlign w:val="bottom"/>
          </w:tcPr>
          <w:p>
            <w:pPr>
              <w:spacing w:after="0"/>
              <w:rPr>
                <w:sz w:val="14"/>
                <w:szCs w:val="14"/>
                <w:color w:val="auto"/>
              </w:rPr>
            </w:pPr>
          </w:p>
        </w:tc>
      </w:tr>
      <w:tr>
        <w:trPr>
          <w:trHeight w:val="33"/>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820" w:type="dxa"/>
            <w:vAlign w:val="bottom"/>
            <w:gridSpan w:val="3"/>
          </w:tcPr>
          <w:p>
            <w:pPr>
              <w:jc w:val="right"/>
              <w:ind w:right="1231"/>
              <w:spacing w:after="0" w:line="164" w:lineRule="exact"/>
              <w:rPr>
                <w:sz w:val="20"/>
                <w:szCs w:val="20"/>
                <w:color w:val="auto"/>
              </w:rPr>
            </w:pPr>
            <w:r>
              <w:rPr>
                <w:rFonts w:ascii="Calibri" w:cs="Calibri" w:eastAsia="Calibri" w:hAnsi="Calibri"/>
                <w:sz w:val="14"/>
                <w:szCs w:val="14"/>
                <w:b w:val="1"/>
                <w:bCs w:val="1"/>
                <w:color w:val="auto"/>
                <w:w w:val="95"/>
              </w:rPr>
              <w:t>millions)</w:t>
            </w:r>
          </w:p>
        </w:tc>
        <w:tc>
          <w:tcPr>
            <w:tcW w:w="100" w:type="dxa"/>
            <w:vAlign w:val="bottom"/>
          </w:tcPr>
          <w:p>
            <w:pPr>
              <w:spacing w:after="0"/>
              <w:rPr>
                <w:sz w:val="14"/>
                <w:szCs w:val="14"/>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205</w:t>
            </w:r>
          </w:p>
        </w:tc>
        <w:tc>
          <w:tcPr>
            <w:tcW w:w="4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206</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78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Accounts and notes receivable, net of reserve for doubtul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78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accounts of $3 and $3</w:t>
            </w:r>
          </w:p>
        </w:tc>
        <w:tc>
          <w:tcPr>
            <w:tcW w:w="2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767</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Raw materials</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380"/>
              <w:spacing w:after="0" w:line="215" w:lineRule="exact"/>
              <w:rPr>
                <w:sz w:val="20"/>
                <w:szCs w:val="20"/>
                <w:color w:val="auto"/>
              </w:rPr>
            </w:pPr>
            <w:r>
              <w:rPr>
                <w:rFonts w:ascii="Calibri" w:cs="Calibri" w:eastAsia="Calibri" w:hAnsi="Calibri"/>
                <w:sz w:val="18"/>
                <w:szCs w:val="18"/>
                <w:color w:val="auto"/>
              </w:rPr>
              <w:t>Finished goods</w:t>
            </w:r>
          </w:p>
        </w:tc>
        <w:tc>
          <w:tcPr>
            <w:tcW w:w="2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427</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Other</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8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inventories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625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664</w:t>
            </w:r>
          </w:p>
        </w:tc>
        <w:tc>
          <w:tcPr>
            <w:tcW w:w="100" w:type="dxa"/>
            <w:vAlign w:val="bottom"/>
            <w:tcBorders>
              <w:top w:val="single" w:sz="8" w:color="CFF0FC"/>
            </w:tcBorders>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8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1,742</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1,820</w:t>
            </w:r>
          </w:p>
        </w:tc>
        <w:tc>
          <w:tcPr>
            <w:tcW w:w="100" w:type="dxa"/>
            <w:vAlign w:val="bottom"/>
            <w:tcBorders>
              <w:top w:val="single" w:sz="8" w:color="CFF0FC"/>
            </w:tcBorders>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Property, plant and equipment, net</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1,353</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2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afliates</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2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2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178</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77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assets</w:t>
            </w:r>
          </w:p>
        </w:tc>
        <w:tc>
          <w:tcPr>
            <w:tcW w:w="220" w:type="dxa"/>
            <w:vAlign w:val="bottom"/>
            <w:tcBorders>
              <w:top w:val="single" w:sz="8" w:color="auto"/>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3,519</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-1593850</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-1276350</wp:posOffset>
            </wp:positionV>
            <wp:extent cx="685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LIABILITIES AND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508"/>
              <w:spacing w:after="0"/>
              <w:rPr>
                <w:sz w:val="20"/>
                <w:szCs w:val="20"/>
                <w:color w:val="auto"/>
              </w:rPr>
            </w:pPr>
            <w:r>
              <w:rPr>
                <w:rFonts w:ascii="Calibri" w:cs="Calibri" w:eastAsia="Calibri" w:hAnsi="Calibri"/>
                <w:sz w:val="14"/>
                <w:szCs w:val="14"/>
                <w:b w:val="1"/>
                <w:bCs w:val="1"/>
                <w:color w:val="auto"/>
              </w:rPr>
              <w:t>March 31, 2023</w:t>
            </w:r>
          </w:p>
        </w:tc>
        <w:tc>
          <w:tcPr>
            <w:tcW w:w="14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rPr>
              <w:t>September 30, 2022</w:t>
            </w:r>
          </w:p>
        </w:tc>
      </w:tr>
      <w:tr>
        <w:trPr>
          <w:trHeight w:val="33"/>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1820" w:type="dxa"/>
            <w:vAlign w:val="bottom"/>
            <w:gridSpan w:val="3"/>
          </w:tcPr>
          <w:p>
            <w:pPr>
              <w:jc w:val="right"/>
              <w:ind w:right="851"/>
              <w:spacing w:after="0" w:line="164" w:lineRule="exact"/>
              <w:rPr>
                <w:sz w:val="20"/>
                <w:szCs w:val="20"/>
                <w:color w:val="auto"/>
              </w:rPr>
            </w:pPr>
            <w:r>
              <w:rPr>
                <w:rFonts w:ascii="Calibri" w:cs="Calibri" w:eastAsia="Calibri" w:hAnsi="Calibri"/>
                <w:sz w:val="14"/>
                <w:szCs w:val="14"/>
                <w:b w:val="1"/>
                <w:bCs w:val="1"/>
                <w:color w:val="auto"/>
              </w:rPr>
              <w:t>except share</w:t>
            </w:r>
          </w:p>
        </w:tc>
        <w:tc>
          <w:tcPr>
            <w:tcW w:w="100" w:type="dxa"/>
            <w:vAlign w:val="bottom"/>
          </w:tcPr>
          <w:p>
            <w:pPr>
              <w:spacing w:after="0"/>
              <w:rPr>
                <w:sz w:val="14"/>
                <w:szCs w:val="14"/>
                <w:color w:val="auto"/>
              </w:rPr>
            </w:pPr>
          </w:p>
        </w:tc>
      </w:tr>
      <w:tr>
        <w:trPr>
          <w:trHeight w:val="202"/>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gridSpan w:val="5"/>
          </w:tcPr>
          <w:p>
            <w:pPr>
              <w:jc w:val="right"/>
              <w:ind w:right="1080"/>
              <w:spacing w:after="0"/>
              <w:rPr>
                <w:sz w:val="20"/>
                <w:szCs w:val="20"/>
                <w:color w:val="auto"/>
              </w:rPr>
            </w:pPr>
            <w:r>
              <w:rPr>
                <w:rFonts w:ascii="Calibri" w:cs="Calibri" w:eastAsia="Calibri" w:hAnsi="Calibri"/>
                <w:sz w:val="14"/>
                <w:szCs w:val="14"/>
                <w:b w:val="1"/>
                <w:bCs w:val="1"/>
                <w:color w:val="auto"/>
              </w:rPr>
              <w:t>and per share amounts)</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Short-term borrowings</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258</w:t>
            </w:r>
          </w:p>
        </w:tc>
        <w:tc>
          <w:tcPr>
            <w:tcW w:w="2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347</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Income taxes payable</w:t>
            </w:r>
          </w:p>
        </w:tc>
        <w:tc>
          <w:tcPr>
            <w:tcW w:w="2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Current porton of long-term debt</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80" w:type="dxa"/>
            <w:vAlign w:val="bottom"/>
            <w:tcBorders>
              <w:top w:val="single" w:sz="8" w:color="CFF0FC"/>
            </w:tcBorders>
          </w:tcPr>
          <w:p>
            <w:pPr>
              <w:ind w:left="380"/>
              <w:spacing w:after="0" w:line="208" w:lineRule="exact"/>
              <w:rPr>
                <w:sz w:val="20"/>
                <w:szCs w:val="20"/>
                <w:color w:val="auto"/>
              </w:rPr>
            </w:pPr>
            <w:r>
              <w:rPr>
                <w:rFonts w:ascii="Calibri" w:cs="Calibri" w:eastAsia="Calibri" w:hAnsi="Calibri"/>
                <w:sz w:val="18"/>
                <w:szCs w:val="18"/>
                <w:color w:val="auto"/>
              </w:rPr>
              <w:t>Total current liabilites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904</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1,105</w:t>
            </w:r>
          </w:p>
        </w:tc>
        <w:tc>
          <w:tcPr>
            <w:tcW w:w="100" w:type="dxa"/>
            <w:vAlign w:val="bottom"/>
            <w:tcBorders>
              <w:top w:val="single" w:sz="8" w:color="CFF0FC"/>
            </w:tcBorders>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Long-term debt</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2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Contngencies (Note G)</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Preferred stock:</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Authorized: 2,000,000 shares of $1 par value, Issued and Outstanding: None and none</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gridSpan w:val="2"/>
            <w:shd w:val="clear" w:color="auto" w:fill="CFF0FC"/>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Common stock:</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780" w:type="dxa"/>
            <w:vAlign w:val="bottom"/>
            <w:shd w:val="clear" w:color="auto" w:fill="CFF0FC"/>
          </w:tcPr>
          <w:p>
            <w:pPr>
              <w:ind w:left="380"/>
              <w:spacing w:after="0" w:line="207" w:lineRule="exact"/>
              <w:rPr>
                <w:sz w:val="20"/>
                <w:szCs w:val="20"/>
                <w:color w:val="auto"/>
              </w:rPr>
            </w:pPr>
            <w:r>
              <w:rPr>
                <w:rFonts w:ascii="Calibri" w:cs="Calibri" w:eastAsia="Calibri" w:hAnsi="Calibri"/>
                <w:sz w:val="18"/>
                <w:szCs w:val="18"/>
                <w:color w:val="auto"/>
              </w:rPr>
              <w:t>Authorized: 200,000,000 shares of $1 par value, Issued: 56,282,299 and 56,385,963 shares,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78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Outstanding: 56,146,164 and 56,248,559 shares</w:t>
            </w:r>
          </w:p>
        </w:tc>
        <w:tc>
          <w:tcPr>
            <w:tcW w:w="2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780" w:type="dxa"/>
            <w:vAlign w:val="bottom"/>
          </w:tcPr>
          <w:p>
            <w:pPr>
              <w:ind w:left="380"/>
              <w:spacing w:after="0" w:line="215" w:lineRule="exact"/>
              <w:rPr>
                <w:sz w:val="20"/>
                <w:szCs w:val="20"/>
                <w:color w:val="auto"/>
              </w:rPr>
            </w:pPr>
            <w:r>
              <w:rPr>
                <w:rFonts w:ascii="Calibri" w:cs="Calibri" w:eastAsia="Calibri" w:hAnsi="Calibri"/>
                <w:sz w:val="18"/>
                <w:szCs w:val="18"/>
                <w:color w:val="auto"/>
              </w:rPr>
              <w:t>Less cost of 136,135 and 137,404 shares of common treasury stock</w:t>
            </w:r>
          </w:p>
        </w:tc>
        <w:tc>
          <w:tcPr>
            <w:tcW w:w="220" w:type="dxa"/>
            <w:vAlign w:val="bottom"/>
          </w:tcPr>
          <w:p>
            <w:pPr>
              <w:spacing w:after="0"/>
              <w:rPr>
                <w:sz w:val="18"/>
                <w:szCs w:val="18"/>
                <w:color w:val="auto"/>
              </w:rPr>
            </w:pPr>
          </w:p>
        </w:tc>
        <w:tc>
          <w:tcPr>
            <w:tcW w:w="160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(3 )</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(4 )</w:t>
            </w: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Additonal paid-in capital</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gridSpan w:val="2"/>
            <w:shd w:val="clear" w:color="auto" w:fill="CFF0FC"/>
          </w:tcPr>
          <w:p>
            <w:pPr>
              <w:jc w:val="right"/>
              <w:ind w:right="208"/>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Retained earnings</w:t>
            </w:r>
          </w:p>
        </w:tc>
        <w:tc>
          <w:tcPr>
            <w:tcW w:w="2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1,360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1,284</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Accumulated other comprehensive income (loss)</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(314 )</w:t>
            </w:r>
          </w:p>
        </w:tc>
        <w:tc>
          <w:tcPr>
            <w:tcW w:w="14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(439 )</w:t>
            </w:r>
          </w:p>
        </w:tc>
      </w:tr>
      <w:tr>
        <w:trPr>
          <w:trHeight w:val="208"/>
        </w:trPr>
        <w:tc>
          <w:tcPr>
            <w:tcW w:w="778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Total Cabot Corporaton stockholders' equity</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1,099</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898</w:t>
            </w:r>
          </w:p>
        </w:tc>
        <w:tc>
          <w:tcPr>
            <w:tcW w:w="100" w:type="dxa"/>
            <w:vAlign w:val="bottom"/>
            <w:tcBorders>
              <w:top w:val="single" w:sz="8" w:color="CFF0FC"/>
            </w:tcBorders>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Noncontrolling interests</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780" w:type="dxa"/>
            <w:vAlign w:val="bottom"/>
            <w:tcBorders>
              <w:top w:val="single" w:sz="8" w:color="CFF0FC"/>
            </w:tcBorders>
          </w:tcPr>
          <w:p>
            <w:pPr>
              <w:ind w:left="200"/>
              <w:spacing w:after="0" w:line="213" w:lineRule="exact"/>
              <w:rPr>
                <w:sz w:val="20"/>
                <w:szCs w:val="20"/>
                <w:color w:val="auto"/>
              </w:rPr>
            </w:pPr>
            <w:r>
              <w:rPr>
                <w:rFonts w:ascii="Calibri" w:cs="Calibri" w:eastAsia="Calibri" w:hAnsi="Calibri"/>
                <w:sz w:val="18"/>
                <w:szCs w:val="18"/>
                <w:color w:val="auto"/>
              </w:rPr>
              <w:t>Total stockholders' equity</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1,232</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1,032</w:t>
            </w:r>
          </w:p>
        </w:tc>
        <w:tc>
          <w:tcPr>
            <w:tcW w:w="100" w:type="dxa"/>
            <w:vAlign w:val="bottom"/>
            <w:tcBorders>
              <w:top w:val="single" w:sz="8" w:color="CFF0FC"/>
            </w:tcBorders>
          </w:tcPr>
          <w:p>
            <w:pPr>
              <w:spacing w:after="0"/>
              <w:rPr>
                <w:sz w:val="18"/>
                <w:szCs w:val="18"/>
                <w:color w:val="auto"/>
              </w:rPr>
            </w:pPr>
          </w:p>
        </w:tc>
      </w:tr>
      <w:tr>
        <w:trPr>
          <w:trHeight w:val="23"/>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77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liabilites and stockholders' equity</w:t>
            </w:r>
          </w:p>
        </w:tc>
        <w:tc>
          <w:tcPr>
            <w:tcW w:w="2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3,519</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-2982595</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-668020</wp:posOffset>
            </wp:positionV>
            <wp:extent cx="6858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685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6"/>
          <w:szCs w:val="16"/>
          <w:b w:val="1"/>
          <w:bCs w:val="1"/>
          <w:color w:val="auto"/>
        </w:rPr>
        <w:t>CABOT CORPORATION</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2940" w:type="dxa"/>
            <w:vAlign w:val="bottom"/>
            <w:gridSpan w:val="4"/>
          </w:tcPr>
          <w:p>
            <w:pPr>
              <w:jc w:val="right"/>
              <w:ind w:right="284"/>
              <w:spacing w:after="0"/>
              <w:rPr>
                <w:sz w:val="20"/>
                <w:szCs w:val="20"/>
                <w:color w:val="auto"/>
              </w:rPr>
            </w:pPr>
            <w:r>
              <w:rPr>
                <w:rFonts w:ascii="Calibri" w:cs="Calibri" w:eastAsia="Calibri" w:hAnsi="Calibri"/>
                <w:sz w:val="15"/>
                <w:szCs w:val="15"/>
                <w:b w:val="1"/>
                <w:bCs w:val="1"/>
                <w:color w:val="auto"/>
              </w:rPr>
              <w:t>Six Months Ended March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77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7740" w:type="dxa"/>
            <w:vAlign w:val="bottom"/>
          </w:tcPr>
          <w:p>
            <w:pPr>
              <w:spacing w:after="0"/>
              <w:rPr>
                <w:sz w:val="15"/>
                <w:szCs w:val="15"/>
                <w:color w:val="auto"/>
              </w:rPr>
            </w:pPr>
          </w:p>
        </w:tc>
        <w:tc>
          <w:tcPr>
            <w:tcW w:w="1100" w:type="dxa"/>
            <w:vAlign w:val="bottom"/>
          </w:tcPr>
          <w:p>
            <w:pPr>
              <w:jc w:val="right"/>
              <w:ind w:right="84"/>
              <w:spacing w:after="0" w:line="176" w:lineRule="exact"/>
              <w:rPr>
                <w:sz w:val="20"/>
                <w:szCs w:val="20"/>
                <w:color w:val="auto"/>
              </w:rPr>
            </w:pPr>
            <w:r>
              <w:rPr>
                <w:rFonts w:ascii="Calibri" w:cs="Calibri" w:eastAsia="Calibri" w:hAnsi="Calibri"/>
                <w:sz w:val="15"/>
                <w:szCs w:val="15"/>
                <w:b w:val="1"/>
                <w:bCs w:val="1"/>
                <w:color w:val="auto"/>
              </w:rPr>
              <w:t>2023</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84"/>
              <w:spacing w:after="0" w:line="176" w:lineRule="exact"/>
              <w:rPr>
                <w:sz w:val="20"/>
                <w:szCs w:val="20"/>
                <w:color w:val="auto"/>
              </w:rPr>
            </w:pPr>
            <w:r>
              <w:rPr>
                <w:rFonts w:ascii="Calibri" w:cs="Calibri" w:eastAsia="Calibri" w:hAnsi="Calibri"/>
                <w:sz w:val="15"/>
                <w:szCs w:val="15"/>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Calibri" w:cs="Calibri" w:eastAsia="Calibri" w:hAnsi="Calibri"/>
                <w:sz w:val="15"/>
                <w:szCs w:val="15"/>
                <w:b w:val="1"/>
                <w:bCs w:val="1"/>
                <w:color w:val="auto"/>
              </w:rPr>
              <w:t>(In</w:t>
            </w:r>
          </w:p>
        </w:tc>
        <w:tc>
          <w:tcPr>
            <w:tcW w:w="1380" w:type="dxa"/>
            <w:vAlign w:val="bottom"/>
            <w:gridSpan w:val="2"/>
          </w:tcPr>
          <w:p>
            <w:pPr>
              <w:jc w:val="right"/>
              <w:ind w:right="784"/>
              <w:spacing w:after="0" w:line="176" w:lineRule="exact"/>
              <w:rPr>
                <w:sz w:val="20"/>
                <w:szCs w:val="20"/>
                <w:color w:val="auto"/>
              </w:rPr>
            </w:pPr>
            <w:r>
              <w:rPr>
                <w:rFonts w:ascii="Calibri" w:cs="Calibri" w:eastAsia="Calibri" w:hAnsi="Calibri"/>
                <w:sz w:val="15"/>
                <w:szCs w:val="15"/>
                <w:b w:val="1"/>
                <w:bCs w:val="1"/>
                <w:color w:val="auto"/>
                <w:w w:val="92"/>
              </w:rPr>
              <w:t>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b w:val="1"/>
                <w:bCs w:val="1"/>
                <w:color w:val="auto"/>
              </w:rPr>
              <w:t>Cash Flows from Operatng Actvites:</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40" w:type="dxa"/>
            <w:vAlign w:val="bottom"/>
          </w:tcPr>
          <w:p>
            <w:pPr>
              <w:ind w:left="160"/>
              <w:spacing w:after="0"/>
              <w:rPr>
                <w:sz w:val="20"/>
                <w:szCs w:val="20"/>
                <w:color w:val="auto"/>
              </w:rPr>
            </w:pPr>
            <w:r>
              <w:rPr>
                <w:rFonts w:ascii="Calibri" w:cs="Calibri" w:eastAsia="Calibri" w:hAnsi="Calibri"/>
                <w:sz w:val="15"/>
                <w:szCs w:val="15"/>
                <w:color w:val="auto"/>
              </w:rPr>
              <w:t>Net income (loss)</w:t>
            </w:r>
          </w:p>
        </w:tc>
        <w:tc>
          <w:tcPr>
            <w:tcW w:w="1100" w:type="dxa"/>
            <w:vAlign w:val="bottom"/>
          </w:tcPr>
          <w:p>
            <w:pPr>
              <w:jc w:val="right"/>
              <w:ind w:right="924"/>
              <w:spacing w:after="0"/>
              <w:rPr>
                <w:sz w:val="20"/>
                <w:szCs w:val="20"/>
                <w:color w:val="auto"/>
              </w:rPr>
            </w:pPr>
            <w:r>
              <w:rPr>
                <w:rFonts w:ascii="Calibri" w:cs="Calibri" w:eastAsia="Calibri" w:hAnsi="Calibri"/>
                <w:sz w:val="15"/>
                <w:szCs w:val="15"/>
                <w:color w:val="auto"/>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148</w:t>
            </w:r>
          </w:p>
        </w:tc>
        <w:tc>
          <w:tcPr>
            <w:tcW w:w="300" w:type="dxa"/>
            <w:vAlign w:val="bottom"/>
          </w:tcPr>
          <w:p>
            <w:pPr>
              <w:spacing w:after="0"/>
              <w:rPr>
                <w:sz w:val="15"/>
                <w:szCs w:val="15"/>
                <w:color w:val="auto"/>
              </w:rPr>
            </w:pPr>
          </w:p>
        </w:tc>
        <w:tc>
          <w:tcPr>
            <w:tcW w:w="1080" w:type="dxa"/>
            <w:vAlign w:val="bottom"/>
          </w:tcPr>
          <w:p>
            <w:pPr>
              <w:jc w:val="right"/>
              <w:ind w:right="924"/>
              <w:spacing w:after="0"/>
              <w:rPr>
                <w:sz w:val="20"/>
                <w:szCs w:val="20"/>
                <w:color w:val="auto"/>
              </w:rPr>
            </w:pPr>
            <w:r>
              <w:rPr>
                <w:rFonts w:ascii="Calibri" w:cs="Calibri" w:eastAsia="Calibri" w:hAnsi="Calibri"/>
                <w:sz w:val="15"/>
                <w:szCs w:val="15"/>
                <w:color w:val="auto"/>
                <w:w w:val="78"/>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34</w:t>
            </w: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Adjustments to reconcile net income (loss) to cash provided (used) by operatng actvites:</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40" w:type="dxa"/>
            <w:vAlign w:val="bottom"/>
          </w:tcPr>
          <w:p>
            <w:pPr>
              <w:ind w:left="300"/>
              <w:spacing w:after="0"/>
              <w:rPr>
                <w:sz w:val="20"/>
                <w:szCs w:val="20"/>
                <w:color w:val="auto"/>
              </w:rPr>
            </w:pPr>
            <w:r>
              <w:rPr>
                <w:rFonts w:ascii="Calibri" w:cs="Calibri" w:eastAsia="Calibri" w:hAnsi="Calibri"/>
                <w:sz w:val="15"/>
                <w:szCs w:val="15"/>
                <w:color w:val="auto"/>
              </w:rPr>
              <w:t>Depreciaton and amortzaton</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71</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75</w:t>
            </w: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Loss on sale of business and asset impairment charge</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40" w:type="dxa"/>
            <w:vAlign w:val="bottom"/>
          </w:tcPr>
          <w:p>
            <w:pPr>
              <w:ind w:left="300"/>
              <w:spacing w:after="0"/>
              <w:rPr>
                <w:sz w:val="20"/>
                <w:szCs w:val="20"/>
                <w:color w:val="auto"/>
              </w:rPr>
            </w:pPr>
            <w:r>
              <w:rPr>
                <w:rFonts w:ascii="Calibri" w:cs="Calibri" w:eastAsia="Calibri" w:hAnsi="Calibri"/>
                <w:sz w:val="15"/>
                <w:szCs w:val="15"/>
                <w:color w:val="auto"/>
              </w:rPr>
              <w:t>Gain on sale of land</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(1 )</w:t>
            </w:r>
          </w:p>
        </w:tc>
        <w:tc>
          <w:tcPr>
            <w:tcW w:w="1080" w:type="dxa"/>
            <w:vAlign w:val="bottom"/>
          </w:tcPr>
          <w:p>
            <w:pPr>
              <w:spacing w:after="0"/>
              <w:rPr>
                <w:sz w:val="15"/>
                <w:szCs w:val="15"/>
                <w:color w:val="auto"/>
              </w:rPr>
            </w:pPr>
          </w:p>
        </w:tc>
        <w:tc>
          <w:tcPr>
            <w:tcW w:w="560" w:type="dxa"/>
            <w:vAlign w:val="bottom"/>
            <w:gridSpan w:val="2"/>
          </w:tcPr>
          <w:p>
            <w:pPr>
              <w:jc w:val="right"/>
              <w:ind w:right="44"/>
              <w:spacing w:after="0"/>
              <w:rPr>
                <w:sz w:val="20"/>
                <w:szCs w:val="20"/>
                <w:color w:val="auto"/>
              </w:rPr>
            </w:pPr>
            <w:r>
              <w:rPr>
                <w:rFonts w:ascii="Calibri" w:cs="Calibri" w:eastAsia="Calibri" w:hAnsi="Calibri"/>
                <w:sz w:val="15"/>
                <w:szCs w:val="15"/>
                <w:color w:val="auto"/>
              </w:rPr>
              <w:t>—</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Gain on bargain purchase of a business</w:t>
            </w:r>
          </w:p>
        </w:tc>
        <w:tc>
          <w:tcPr>
            <w:tcW w:w="1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10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(24 )</w:t>
            </w:r>
          </w:p>
        </w:tc>
      </w:tr>
      <w:tr>
        <w:trPr>
          <w:trHeight w:val="183"/>
        </w:trPr>
        <w:tc>
          <w:tcPr>
            <w:tcW w:w="7740" w:type="dxa"/>
            <w:vAlign w:val="bottom"/>
          </w:tcPr>
          <w:p>
            <w:pPr>
              <w:ind w:left="300"/>
              <w:spacing w:after="0"/>
              <w:rPr>
                <w:sz w:val="20"/>
                <w:szCs w:val="20"/>
                <w:color w:val="auto"/>
              </w:rPr>
            </w:pPr>
            <w:r>
              <w:rPr>
                <w:rFonts w:ascii="Calibri" w:cs="Calibri" w:eastAsia="Calibri" w:hAnsi="Calibri"/>
                <w:sz w:val="15"/>
                <w:szCs w:val="15"/>
                <w:color w:val="auto"/>
              </w:rPr>
              <w:t>Deferred tax provision (beneft)</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(3 )</w:t>
            </w:r>
          </w:p>
        </w:tc>
        <w:tc>
          <w:tcPr>
            <w:tcW w:w="10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alibri" w:cs="Calibri" w:eastAsia="Calibri" w:hAnsi="Calibri"/>
                <w:sz w:val="15"/>
                <w:szCs w:val="15"/>
                <w:color w:val="auto"/>
              </w:rPr>
              <w:t>(45 )</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Equity in earnings of afliated companies</w:t>
            </w:r>
          </w:p>
        </w:tc>
        <w:tc>
          <w:tcPr>
            <w:tcW w:w="1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4"/>
              <w:spacing w:after="0"/>
              <w:rPr>
                <w:sz w:val="20"/>
                <w:szCs w:val="20"/>
                <w:color w:val="auto"/>
              </w:rPr>
            </w:pPr>
            <w:r>
              <w:rPr>
                <w:rFonts w:ascii="Calibri" w:cs="Calibri" w:eastAsia="Calibri" w:hAnsi="Calibri"/>
                <w:sz w:val="15"/>
                <w:szCs w:val="15"/>
                <w:color w:val="auto"/>
              </w:rPr>
              <w:t>(3 )</w:t>
            </w:r>
          </w:p>
        </w:tc>
        <w:tc>
          <w:tcPr>
            <w:tcW w:w="10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(4 )</w:t>
            </w:r>
          </w:p>
        </w:tc>
      </w:tr>
      <w:tr>
        <w:trPr>
          <w:trHeight w:val="183"/>
        </w:trPr>
        <w:tc>
          <w:tcPr>
            <w:tcW w:w="7740" w:type="dxa"/>
            <w:vAlign w:val="bottom"/>
          </w:tcPr>
          <w:p>
            <w:pPr>
              <w:ind w:left="300"/>
              <w:spacing w:after="0"/>
              <w:rPr>
                <w:sz w:val="20"/>
                <w:szCs w:val="20"/>
                <w:color w:val="auto"/>
              </w:rPr>
            </w:pPr>
            <w:r>
              <w:rPr>
                <w:rFonts w:ascii="Calibri" w:cs="Calibri" w:eastAsia="Calibri" w:hAnsi="Calibri"/>
                <w:sz w:val="15"/>
                <w:szCs w:val="15"/>
                <w:color w:val="auto"/>
              </w:rPr>
              <w:t>Share-based compensaton</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12</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11</w:t>
            </w: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Other non-cash (income) expense</w:t>
            </w:r>
          </w:p>
        </w:tc>
        <w:tc>
          <w:tcPr>
            <w:tcW w:w="1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4"/>
              <w:spacing w:after="0"/>
              <w:rPr>
                <w:sz w:val="20"/>
                <w:szCs w:val="20"/>
                <w:color w:val="auto"/>
              </w:rPr>
            </w:pPr>
            <w:r>
              <w:rPr>
                <w:rFonts w:ascii="Calibri" w:cs="Calibri" w:eastAsia="Calibri" w:hAnsi="Calibri"/>
                <w:sz w:val="15"/>
                <w:szCs w:val="15"/>
                <w:color w:val="auto"/>
              </w:rPr>
              <w:t>(2 )</w:t>
            </w: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40" w:type="dxa"/>
            <w:vAlign w:val="bottom"/>
          </w:tcPr>
          <w:p>
            <w:pPr>
              <w:ind w:left="300"/>
              <w:spacing w:after="0"/>
              <w:rPr>
                <w:sz w:val="20"/>
                <w:szCs w:val="20"/>
                <w:color w:val="auto"/>
              </w:rPr>
            </w:pPr>
            <w:r>
              <w:rPr>
                <w:rFonts w:ascii="Calibri" w:cs="Calibri" w:eastAsia="Calibri" w:hAnsi="Calibri"/>
                <w:sz w:val="15"/>
                <w:szCs w:val="15"/>
                <w:color w:val="auto"/>
              </w:rPr>
              <w:t>Cash dividends received from equity afliates</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ind w:right="44"/>
              <w:spacing w:after="0"/>
              <w:rPr>
                <w:sz w:val="20"/>
                <w:szCs w:val="20"/>
                <w:color w:val="auto"/>
              </w:rPr>
            </w:pPr>
            <w:r>
              <w:rPr>
                <w:rFonts w:ascii="Calibri" w:cs="Calibri" w:eastAsia="Calibri" w:hAnsi="Calibri"/>
                <w:sz w:val="15"/>
                <w:szCs w:val="15"/>
                <w:color w:val="auto"/>
              </w:rPr>
              <w:t>—</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5"/>
                <w:szCs w:val="15"/>
                <w:color w:val="auto"/>
              </w:rPr>
              <w:t>Changes in assets and liabilites:</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40" w:type="dxa"/>
            <w:vAlign w:val="bottom"/>
          </w:tcPr>
          <w:p>
            <w:pPr>
              <w:ind w:left="460"/>
              <w:spacing w:after="0"/>
              <w:rPr>
                <w:sz w:val="20"/>
                <w:szCs w:val="20"/>
                <w:color w:val="auto"/>
              </w:rPr>
            </w:pPr>
            <w:r>
              <w:rPr>
                <w:rFonts w:ascii="Calibri" w:cs="Calibri" w:eastAsia="Calibri" w:hAnsi="Calibri"/>
                <w:sz w:val="15"/>
                <w:szCs w:val="15"/>
                <w:color w:val="auto"/>
              </w:rPr>
              <w:t>Accounts and notes receivable</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108</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alibri" w:cs="Calibri" w:eastAsia="Calibri" w:hAnsi="Calibri"/>
                <w:sz w:val="15"/>
                <w:szCs w:val="15"/>
                <w:color w:val="auto"/>
              </w:rPr>
              <w:t>(161 )</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Inventories</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72</w:t>
            </w: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(177 )</w:t>
            </w:r>
          </w:p>
        </w:tc>
      </w:tr>
      <w:tr>
        <w:trPr>
          <w:trHeight w:val="183"/>
        </w:trPr>
        <w:tc>
          <w:tcPr>
            <w:tcW w:w="7740" w:type="dxa"/>
            <w:vAlign w:val="bottom"/>
          </w:tcPr>
          <w:p>
            <w:pPr>
              <w:ind w:left="460"/>
              <w:spacing w:after="0"/>
              <w:rPr>
                <w:sz w:val="20"/>
                <w:szCs w:val="20"/>
                <w:color w:val="auto"/>
              </w:rPr>
            </w:pPr>
            <w:r>
              <w:rPr>
                <w:rFonts w:ascii="Calibri" w:cs="Calibri" w:eastAsia="Calibri" w:hAnsi="Calibri"/>
                <w:sz w:val="15"/>
                <w:szCs w:val="15"/>
                <w:color w:val="auto"/>
              </w:rPr>
              <w:t>Prepaid expenses and other assets</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(25 )</w:t>
            </w:r>
          </w:p>
        </w:tc>
        <w:tc>
          <w:tcPr>
            <w:tcW w:w="10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alibri" w:cs="Calibri" w:eastAsia="Calibri" w:hAnsi="Calibri"/>
                <w:sz w:val="15"/>
                <w:szCs w:val="15"/>
                <w:color w:val="auto"/>
              </w:rPr>
              <w:t>(55 )</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Accounts payable and accrued liabilites</w:t>
            </w:r>
          </w:p>
        </w:tc>
        <w:tc>
          <w:tcPr>
            <w:tcW w:w="1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4"/>
              <w:spacing w:after="0"/>
              <w:rPr>
                <w:sz w:val="20"/>
                <w:szCs w:val="20"/>
                <w:color w:val="auto"/>
              </w:rPr>
            </w:pPr>
            <w:r>
              <w:rPr>
                <w:rFonts w:ascii="Calibri" w:cs="Calibri" w:eastAsia="Calibri" w:hAnsi="Calibri"/>
                <w:sz w:val="15"/>
                <w:szCs w:val="15"/>
                <w:color w:val="auto"/>
              </w:rPr>
              <w:t>(155 )</w:t>
            </w: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40" w:type="dxa"/>
            <w:vAlign w:val="bottom"/>
          </w:tcPr>
          <w:p>
            <w:pPr>
              <w:ind w:left="460"/>
              <w:spacing w:after="0"/>
              <w:rPr>
                <w:sz w:val="20"/>
                <w:szCs w:val="20"/>
                <w:color w:val="auto"/>
              </w:rPr>
            </w:pPr>
            <w:r>
              <w:rPr>
                <w:rFonts w:ascii="Calibri" w:cs="Calibri" w:eastAsia="Calibri" w:hAnsi="Calibri"/>
                <w:sz w:val="15"/>
                <w:szCs w:val="15"/>
                <w:color w:val="auto"/>
              </w:rPr>
              <w:t>Income taxes payable</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(16 )</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10</w:t>
            </w: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rPr>
              <w:t>Other liabilites</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7740" w:type="dxa"/>
            <w:vAlign w:val="bottom"/>
          </w:tcPr>
          <w:p>
            <w:pPr>
              <w:ind w:left="600"/>
              <w:spacing w:after="0" w:line="180" w:lineRule="exact"/>
              <w:rPr>
                <w:sz w:val="20"/>
                <w:szCs w:val="20"/>
                <w:color w:val="auto"/>
              </w:rPr>
            </w:pPr>
            <w:r>
              <w:rPr>
                <w:rFonts w:ascii="Calibri" w:cs="Calibri" w:eastAsia="Calibri" w:hAnsi="Calibri"/>
                <w:sz w:val="15"/>
                <w:szCs w:val="15"/>
                <w:color w:val="auto"/>
              </w:rPr>
              <w:t>Cash provided (used) by operatng actvites</w:t>
            </w:r>
          </w:p>
        </w:tc>
        <w:tc>
          <w:tcPr>
            <w:tcW w:w="110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Calibri" w:cs="Calibri" w:eastAsia="Calibri" w:hAnsi="Calibri"/>
                <w:sz w:val="15"/>
                <w:szCs w:val="15"/>
                <w:color w:val="auto"/>
              </w:rPr>
              <w:t>214</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spacing w:after="0" w:line="180" w:lineRule="exact"/>
              <w:rPr>
                <w:sz w:val="20"/>
                <w:szCs w:val="20"/>
                <w:color w:val="auto"/>
              </w:rPr>
            </w:pPr>
            <w:r>
              <w:rPr>
                <w:rFonts w:ascii="Calibri" w:cs="Calibri" w:eastAsia="Calibri" w:hAnsi="Calibri"/>
                <w:sz w:val="15"/>
                <w:szCs w:val="15"/>
                <w:color w:val="auto"/>
              </w:rPr>
              <w:t>(39 )</w:t>
            </w:r>
          </w:p>
        </w:tc>
      </w:tr>
      <w:tr>
        <w:trPr>
          <w:trHeight w:val="29"/>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740" w:type="dxa"/>
            <w:vAlign w:val="bottom"/>
            <w:tcBorders>
              <w:bottom w:val="single" w:sz="8" w:color="CFF0FC"/>
            </w:tcBorders>
            <w:shd w:val="clear" w:color="auto" w:fill="CFF0FC"/>
          </w:tcPr>
          <w:p>
            <w:pPr>
              <w:ind w:left="20"/>
              <w:spacing w:after="0" w:line="176" w:lineRule="exact"/>
              <w:rPr>
                <w:sz w:val="20"/>
                <w:szCs w:val="20"/>
                <w:color w:val="auto"/>
              </w:rPr>
            </w:pPr>
            <w:r>
              <w:rPr>
                <w:rFonts w:ascii="Calibri" w:cs="Calibri" w:eastAsia="Calibri" w:hAnsi="Calibri"/>
                <w:sz w:val="15"/>
                <w:szCs w:val="15"/>
                <w:b w:val="1"/>
                <w:bCs w:val="1"/>
                <w:color w:val="auto"/>
              </w:rPr>
              <w:t>Cash Flows from Investng Actvites:</w:t>
            </w:r>
          </w:p>
        </w:tc>
        <w:tc>
          <w:tcPr>
            <w:tcW w:w="1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40" w:type="dxa"/>
            <w:vAlign w:val="bottom"/>
          </w:tcPr>
          <w:p>
            <w:pPr>
              <w:ind w:left="160"/>
              <w:spacing w:after="0"/>
              <w:rPr>
                <w:sz w:val="20"/>
                <w:szCs w:val="20"/>
                <w:color w:val="auto"/>
              </w:rPr>
            </w:pPr>
            <w:r>
              <w:rPr>
                <w:rFonts w:ascii="Calibri" w:cs="Calibri" w:eastAsia="Calibri" w:hAnsi="Calibri"/>
                <w:sz w:val="15"/>
                <w:szCs w:val="15"/>
                <w:color w:val="auto"/>
              </w:rPr>
              <w:t>Additons to property, plant and equipment</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(86 )</w:t>
            </w:r>
          </w:p>
        </w:tc>
        <w:tc>
          <w:tcPr>
            <w:tcW w:w="10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alibri" w:cs="Calibri" w:eastAsia="Calibri" w:hAnsi="Calibri"/>
                <w:sz w:val="15"/>
                <w:szCs w:val="15"/>
                <w:color w:val="auto"/>
              </w:rPr>
              <w:t>(71 )</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sale of land</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44"/>
              <w:spacing w:after="0"/>
              <w:rPr>
                <w:sz w:val="20"/>
                <w:szCs w:val="20"/>
                <w:color w:val="auto"/>
              </w:rPr>
            </w:pPr>
            <w:r>
              <w:rPr>
                <w:rFonts w:ascii="Calibri" w:cs="Calibri" w:eastAsia="Calibri" w:hAnsi="Calibri"/>
                <w:sz w:val="15"/>
                <w:szCs w:val="15"/>
                <w:color w:val="auto"/>
              </w:rPr>
              <w:t>—</w:t>
            </w:r>
          </w:p>
        </w:tc>
      </w:tr>
      <w:tr>
        <w:trPr>
          <w:trHeight w:val="183"/>
        </w:trPr>
        <w:tc>
          <w:tcPr>
            <w:tcW w:w="7740" w:type="dxa"/>
            <w:vAlign w:val="bottom"/>
          </w:tcPr>
          <w:p>
            <w:pPr>
              <w:ind w:left="160"/>
              <w:spacing w:after="0"/>
              <w:rPr>
                <w:sz w:val="20"/>
                <w:szCs w:val="20"/>
                <w:color w:val="auto"/>
              </w:rPr>
            </w:pPr>
            <w:r>
              <w:rPr>
                <w:rFonts w:ascii="Calibri" w:cs="Calibri" w:eastAsia="Calibri" w:hAnsi="Calibri"/>
                <w:sz w:val="15"/>
                <w:szCs w:val="15"/>
                <w:color w:val="auto"/>
              </w:rPr>
              <w:t>Proceeds from sale of business</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6</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79</w:t>
            </w: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Cash assumed from acquisiton of a business</w:t>
            </w:r>
          </w:p>
        </w:tc>
        <w:tc>
          <w:tcPr>
            <w:tcW w:w="1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6"/>
        </w:trPr>
        <w:tc>
          <w:tcPr>
            <w:tcW w:w="7740" w:type="dxa"/>
            <w:vAlign w:val="bottom"/>
          </w:tcPr>
          <w:p>
            <w:pPr>
              <w:ind w:left="160"/>
              <w:spacing w:after="0"/>
              <w:rPr>
                <w:sz w:val="20"/>
                <w:szCs w:val="20"/>
                <w:color w:val="auto"/>
              </w:rPr>
            </w:pPr>
            <w:r>
              <w:rPr>
                <w:rFonts w:ascii="Calibri" w:cs="Calibri" w:eastAsia="Calibri" w:hAnsi="Calibri"/>
                <w:sz w:val="15"/>
                <w:szCs w:val="15"/>
                <w:color w:val="auto"/>
              </w:rPr>
              <w:t>Other</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9</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Pr>
          <w:p>
            <w:pPr>
              <w:spacing w:after="0"/>
              <w:rPr>
                <w:sz w:val="16"/>
                <w:szCs w:val="16"/>
                <w:color w:val="auto"/>
              </w:rPr>
            </w:pPr>
          </w:p>
        </w:tc>
      </w:tr>
      <w:tr>
        <w:trPr>
          <w:trHeight w:val="30"/>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7740" w:type="dxa"/>
            <w:vAlign w:val="bottom"/>
            <w:tcBorders>
              <w:bottom w:val="single" w:sz="8" w:color="CFF0FC"/>
            </w:tcBorders>
            <w:shd w:val="clear" w:color="auto" w:fill="CFF0FC"/>
          </w:tcPr>
          <w:p>
            <w:pPr>
              <w:ind w:left="600"/>
              <w:spacing w:after="0" w:line="180" w:lineRule="exact"/>
              <w:rPr>
                <w:sz w:val="20"/>
                <w:szCs w:val="20"/>
                <w:color w:val="auto"/>
              </w:rPr>
            </w:pPr>
            <w:r>
              <w:rPr>
                <w:rFonts w:ascii="Calibri" w:cs="Calibri" w:eastAsia="Calibri" w:hAnsi="Calibri"/>
                <w:sz w:val="15"/>
                <w:szCs w:val="15"/>
                <w:color w:val="auto"/>
              </w:rPr>
              <w:t>Cash provided (used) by investng actvites</w:t>
            </w:r>
          </w:p>
        </w:tc>
        <w:tc>
          <w:tcPr>
            <w:tcW w:w="1100" w:type="dxa"/>
            <w:vAlign w:val="bottom"/>
            <w:tcBorders>
              <w:top w:val="single" w:sz="8" w:color="auto"/>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(64</w:t>
            </w:r>
          </w:p>
        </w:tc>
        <w:tc>
          <w:tcPr>
            <w:tcW w:w="300" w:type="dxa"/>
            <w:vAlign w:val="bottom"/>
            <w:tcBorders>
              <w:bottom w:val="single" w:sz="8" w:color="CFF0FC"/>
            </w:tcBorders>
            <w:shd w:val="clear" w:color="auto" w:fill="CFF0FC"/>
          </w:tcPr>
          <w:p>
            <w:pPr>
              <w:jc w:val="right"/>
              <w:ind w:right="164"/>
              <w:spacing w:after="0" w:line="180" w:lineRule="exact"/>
              <w:rPr>
                <w:sz w:val="20"/>
                <w:szCs w:val="20"/>
                <w:color w:val="auto"/>
              </w:rPr>
            </w:pPr>
            <w:r>
              <w:rPr>
                <w:rFonts w:ascii="Calibri" w:cs="Calibri" w:eastAsia="Calibri" w:hAnsi="Calibri"/>
                <w:sz w:val="15"/>
                <w:szCs w:val="15"/>
                <w:color w:val="auto"/>
                <w:w w:val="86"/>
              </w:rPr>
              <w:t>)</w:t>
            </w:r>
          </w:p>
        </w:tc>
        <w:tc>
          <w:tcPr>
            <w:tcW w:w="1080" w:type="dxa"/>
            <w:vAlign w:val="bottom"/>
            <w:tcBorders>
              <w:top w:val="single" w:sz="8" w:color="auto"/>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6"/>
        </w:trPr>
        <w:tc>
          <w:tcPr>
            <w:tcW w:w="7740" w:type="dxa"/>
            <w:vAlign w:val="bottom"/>
            <w:tcBorders>
              <w:top w:val="single" w:sz="8" w:color="CFF0FC"/>
            </w:tcBorders>
          </w:tcPr>
          <w:p>
            <w:pPr>
              <w:ind w:left="20"/>
              <w:spacing w:after="0" w:line="176" w:lineRule="exact"/>
              <w:rPr>
                <w:sz w:val="20"/>
                <w:szCs w:val="20"/>
                <w:color w:val="auto"/>
              </w:rPr>
            </w:pPr>
            <w:r>
              <w:rPr>
                <w:rFonts w:ascii="Calibri" w:cs="Calibri" w:eastAsia="Calibri" w:hAnsi="Calibri"/>
                <w:sz w:val="15"/>
                <w:szCs w:val="15"/>
                <w:b w:val="1"/>
                <w:bCs w:val="1"/>
                <w:color w:val="auto"/>
              </w:rPr>
              <w:t>Cash Flows from Financing Actvites:</w:t>
            </w:r>
          </w:p>
        </w:tc>
        <w:tc>
          <w:tcPr>
            <w:tcW w:w="1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short-term borrowings</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14</w:t>
            </w: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40" w:type="dxa"/>
            <w:vAlign w:val="bottom"/>
          </w:tcPr>
          <w:p>
            <w:pPr>
              <w:ind w:left="160"/>
              <w:spacing w:after="0"/>
              <w:rPr>
                <w:sz w:val="20"/>
                <w:szCs w:val="20"/>
                <w:color w:val="auto"/>
              </w:rPr>
            </w:pPr>
            <w:r>
              <w:rPr>
                <w:rFonts w:ascii="Calibri" w:cs="Calibri" w:eastAsia="Calibri" w:hAnsi="Calibri"/>
                <w:sz w:val="15"/>
                <w:szCs w:val="15"/>
                <w:color w:val="auto"/>
              </w:rPr>
              <w:t>Proceeds from issuance (repayments) of commercial paper, net</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(105 )</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167</w:t>
            </w: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Repayments of long-term debt</w:t>
            </w:r>
          </w:p>
        </w:tc>
        <w:tc>
          <w:tcPr>
            <w:tcW w:w="1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4"/>
              <w:spacing w:after="0"/>
              <w:rPr>
                <w:sz w:val="20"/>
                <w:szCs w:val="20"/>
                <w:color w:val="auto"/>
              </w:rPr>
            </w:pPr>
            <w:r>
              <w:rPr>
                <w:rFonts w:ascii="Calibri" w:cs="Calibri" w:eastAsia="Calibri" w:hAnsi="Calibri"/>
                <w:sz w:val="15"/>
                <w:szCs w:val="15"/>
                <w:color w:val="auto"/>
              </w:rPr>
              <w:t>(7 )</w:t>
            </w:r>
          </w:p>
        </w:tc>
        <w:tc>
          <w:tcPr>
            <w:tcW w:w="10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(7 )</w:t>
            </w:r>
          </w:p>
        </w:tc>
      </w:tr>
      <w:tr>
        <w:trPr>
          <w:trHeight w:val="183"/>
        </w:trPr>
        <w:tc>
          <w:tcPr>
            <w:tcW w:w="7740" w:type="dxa"/>
            <w:vAlign w:val="bottom"/>
          </w:tcPr>
          <w:p>
            <w:pPr>
              <w:ind w:left="160"/>
              <w:spacing w:after="0"/>
              <w:rPr>
                <w:sz w:val="20"/>
                <w:szCs w:val="20"/>
                <w:color w:val="auto"/>
              </w:rPr>
            </w:pPr>
            <w:r>
              <w:rPr>
                <w:rFonts w:ascii="Calibri" w:cs="Calibri" w:eastAsia="Calibri" w:hAnsi="Calibri"/>
                <w:sz w:val="15"/>
                <w:szCs w:val="15"/>
                <w:color w:val="auto"/>
              </w:rPr>
              <w:t>Purchases of common stock</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(33 )</w:t>
            </w:r>
          </w:p>
        </w:tc>
        <w:tc>
          <w:tcPr>
            <w:tcW w:w="10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alibri" w:cs="Calibri" w:eastAsia="Calibri" w:hAnsi="Calibri"/>
                <w:sz w:val="15"/>
                <w:szCs w:val="15"/>
                <w:color w:val="auto"/>
              </w:rPr>
              <w:t>(34 )</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Proceeds from sales of common stock</w:t>
            </w:r>
          </w:p>
        </w:tc>
        <w:tc>
          <w:tcPr>
            <w:tcW w:w="1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w:t>
            </w:r>
          </w:p>
        </w:tc>
        <w:tc>
          <w:tcPr>
            <w:tcW w:w="3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740" w:type="dxa"/>
            <w:vAlign w:val="bottom"/>
          </w:tcPr>
          <w:p>
            <w:pPr>
              <w:ind w:left="160"/>
              <w:spacing w:after="0"/>
              <w:rPr>
                <w:sz w:val="20"/>
                <w:szCs w:val="20"/>
                <w:color w:val="auto"/>
              </w:rPr>
            </w:pPr>
            <w:r>
              <w:rPr>
                <w:rFonts w:ascii="Calibri" w:cs="Calibri" w:eastAsia="Calibri" w:hAnsi="Calibri"/>
                <w:sz w:val="15"/>
                <w:szCs w:val="15"/>
                <w:color w:val="auto"/>
              </w:rPr>
              <w:t>Cash dividends paid to noncontrolling interests</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(41 )</w:t>
            </w:r>
          </w:p>
        </w:tc>
        <w:tc>
          <w:tcPr>
            <w:tcW w:w="10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alibri" w:cs="Calibri" w:eastAsia="Calibri" w:hAnsi="Calibri"/>
                <w:sz w:val="15"/>
                <w:szCs w:val="15"/>
                <w:color w:val="auto"/>
              </w:rPr>
              <w:t>(15 )</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r>
      <w:tr>
        <w:trPr>
          <w:trHeight w:val="196"/>
        </w:trPr>
        <w:tc>
          <w:tcPr>
            <w:tcW w:w="77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Cash dividends paid to common stockholders</w:t>
            </w:r>
          </w:p>
        </w:tc>
        <w:tc>
          <w:tcPr>
            <w:tcW w:w="1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4"/>
              <w:spacing w:after="0"/>
              <w:rPr>
                <w:sz w:val="20"/>
                <w:szCs w:val="20"/>
                <w:color w:val="auto"/>
              </w:rPr>
            </w:pPr>
            <w:r>
              <w:rPr>
                <w:rFonts w:ascii="Calibri" w:cs="Calibri" w:eastAsia="Calibri" w:hAnsi="Calibri"/>
                <w:sz w:val="15"/>
                <w:szCs w:val="15"/>
                <w:color w:val="auto"/>
              </w:rPr>
              <w:t>(42 )</w:t>
            </w:r>
          </w:p>
        </w:tc>
        <w:tc>
          <w:tcPr>
            <w:tcW w:w="10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(42 )</w:t>
            </w:r>
          </w:p>
        </w:tc>
      </w:tr>
      <w:tr>
        <w:trPr>
          <w:trHeight w:val="20"/>
        </w:trPr>
        <w:tc>
          <w:tcPr>
            <w:tcW w:w="7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7740" w:type="dxa"/>
            <w:vAlign w:val="bottom"/>
          </w:tcPr>
          <w:p>
            <w:pPr>
              <w:ind w:left="600"/>
              <w:spacing w:after="0" w:line="180" w:lineRule="exact"/>
              <w:rPr>
                <w:sz w:val="20"/>
                <w:szCs w:val="20"/>
                <w:color w:val="auto"/>
              </w:rPr>
            </w:pPr>
            <w:r>
              <w:rPr>
                <w:rFonts w:ascii="Calibri" w:cs="Calibri" w:eastAsia="Calibri" w:hAnsi="Calibri"/>
                <w:sz w:val="15"/>
                <w:szCs w:val="15"/>
                <w:color w:val="auto"/>
              </w:rPr>
              <w:t>Cash provided (used) by fnancing actvites</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line="180" w:lineRule="exact"/>
              <w:rPr>
                <w:sz w:val="20"/>
                <w:szCs w:val="20"/>
                <w:color w:val="auto"/>
              </w:rPr>
            </w:pPr>
            <w:r>
              <w:rPr>
                <w:rFonts w:ascii="Calibri" w:cs="Calibri" w:eastAsia="Calibri" w:hAnsi="Calibri"/>
                <w:sz w:val="15"/>
                <w:szCs w:val="15"/>
                <w:color w:val="auto"/>
              </w:rPr>
              <w:t>(210 )</w:t>
            </w:r>
          </w:p>
        </w:tc>
        <w:tc>
          <w:tcPr>
            <w:tcW w:w="108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Calibri" w:cs="Calibri" w:eastAsia="Calibri" w:hAnsi="Calibri"/>
                <w:sz w:val="15"/>
                <w:szCs w:val="15"/>
                <w:color w:val="auto"/>
              </w:rPr>
              <w:t>85</w:t>
            </w:r>
          </w:p>
        </w:tc>
        <w:tc>
          <w:tcPr>
            <w:tcW w:w="100" w:type="dxa"/>
            <w:vAlign w:val="bottom"/>
          </w:tcPr>
          <w:p>
            <w:pPr>
              <w:spacing w:after="0"/>
              <w:rPr>
                <w:sz w:val="15"/>
                <w:szCs w:val="15"/>
                <w:color w:val="auto"/>
              </w:rPr>
            </w:pPr>
          </w:p>
        </w:tc>
      </w:tr>
      <w:tr>
        <w:trPr>
          <w:trHeight w:val="30"/>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r>
      <w:tr>
        <w:trPr>
          <w:trHeight w:val="190"/>
        </w:trPr>
        <w:tc>
          <w:tcPr>
            <w:tcW w:w="7740" w:type="dxa"/>
            <w:vAlign w:val="bottom"/>
            <w:tcBorders>
              <w:bottom w:val="single" w:sz="8" w:color="CFF0FC"/>
            </w:tcBorders>
            <w:shd w:val="clear" w:color="auto" w:fill="CFF0FC"/>
          </w:tcPr>
          <w:p>
            <w:pPr>
              <w:ind w:left="20"/>
              <w:spacing w:after="0" w:line="180" w:lineRule="exact"/>
              <w:rPr>
                <w:sz w:val="20"/>
                <w:szCs w:val="20"/>
                <w:color w:val="auto"/>
              </w:rPr>
            </w:pPr>
            <w:r>
              <w:rPr>
                <w:rFonts w:ascii="Calibri" w:cs="Calibri" w:eastAsia="Calibri" w:hAnsi="Calibri"/>
                <w:sz w:val="15"/>
                <w:szCs w:val="15"/>
                <w:color w:val="auto"/>
              </w:rPr>
              <w:t>Efects of exchange rate changes on cash</w:t>
            </w:r>
          </w:p>
        </w:tc>
        <w:tc>
          <w:tcPr>
            <w:tcW w:w="1100" w:type="dxa"/>
            <w:vAlign w:val="bottom"/>
            <w:tcBorders>
              <w:top w:val="single" w:sz="8" w:color="auto"/>
              <w:bottom w:val="single" w:sz="8" w:color="CFF0FC"/>
            </w:tcBorders>
            <w:shd w:val="clear" w:color="auto" w:fill="CFF0FC"/>
          </w:tcPr>
          <w:p>
            <w:pPr>
              <w:spacing w:after="0"/>
              <w:rPr>
                <w:sz w:val="16"/>
                <w:szCs w:val="16"/>
                <w:color w:val="auto"/>
              </w:rPr>
            </w:pPr>
          </w:p>
        </w:tc>
        <w:tc>
          <w:tcPr>
            <w:tcW w:w="460" w:type="dxa"/>
            <w:vAlign w:val="bottom"/>
            <w:tcBorders>
              <w:top w:val="single" w:sz="8" w:color="auto"/>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59</w:t>
            </w:r>
          </w:p>
        </w:tc>
        <w:tc>
          <w:tcPr>
            <w:tcW w:w="3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top w:val="single" w:sz="8" w:color="auto"/>
              <w:bottom w:val="single" w:sz="8" w:color="CFF0FC"/>
            </w:tcBorders>
            <w:shd w:val="clear" w:color="auto" w:fill="CFF0FC"/>
          </w:tcPr>
          <w:p>
            <w:pPr>
              <w:spacing w:after="0"/>
              <w:rPr>
                <w:sz w:val="16"/>
                <w:szCs w:val="16"/>
                <w:color w:val="auto"/>
              </w:rPr>
            </w:pPr>
          </w:p>
        </w:tc>
        <w:tc>
          <w:tcPr>
            <w:tcW w:w="460" w:type="dxa"/>
            <w:vAlign w:val="bottom"/>
            <w:tcBorders>
              <w:top w:val="single" w:sz="8" w:color="auto"/>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(16</w:t>
            </w:r>
          </w:p>
        </w:tc>
        <w:tc>
          <w:tcPr>
            <w:tcW w:w="10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w w:val="86"/>
              </w:rPr>
              <w:t>)</w:t>
            </w:r>
          </w:p>
        </w:tc>
      </w:tr>
      <w:tr>
        <w:trPr>
          <w:trHeight w:val="20"/>
        </w:trPr>
        <w:tc>
          <w:tcPr>
            <w:tcW w:w="7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6"/>
        </w:trPr>
        <w:tc>
          <w:tcPr>
            <w:tcW w:w="7740" w:type="dxa"/>
            <w:vAlign w:val="bottom"/>
          </w:tcPr>
          <w:p>
            <w:pPr>
              <w:ind w:left="20"/>
              <w:spacing w:after="0" w:line="176" w:lineRule="exact"/>
              <w:rPr>
                <w:sz w:val="20"/>
                <w:szCs w:val="20"/>
                <w:color w:val="auto"/>
              </w:rPr>
            </w:pPr>
            <w:r>
              <w:rPr>
                <w:rFonts w:ascii="Calibri" w:cs="Calibri" w:eastAsia="Calibri" w:hAnsi="Calibri"/>
                <w:sz w:val="15"/>
                <w:szCs w:val="15"/>
                <w:color w:val="auto"/>
              </w:rPr>
              <w:t>Increase (decrease) in cash and cash equivalents</w:t>
            </w:r>
          </w:p>
        </w:tc>
        <w:tc>
          <w:tcPr>
            <w:tcW w:w="1100" w:type="dxa"/>
            <w:vAlign w:val="bottom"/>
          </w:tcPr>
          <w:p>
            <w:pPr>
              <w:spacing w:after="0"/>
              <w:rPr>
                <w:sz w:val="15"/>
                <w:szCs w:val="15"/>
                <w:color w:val="auto"/>
              </w:rPr>
            </w:pPr>
          </w:p>
        </w:tc>
        <w:tc>
          <w:tcPr>
            <w:tcW w:w="760" w:type="dxa"/>
            <w:vAlign w:val="bottom"/>
            <w:gridSpan w:val="2"/>
          </w:tcPr>
          <w:p>
            <w:pPr>
              <w:jc w:val="right"/>
              <w:ind w:right="164"/>
              <w:spacing w:after="0" w:line="176" w:lineRule="exact"/>
              <w:rPr>
                <w:sz w:val="20"/>
                <w:szCs w:val="20"/>
                <w:color w:val="auto"/>
              </w:rPr>
            </w:pPr>
            <w:r>
              <w:rPr>
                <w:rFonts w:ascii="Calibri" w:cs="Calibri" w:eastAsia="Calibri" w:hAnsi="Calibri"/>
                <w:sz w:val="15"/>
                <w:szCs w:val="15"/>
                <w:color w:val="auto"/>
              </w:rPr>
              <w:t>(1 )</w:t>
            </w:r>
          </w:p>
        </w:tc>
        <w:tc>
          <w:tcPr>
            <w:tcW w:w="108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Calibri" w:cs="Calibri" w:eastAsia="Calibri" w:hAnsi="Calibri"/>
                <w:sz w:val="15"/>
                <w:szCs w:val="15"/>
                <w:color w:val="auto"/>
              </w:rPr>
              <w:t>45</w:t>
            </w:r>
          </w:p>
        </w:tc>
        <w:tc>
          <w:tcPr>
            <w:tcW w:w="100" w:type="dxa"/>
            <w:vAlign w:val="bottom"/>
          </w:tcPr>
          <w:p>
            <w:pPr>
              <w:spacing w:after="0"/>
              <w:rPr>
                <w:sz w:val="15"/>
                <w:szCs w:val="15"/>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7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Cash and cash equivalents at beginning of period</w:t>
            </w:r>
          </w:p>
        </w:tc>
        <w:tc>
          <w:tcPr>
            <w:tcW w:w="1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206</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40" w:type="dxa"/>
            <w:vAlign w:val="bottom"/>
            <w:tcBorders>
              <w:top w:val="single" w:sz="8" w:color="CFF0FC"/>
            </w:tcBorders>
          </w:tcPr>
          <w:p>
            <w:pPr>
              <w:ind w:left="20"/>
              <w:spacing w:after="0"/>
              <w:rPr>
                <w:sz w:val="20"/>
                <w:szCs w:val="20"/>
                <w:color w:val="auto"/>
              </w:rPr>
            </w:pPr>
            <w:r>
              <w:rPr>
                <w:rFonts w:ascii="Calibri" w:cs="Calibri" w:eastAsia="Calibri" w:hAnsi="Calibri"/>
                <w:sz w:val="15"/>
                <w:szCs w:val="15"/>
                <w:color w:val="auto"/>
              </w:rPr>
              <w:t>Cash and cash equivalents at end of period</w:t>
            </w:r>
          </w:p>
        </w:tc>
        <w:tc>
          <w:tcPr>
            <w:tcW w:w="1100" w:type="dxa"/>
            <w:vAlign w:val="bottom"/>
            <w:tcBorders>
              <w:top w:val="single" w:sz="8" w:color="auto"/>
              <w:bottom w:val="single" w:sz="8" w:color="auto"/>
            </w:tcBorders>
          </w:tcPr>
          <w:p>
            <w:pPr>
              <w:jc w:val="right"/>
              <w:ind w:right="924"/>
              <w:spacing w:after="0"/>
              <w:rPr>
                <w:sz w:val="20"/>
                <w:szCs w:val="20"/>
                <w:color w:val="auto"/>
              </w:rPr>
            </w:pPr>
            <w:r>
              <w:rPr>
                <w:rFonts w:ascii="Calibri" w:cs="Calibri" w:eastAsia="Calibri" w:hAnsi="Calibri"/>
                <w:sz w:val="15"/>
                <w:szCs w:val="15"/>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205</w:t>
            </w:r>
          </w:p>
        </w:tc>
        <w:tc>
          <w:tcPr>
            <w:tcW w:w="30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24"/>
              <w:spacing w:after="0"/>
              <w:rPr>
                <w:sz w:val="20"/>
                <w:szCs w:val="20"/>
                <w:color w:val="auto"/>
              </w:rPr>
            </w:pPr>
            <w:r>
              <w:rPr>
                <w:rFonts w:ascii="Calibri" w:cs="Calibri" w:eastAsia="Calibri" w:hAnsi="Calibri"/>
                <w:sz w:val="15"/>
                <w:szCs w:val="15"/>
                <w:color w:val="auto"/>
                <w:w w:val="7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215</w:t>
            </w:r>
          </w:p>
        </w:tc>
        <w:tc>
          <w:tcPr>
            <w:tcW w:w="100" w:type="dxa"/>
            <w:vAlign w:val="bottom"/>
            <w:tcBorders>
              <w:top w:val="single" w:sz="8" w:color="CFF0FC"/>
            </w:tcBorders>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-2973705</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-1851025</wp:posOffset>
            </wp:positionV>
            <wp:extent cx="6858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-745490</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wp:posOffset>
            </wp:positionV>
            <wp:extent cx="6858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85" w:lineRule="exact"/>
        <w:rPr>
          <w:sz w:val="20"/>
          <w:szCs w:val="20"/>
          <w:color w:val="auto"/>
        </w:rPr>
      </w:pPr>
    </w:p>
    <w:p>
      <w:pPr>
        <w:ind w:left="2880"/>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170"/>
              <w:spacing w:after="0"/>
              <w:rPr>
                <w:sz w:val="20"/>
                <w:szCs w:val="20"/>
                <w:color w:val="auto"/>
              </w:rPr>
            </w:pPr>
            <w:r>
              <w:rPr>
                <w:rFonts w:ascii="Calibri" w:cs="Calibri" w:eastAsia="Calibri" w:hAnsi="Calibri"/>
                <w:sz w:val="14"/>
                <w:szCs w:val="14"/>
                <w:b w:val="1"/>
                <w:bCs w:val="1"/>
                <w:color w:val="auto"/>
              </w:rPr>
              <w:t>Accumulated</w:t>
            </w:r>
          </w:p>
        </w:tc>
        <w:tc>
          <w:tcPr>
            <w:tcW w:w="100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Total Cabot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660" w:type="dxa"/>
            <w:vAlign w:val="bottom"/>
            <w:gridSpan w:val="4"/>
            <w:vMerge w:val="restart"/>
          </w:tcPr>
          <w:p>
            <w:pPr>
              <w:jc w:val="right"/>
              <w:ind w:right="90"/>
              <w:spacing w:after="0"/>
              <w:rPr>
                <w:sz w:val="20"/>
                <w:szCs w:val="20"/>
                <w:color w:val="auto"/>
              </w:rPr>
            </w:pPr>
            <w:r>
              <w:rPr>
                <w:rFonts w:ascii="Calibri" w:cs="Calibri" w:eastAsia="Calibri" w:hAnsi="Calibri"/>
                <w:sz w:val="14"/>
                <w:szCs w:val="14"/>
                <w:b w:val="1"/>
                <w:bCs w:val="1"/>
                <w:color w:val="auto"/>
              </w:rPr>
              <w:t>Common Stock, Net of</w:t>
            </w:r>
          </w:p>
        </w:tc>
        <w:tc>
          <w:tcPr>
            <w:tcW w:w="24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Additon</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30"/>
              <w:spacing w:after="0"/>
              <w:rPr>
                <w:sz w:val="20"/>
                <w:szCs w:val="20"/>
                <w:color w:val="auto"/>
              </w:rPr>
            </w:pPr>
            <w:r>
              <w:rPr>
                <w:rFonts w:ascii="Calibri" w:cs="Calibri" w:eastAsia="Calibri" w:hAnsi="Calibri"/>
                <w:sz w:val="14"/>
                <w:szCs w:val="14"/>
                <w:b w:val="1"/>
                <w:bCs w:val="1"/>
                <w:color w:val="auto"/>
              </w:rPr>
              <w:t>Other</w:t>
            </w:r>
          </w:p>
        </w:tc>
        <w:tc>
          <w:tcPr>
            <w:tcW w:w="100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Corporaton</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380"/>
              <w:spacing w:after="0" w:line="168" w:lineRule="exact"/>
              <w:rPr>
                <w:sz w:val="20"/>
                <w:szCs w:val="20"/>
                <w:color w:val="auto"/>
              </w:rPr>
            </w:pPr>
            <w:r>
              <w:rPr>
                <w:rFonts w:ascii="Calibri" w:cs="Calibri" w:eastAsia="Calibri" w:hAnsi="Calibri"/>
                <w:sz w:val="14"/>
                <w:szCs w:val="14"/>
                <w:b w:val="1"/>
                <w:bCs w:val="1"/>
                <w:color w:val="auto"/>
                <w:w w:val="96"/>
              </w:rPr>
              <w:t>al</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Comprehensiv</w:t>
            </w:r>
          </w:p>
        </w:tc>
        <w:tc>
          <w:tcPr>
            <w:tcW w:w="1000" w:type="dxa"/>
            <w:vAlign w:val="bottom"/>
            <w:gridSpan w:val="3"/>
          </w:tcPr>
          <w:p>
            <w:pPr>
              <w:ind w:left="40"/>
              <w:spacing w:after="0" w:line="168" w:lineRule="exact"/>
              <w:rPr>
                <w:sz w:val="20"/>
                <w:szCs w:val="20"/>
                <w:color w:val="auto"/>
              </w:rPr>
            </w:pPr>
            <w:r>
              <w:rPr>
                <w:rFonts w:ascii="Calibri" w:cs="Calibri" w:eastAsia="Calibri" w:hAnsi="Calibri"/>
                <w:sz w:val="14"/>
                <w:szCs w:val="14"/>
                <w:b w:val="1"/>
                <w:bCs w:val="1"/>
                <w:color w:val="auto"/>
              </w:rPr>
              <w:t>Stockholder</w:t>
            </w:r>
          </w:p>
        </w:tc>
        <w:tc>
          <w:tcPr>
            <w:tcW w:w="100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Noncontrolli</w:t>
            </w:r>
          </w:p>
        </w:tc>
        <w:tc>
          <w:tcPr>
            <w:tcW w:w="180" w:type="dxa"/>
            <w:vAlign w:val="bottom"/>
          </w:tcPr>
          <w:p>
            <w:pPr>
              <w:spacing w:after="0"/>
              <w:rPr>
                <w:sz w:val="14"/>
                <w:szCs w:val="14"/>
                <w:color w:val="auto"/>
              </w:rPr>
            </w:pPr>
          </w:p>
        </w:tc>
        <w:tc>
          <w:tcPr>
            <w:tcW w:w="820" w:type="dxa"/>
            <w:vAlign w:val="bottom"/>
            <w:gridSpan w:val="2"/>
          </w:tcPr>
          <w:p>
            <w:pPr>
              <w:jc w:val="center"/>
              <w:ind w:right="320"/>
              <w:spacing w:after="0" w:line="168"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540" w:type="dxa"/>
            <w:vAlign w:val="bottom"/>
          </w:tcPr>
          <w:p>
            <w:pPr>
              <w:spacing w:after="0"/>
              <w:rPr>
                <w:sz w:val="17"/>
                <w:szCs w:val="17"/>
                <w:color w:val="auto"/>
              </w:rPr>
            </w:pPr>
          </w:p>
        </w:tc>
        <w:tc>
          <w:tcPr>
            <w:tcW w:w="1440" w:type="dxa"/>
            <w:vAlign w:val="bottom"/>
            <w:tcBorders>
              <w:bottom w:val="single" w:sz="8" w:color="auto"/>
            </w:tcBorders>
            <w:gridSpan w:val="3"/>
          </w:tcPr>
          <w:p>
            <w:pPr>
              <w:jc w:val="right"/>
              <w:ind w:right="95"/>
              <w:spacing w:after="0"/>
              <w:rPr>
                <w:sz w:val="20"/>
                <w:szCs w:val="20"/>
                <w:color w:val="auto"/>
              </w:rPr>
            </w:pPr>
            <w:r>
              <w:rPr>
                <w:rFonts w:ascii="Calibri" w:cs="Calibri" w:eastAsia="Calibri" w:hAnsi="Calibri"/>
                <w:sz w:val="14"/>
                <w:szCs w:val="14"/>
                <w:b w:val="1"/>
                <w:bCs w:val="1"/>
                <w:color w:val="auto"/>
              </w:rPr>
              <w:t>Treasury Stock</w:t>
            </w: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3"/>
          </w:tcPr>
          <w:p>
            <w:pPr>
              <w:jc w:val="center"/>
              <w:ind w:right="220"/>
              <w:spacing w:after="0"/>
              <w:rPr>
                <w:sz w:val="20"/>
                <w:szCs w:val="20"/>
                <w:color w:val="auto"/>
              </w:rPr>
            </w:pPr>
            <w:r>
              <w:rPr>
                <w:rFonts w:ascii="Calibri" w:cs="Calibri" w:eastAsia="Calibri" w:hAnsi="Calibri"/>
                <w:sz w:val="14"/>
                <w:szCs w:val="14"/>
                <w:b w:val="1"/>
                <w:bCs w:val="1"/>
                <w:color w:val="auto"/>
              </w:rPr>
              <w:t>Paid-in</w:t>
            </w:r>
          </w:p>
        </w:tc>
        <w:tc>
          <w:tcPr>
            <w:tcW w:w="880" w:type="dxa"/>
            <w:vAlign w:val="bottom"/>
            <w:gridSpan w:val="3"/>
          </w:tcPr>
          <w:p>
            <w:pPr>
              <w:ind w:left="60"/>
              <w:spacing w:after="0"/>
              <w:rPr>
                <w:sz w:val="20"/>
                <w:szCs w:val="20"/>
                <w:color w:val="auto"/>
              </w:rPr>
            </w:pPr>
            <w:r>
              <w:rPr>
                <w:rFonts w:ascii="Calibri" w:cs="Calibri" w:eastAsia="Calibri" w:hAnsi="Calibri"/>
                <w:sz w:val="14"/>
                <w:szCs w:val="14"/>
                <w:b w:val="1"/>
                <w:bCs w:val="1"/>
                <w:color w:val="auto"/>
              </w:rPr>
              <w:t>Retained</w:t>
            </w:r>
          </w:p>
        </w:tc>
        <w:tc>
          <w:tcPr>
            <w:tcW w:w="180" w:type="dxa"/>
            <w:vAlign w:val="bottom"/>
          </w:tcPr>
          <w:p>
            <w:pPr>
              <w:spacing w:after="0"/>
              <w:rPr>
                <w:sz w:val="17"/>
                <w:szCs w:val="17"/>
                <w:color w:val="auto"/>
              </w:rPr>
            </w:pPr>
          </w:p>
        </w:tc>
        <w:tc>
          <w:tcPr>
            <w:tcW w:w="940" w:type="dxa"/>
            <w:vAlign w:val="bottom"/>
            <w:gridSpan w:val="2"/>
          </w:tcPr>
          <w:p>
            <w:pPr>
              <w:jc w:val="center"/>
              <w:ind w:right="290"/>
              <w:spacing w:after="0"/>
              <w:rPr>
                <w:sz w:val="20"/>
                <w:szCs w:val="20"/>
                <w:color w:val="auto"/>
              </w:rPr>
            </w:pPr>
            <w:r>
              <w:rPr>
                <w:rFonts w:ascii="Calibri" w:cs="Calibri" w:eastAsia="Calibri" w:hAnsi="Calibri"/>
                <w:sz w:val="14"/>
                <w:szCs w:val="14"/>
                <w:b w:val="1"/>
                <w:bCs w:val="1"/>
                <w:color w:val="auto"/>
              </w:rPr>
              <w:t>e</w:t>
            </w:r>
          </w:p>
        </w:tc>
        <w:tc>
          <w:tcPr>
            <w:tcW w:w="180" w:type="dxa"/>
            <w:vAlign w:val="bottom"/>
          </w:tcPr>
          <w:p>
            <w:pPr>
              <w:spacing w:after="0"/>
              <w:rPr>
                <w:sz w:val="17"/>
                <w:szCs w:val="17"/>
                <w:color w:val="auto"/>
              </w:rPr>
            </w:pPr>
          </w:p>
        </w:tc>
        <w:tc>
          <w:tcPr>
            <w:tcW w:w="82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s’</w:t>
            </w:r>
          </w:p>
        </w:tc>
        <w:tc>
          <w:tcPr>
            <w:tcW w:w="120" w:type="dxa"/>
            <w:vAlign w:val="bottom"/>
          </w:tcPr>
          <w:p>
            <w:pPr>
              <w:spacing w:after="0"/>
              <w:rPr>
                <w:sz w:val="17"/>
                <w:szCs w:val="17"/>
                <w:color w:val="auto"/>
              </w:rPr>
            </w:pPr>
          </w:p>
        </w:tc>
        <w:tc>
          <w:tcPr>
            <w:tcW w:w="880" w:type="dxa"/>
            <w:vAlign w:val="bottom"/>
            <w:gridSpan w:val="2"/>
          </w:tcPr>
          <w:p>
            <w:pPr>
              <w:jc w:val="right"/>
              <w:ind w:right="540"/>
              <w:spacing w:after="0"/>
              <w:rPr>
                <w:sz w:val="20"/>
                <w:szCs w:val="20"/>
                <w:color w:val="auto"/>
              </w:rPr>
            </w:pPr>
            <w:r>
              <w:rPr>
                <w:rFonts w:ascii="Calibri" w:cs="Calibri" w:eastAsia="Calibri" w:hAnsi="Calibri"/>
                <w:sz w:val="14"/>
                <w:szCs w:val="14"/>
                <w:b w:val="1"/>
                <w:bCs w:val="1"/>
                <w:color w:val="auto"/>
              </w:rPr>
              <w:t>ng</w:t>
            </w:r>
          </w:p>
        </w:tc>
        <w:tc>
          <w:tcPr>
            <w:tcW w:w="100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Stockholders’</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Calibri" w:cs="Calibri" w:eastAsia="Calibri" w:hAnsi="Calibri"/>
                <w:sz w:val="14"/>
                <w:szCs w:val="14"/>
                <w:b w:val="1"/>
                <w:bCs w:val="1"/>
                <w:color w:val="auto"/>
              </w:rPr>
              <w:t>Shares</w:t>
            </w:r>
          </w:p>
        </w:tc>
        <w:tc>
          <w:tcPr>
            <w:tcW w:w="500" w:type="dxa"/>
            <w:vAlign w:val="bottom"/>
          </w:tcPr>
          <w:p>
            <w:pPr>
              <w:jc w:val="right"/>
              <w:spacing w:after="0"/>
              <w:rPr>
                <w:sz w:val="20"/>
                <w:szCs w:val="20"/>
                <w:color w:val="auto"/>
              </w:rPr>
            </w:pPr>
            <w:r>
              <w:rPr>
                <w:rFonts w:ascii="Calibri" w:cs="Calibri" w:eastAsia="Calibri" w:hAnsi="Calibri"/>
                <w:sz w:val="14"/>
                <w:szCs w:val="14"/>
                <w:b w:val="1"/>
                <w:bCs w:val="1"/>
                <w:color w:val="auto"/>
              </w:rPr>
              <w:t>Cost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220"/>
              <w:spacing w:after="0" w:line="169" w:lineRule="exact"/>
              <w:rPr>
                <w:sz w:val="20"/>
                <w:szCs w:val="20"/>
                <w:color w:val="auto"/>
              </w:rPr>
            </w:pPr>
            <w:r>
              <w:rPr>
                <w:rFonts w:ascii="Calibri" w:cs="Calibri" w:eastAsia="Calibri" w:hAnsi="Calibri"/>
                <w:sz w:val="14"/>
                <w:szCs w:val="14"/>
                <w:b w:val="1"/>
                <w:bCs w:val="1"/>
                <w:color w:val="auto"/>
              </w:rPr>
              <w:t>Capital</w:t>
            </w:r>
          </w:p>
        </w:tc>
        <w:tc>
          <w:tcPr>
            <w:tcW w:w="880" w:type="dxa"/>
            <w:vAlign w:val="bottom"/>
            <w:gridSpan w:val="3"/>
          </w:tcPr>
          <w:p>
            <w:pPr>
              <w:ind w:left="80"/>
              <w:spacing w:after="0" w:line="169" w:lineRule="exact"/>
              <w:rPr>
                <w:sz w:val="20"/>
                <w:szCs w:val="20"/>
                <w:color w:val="auto"/>
              </w:rPr>
            </w:pPr>
            <w:r>
              <w:rPr>
                <w:rFonts w:ascii="Calibri" w:cs="Calibri" w:eastAsia="Calibri" w:hAnsi="Calibri"/>
                <w:sz w:val="14"/>
                <w:szCs w:val="14"/>
                <w:b w:val="1"/>
                <w:bCs w:val="1"/>
                <w:color w:val="auto"/>
              </w:rPr>
              <w:t>Earnings</w:t>
            </w:r>
          </w:p>
        </w:tc>
        <w:tc>
          <w:tcPr>
            <w:tcW w:w="1120" w:type="dxa"/>
            <w:vAlign w:val="bottom"/>
            <w:gridSpan w:val="3"/>
          </w:tcPr>
          <w:p>
            <w:pPr>
              <w:ind w:left="40"/>
              <w:spacing w:after="0" w:line="169" w:lineRule="exact"/>
              <w:rPr>
                <w:sz w:val="20"/>
                <w:szCs w:val="20"/>
                <w:color w:val="auto"/>
              </w:rPr>
            </w:pPr>
            <w:r>
              <w:rPr>
                <w:rFonts w:ascii="Calibri" w:cs="Calibri" w:eastAsia="Calibri" w:hAnsi="Calibri"/>
                <w:sz w:val="14"/>
                <w:szCs w:val="14"/>
                <w:b w:val="1"/>
                <w:bCs w:val="1"/>
                <w:color w:val="auto"/>
              </w:rPr>
              <w:t>Income (Loss)</w:t>
            </w:r>
          </w:p>
        </w:tc>
        <w:tc>
          <w:tcPr>
            <w:tcW w:w="180" w:type="dxa"/>
            <w:vAlign w:val="bottom"/>
          </w:tcPr>
          <w:p>
            <w:pPr>
              <w:spacing w:after="0"/>
              <w:rPr>
                <w:sz w:val="14"/>
                <w:szCs w:val="14"/>
                <w:color w:val="auto"/>
              </w:rPr>
            </w:pPr>
          </w:p>
        </w:tc>
        <w:tc>
          <w:tcPr>
            <w:tcW w:w="820" w:type="dxa"/>
            <w:vAlign w:val="bottom"/>
            <w:gridSpan w:val="2"/>
          </w:tcPr>
          <w:p>
            <w:pPr>
              <w:jc w:val="center"/>
              <w:ind w:right="400"/>
              <w:spacing w:after="0" w:line="169" w:lineRule="exact"/>
              <w:rPr>
                <w:sz w:val="20"/>
                <w:szCs w:val="20"/>
                <w:color w:val="auto"/>
              </w:rPr>
            </w:pPr>
            <w:r>
              <w:rPr>
                <w:rFonts w:ascii="Calibri" w:cs="Calibri" w:eastAsia="Calibri" w:hAnsi="Calibri"/>
                <w:sz w:val="14"/>
                <w:szCs w:val="14"/>
                <w:b w:val="1"/>
                <w:bCs w:val="1"/>
                <w:color w:val="auto"/>
              </w:rPr>
              <w:t>Equity</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line="169" w:lineRule="exact"/>
              <w:rPr>
                <w:sz w:val="20"/>
                <w:szCs w:val="20"/>
                <w:color w:val="auto"/>
              </w:rPr>
            </w:pPr>
            <w:r>
              <w:rPr>
                <w:rFonts w:ascii="Calibri" w:cs="Calibri" w:eastAsia="Calibri" w:hAnsi="Calibri"/>
                <w:sz w:val="14"/>
                <w:szCs w:val="14"/>
                <w:b w:val="1"/>
                <w:bCs w:val="1"/>
                <w:color w:val="auto"/>
              </w:rPr>
              <w:t>Interests</w:t>
            </w:r>
          </w:p>
        </w:tc>
        <w:tc>
          <w:tcPr>
            <w:tcW w:w="180" w:type="dxa"/>
            <w:vAlign w:val="bottom"/>
          </w:tcPr>
          <w:p>
            <w:pPr>
              <w:spacing w:after="0"/>
              <w:rPr>
                <w:sz w:val="14"/>
                <w:szCs w:val="14"/>
                <w:color w:val="auto"/>
              </w:rPr>
            </w:pPr>
          </w:p>
        </w:tc>
        <w:tc>
          <w:tcPr>
            <w:tcW w:w="820" w:type="dxa"/>
            <w:vAlign w:val="bottom"/>
            <w:gridSpan w:val="2"/>
          </w:tcPr>
          <w:p>
            <w:pPr>
              <w:jc w:val="center"/>
              <w:ind w:right="280"/>
              <w:spacing w:after="0" w:line="169" w:lineRule="exact"/>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ind w:left="60"/>
              <w:spacing w:after="0" w:line="164" w:lineRule="exact"/>
              <w:rPr>
                <w:sz w:val="20"/>
                <w:szCs w:val="20"/>
                <w:color w:val="auto"/>
              </w:rPr>
            </w:pPr>
            <w:r>
              <w:rPr>
                <w:rFonts w:ascii="Calibri" w:cs="Calibri" w:eastAsia="Calibri" w:hAnsi="Calibri"/>
                <w:sz w:val="14"/>
                <w:szCs w:val="14"/>
                <w:b w:val="1"/>
                <w:bCs w:val="1"/>
                <w:color w:val="auto"/>
                <w:w w:val="84"/>
              </w:rPr>
              <w:t>(In millions,</w:t>
            </w:r>
          </w:p>
        </w:tc>
        <w:tc>
          <w:tcPr>
            <w:tcW w:w="220" w:type="dxa"/>
            <w:vAlign w:val="bottom"/>
          </w:tcPr>
          <w:p>
            <w:pPr>
              <w:spacing w:after="0"/>
              <w:rPr>
                <w:sz w:val="14"/>
                <w:szCs w:val="14"/>
                <w:color w:val="auto"/>
              </w:rPr>
            </w:pPr>
          </w:p>
        </w:tc>
        <w:tc>
          <w:tcPr>
            <w:tcW w:w="1300" w:type="dxa"/>
            <w:vAlign w:val="bottom"/>
            <w:gridSpan w:val="4"/>
          </w:tcPr>
          <w:p>
            <w:pPr>
              <w:spacing w:after="0" w:line="164" w:lineRule="exact"/>
              <w:rPr>
                <w:sz w:val="20"/>
                <w:szCs w:val="20"/>
                <w:color w:val="auto"/>
              </w:rPr>
            </w:pPr>
            <w:r>
              <w:rPr>
                <w:rFonts w:ascii="Calibri" w:cs="Calibri" w:eastAsia="Calibri" w:hAnsi="Calibri"/>
                <w:sz w:val="14"/>
                <w:szCs w:val="14"/>
                <w:b w:val="1"/>
                <w:bCs w:val="1"/>
                <w:color w:val="auto"/>
                <w:w w:val="96"/>
              </w:rPr>
              <w:t>except share amounts)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September 30, 2022</w:t>
            </w:r>
          </w:p>
        </w:tc>
        <w:tc>
          <w:tcPr>
            <w:tcW w:w="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56,249</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295"/>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8"/>
              </w:rPr>
              <w:t>52</w:t>
            </w:r>
          </w:p>
        </w:tc>
        <w:tc>
          <w:tcPr>
            <w:tcW w:w="400" w:type="dxa"/>
            <w:vAlign w:val="bottom"/>
            <w:tcBorders>
              <w:bottom w:val="single" w:sz="8" w:color="CFF0FC"/>
            </w:tcBorders>
            <w:gridSpan w:val="2"/>
            <w:shd w:val="clear" w:color="auto" w:fill="CFF0FC"/>
          </w:tcPr>
          <w:p>
            <w:pPr>
              <w:ind w:left="240"/>
              <w:spacing w:after="0" w:line="208" w:lineRule="exact"/>
              <w:rPr>
                <w:sz w:val="20"/>
                <w:szCs w:val="20"/>
                <w:color w:val="auto"/>
              </w:rPr>
            </w:pPr>
            <w:r>
              <w:rPr>
                <w:rFonts w:ascii="Calibri" w:cs="Calibri" w:eastAsia="Calibri" w:hAnsi="Calibri"/>
                <w:sz w:val="18"/>
                <w:szCs w:val="18"/>
                <w:color w:val="auto"/>
              </w:rPr>
              <w:t>$</w:t>
            </w:r>
          </w:p>
        </w:tc>
        <w:tc>
          <w:tcPr>
            <w:tcW w:w="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1,284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gridSpan w:val="2"/>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rPr>
              <w:t>(439 )</w:t>
            </w:r>
          </w:p>
        </w:tc>
        <w:tc>
          <w:tcPr>
            <w:tcW w:w="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898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$0.37 per share</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(21 )</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line="207" w:lineRule="exact"/>
              <w:rPr>
                <w:sz w:val="20"/>
                <w:szCs w:val="20"/>
                <w:color w:val="auto"/>
              </w:rPr>
            </w:pPr>
            <w:r>
              <w:rPr>
                <w:rFonts w:ascii="Calibri" w:cs="Calibri" w:eastAsia="Calibri" w:hAnsi="Calibri"/>
                <w:sz w:val="18"/>
                <w:szCs w:val="18"/>
                <w:color w:val="auto"/>
              </w:rPr>
              <w:t>Cash dividends declared to noncontrolling</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54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Issuance of stock under equity compensaton</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plans</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309</w:t>
            </w: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9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(242 )</w:t>
            </w: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(14 )</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(3 )</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(17 )</w:t>
            </w: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(17 )</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40" w:type="dxa"/>
            <w:vAlign w:val="bottom"/>
          </w:tcPr>
          <w:p>
            <w:pPr>
              <w:ind w:left="20"/>
              <w:spacing w:after="0" w:line="208" w:lineRule="exact"/>
              <w:rPr>
                <w:sz w:val="20"/>
                <w:szCs w:val="20"/>
                <w:color w:val="auto"/>
              </w:rPr>
            </w:pPr>
            <w:r>
              <w:rPr>
                <w:rFonts w:ascii="Calibri" w:cs="Calibri" w:eastAsia="Calibri" w:hAnsi="Calibri"/>
                <w:sz w:val="18"/>
                <w:szCs w:val="18"/>
                <w:color w:val="auto"/>
              </w:rPr>
              <w:t>Balance at December 31, 2022</w:t>
            </w:r>
          </w:p>
        </w:tc>
        <w:tc>
          <w:tcPr>
            <w:tcW w:w="700" w:type="dxa"/>
            <w:vAlign w:val="bottom"/>
          </w:tcPr>
          <w:p>
            <w:pPr>
              <w:jc w:val="right"/>
              <w:spacing w:after="0" w:line="208" w:lineRule="exact"/>
              <w:rPr>
                <w:sz w:val="20"/>
                <w:szCs w:val="20"/>
                <w:color w:val="auto"/>
              </w:rPr>
            </w:pPr>
            <w:r>
              <w:rPr>
                <w:rFonts w:ascii="Calibri" w:cs="Calibri" w:eastAsia="Calibri" w:hAnsi="Calibri"/>
                <w:sz w:val="18"/>
                <w:szCs w:val="18"/>
                <w:color w:val="auto"/>
              </w:rPr>
              <w:t>56,316</w:t>
            </w:r>
          </w:p>
        </w:tc>
        <w:tc>
          <w:tcPr>
            <w:tcW w:w="240" w:type="dxa"/>
            <w:vAlign w:val="bottom"/>
          </w:tcPr>
          <w:p>
            <w:pPr>
              <w:spacing w:after="0"/>
              <w:rPr>
                <w:sz w:val="18"/>
                <w:szCs w:val="18"/>
                <w:color w:val="auto"/>
              </w:rPr>
            </w:pPr>
          </w:p>
        </w:tc>
        <w:tc>
          <w:tcPr>
            <w:tcW w:w="500" w:type="dxa"/>
            <w:vAlign w:val="bottom"/>
          </w:tcPr>
          <w:p>
            <w:pPr>
              <w:jc w:val="right"/>
              <w:ind w:right="295"/>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Pr>
          <w:p>
            <w:pPr>
              <w:jc w:val="right"/>
              <w:spacing w:after="0" w:line="208" w:lineRule="exact"/>
              <w:rPr>
                <w:sz w:val="20"/>
                <w:szCs w:val="20"/>
                <w:color w:val="auto"/>
              </w:rPr>
            </w:pPr>
            <w:r>
              <w:rPr>
                <w:rFonts w:ascii="Calibri" w:cs="Calibri" w:eastAsia="Calibri" w:hAnsi="Calibri"/>
                <w:sz w:val="18"/>
                <w:szCs w:val="18"/>
                <w:color w:val="auto"/>
                <w:w w:val="98"/>
              </w:rPr>
              <w:t>53</w:t>
            </w:r>
          </w:p>
        </w:tc>
        <w:tc>
          <w:tcPr>
            <w:tcW w:w="240" w:type="dxa"/>
            <w:vAlign w:val="bottom"/>
          </w:tcPr>
          <w:p>
            <w:pPr>
              <w:spacing w:after="0"/>
              <w:rPr>
                <w:sz w:val="18"/>
                <w:szCs w:val="18"/>
                <w:color w:val="auto"/>
              </w:rPr>
            </w:pPr>
          </w:p>
        </w:tc>
        <w:tc>
          <w:tcPr>
            <w:tcW w:w="160" w:type="dxa"/>
            <w:vAlign w:val="bottom"/>
          </w:tcPr>
          <w:p>
            <w:pPr>
              <w:spacing w:after="0" w:line="208" w:lineRule="exact"/>
              <w:rPr>
                <w:sz w:val="20"/>
                <w:szCs w:val="20"/>
                <w:color w:val="auto"/>
              </w:rPr>
            </w:pPr>
            <w:r>
              <w:rPr>
                <w:rFonts w:ascii="Calibri" w:cs="Calibri" w:eastAsia="Calibri" w:hAnsi="Calibri"/>
                <w:sz w:val="18"/>
                <w:szCs w:val="18"/>
                <w:color w:val="auto"/>
              </w:rPr>
              <w:t>$</w:t>
            </w:r>
          </w:p>
        </w:tc>
        <w:tc>
          <w:tcPr>
            <w:tcW w:w="42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80" w:type="dxa"/>
            <w:vAlign w:val="bottom"/>
          </w:tcPr>
          <w:p>
            <w:pPr>
              <w:jc w:val="right"/>
              <w:spacing w:after="0" w:line="208" w:lineRule="exact"/>
              <w:rPr>
                <w:sz w:val="20"/>
                <w:szCs w:val="20"/>
                <w:color w:val="auto"/>
              </w:rPr>
            </w:pPr>
            <w:r>
              <w:rPr>
                <w:rFonts w:ascii="Calibri" w:cs="Calibri" w:eastAsia="Calibri" w:hAnsi="Calibri"/>
                <w:sz w:val="18"/>
                <w:szCs w:val="18"/>
                <w:color w:val="auto"/>
              </w:rPr>
              <w:t>1,314</w:t>
            </w:r>
          </w:p>
        </w:tc>
        <w:tc>
          <w:tcPr>
            <w:tcW w:w="220" w:type="dxa"/>
            <w:vAlign w:val="bottom"/>
          </w:tcPr>
          <w:p>
            <w:pPr>
              <w:spacing w:after="0"/>
              <w:rPr>
                <w:sz w:val="18"/>
                <w:szCs w:val="18"/>
                <w:color w:val="auto"/>
              </w:rPr>
            </w:pPr>
          </w:p>
        </w:tc>
        <w:tc>
          <w:tcPr>
            <w:tcW w:w="180" w:type="dxa"/>
            <w:vAlign w:val="bottom"/>
          </w:tcPr>
          <w:p>
            <w:pPr>
              <w:ind w:left="20"/>
              <w:spacing w:after="0" w:line="208" w:lineRule="exact"/>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ind w:right="50"/>
              <w:spacing w:after="0" w:line="208" w:lineRule="exact"/>
              <w:rPr>
                <w:sz w:val="20"/>
                <w:szCs w:val="20"/>
                <w:color w:val="auto"/>
              </w:rPr>
            </w:pPr>
            <w:r>
              <w:rPr>
                <w:rFonts w:ascii="Calibri" w:cs="Calibri" w:eastAsia="Calibri" w:hAnsi="Calibri"/>
                <w:sz w:val="18"/>
                <w:szCs w:val="18"/>
                <w:color w:val="auto"/>
              </w:rPr>
              <w:t>(358 )</w:t>
            </w:r>
          </w:p>
        </w:tc>
        <w:tc>
          <w:tcPr>
            <w:tcW w:w="180" w:type="dxa"/>
            <w:vAlign w:val="bottom"/>
          </w:tcPr>
          <w:p>
            <w:pPr>
              <w:ind w:left="20"/>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08" w:lineRule="exact"/>
              <w:rPr>
                <w:sz w:val="20"/>
                <w:szCs w:val="20"/>
                <w:color w:val="auto"/>
              </w:rPr>
            </w:pPr>
            <w:r>
              <w:rPr>
                <w:rFonts w:ascii="Calibri" w:cs="Calibri" w:eastAsia="Calibri" w:hAnsi="Calibri"/>
                <w:sz w:val="18"/>
                <w:szCs w:val="18"/>
                <w:color w:val="auto"/>
              </w:rPr>
              <w:t>1,009</w:t>
            </w:r>
          </w:p>
        </w:tc>
        <w:tc>
          <w:tcPr>
            <w:tcW w:w="220" w:type="dxa"/>
            <w:vAlign w:val="bottom"/>
          </w:tcPr>
          <w:p>
            <w:pPr>
              <w:spacing w:after="0"/>
              <w:rPr>
                <w:sz w:val="18"/>
                <w:szCs w:val="18"/>
                <w:color w:val="auto"/>
              </w:rPr>
            </w:pPr>
          </w:p>
        </w:tc>
        <w:tc>
          <w:tcPr>
            <w:tcW w:w="120" w:type="dxa"/>
            <w:vAlign w:val="bottom"/>
          </w:tcPr>
          <w:p>
            <w:pPr>
              <w:ind w:left="20"/>
              <w:spacing w:after="0" w:line="208" w:lineRule="exact"/>
              <w:rPr>
                <w:sz w:val="20"/>
                <w:szCs w:val="20"/>
                <w:color w:val="auto"/>
              </w:rPr>
            </w:pPr>
            <w:r>
              <w:rPr>
                <w:rFonts w:ascii="Calibri" w:cs="Calibri" w:eastAsia="Calibri" w:hAnsi="Calibri"/>
                <w:sz w:val="18"/>
                <w:szCs w:val="18"/>
                <w:color w:val="auto"/>
                <w:w w:val="87"/>
              </w:rPr>
              <w:t>$</w:t>
            </w:r>
          </w:p>
        </w:tc>
        <w:tc>
          <w:tcPr>
            <w:tcW w:w="660" w:type="dxa"/>
            <w:vAlign w:val="bottom"/>
          </w:tcPr>
          <w:p>
            <w:pPr>
              <w:jc w:val="right"/>
              <w:spacing w:after="0" w:line="208" w:lineRule="exact"/>
              <w:rPr>
                <w:sz w:val="20"/>
                <w:szCs w:val="20"/>
                <w:color w:val="auto"/>
              </w:rPr>
            </w:pPr>
            <w:r>
              <w:rPr>
                <w:rFonts w:ascii="Calibri" w:cs="Calibri" w:eastAsia="Calibri" w:hAnsi="Calibri"/>
                <w:sz w:val="18"/>
                <w:szCs w:val="18"/>
                <w:color w:val="auto"/>
              </w:rPr>
              <w:t>150</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line="208" w:lineRule="exact"/>
              <w:rPr>
                <w:sz w:val="20"/>
                <w:szCs w:val="20"/>
                <w:color w:val="auto"/>
              </w:rPr>
            </w:pPr>
            <w:r>
              <w:rPr>
                <w:rFonts w:ascii="Calibri" w:cs="Calibri" w:eastAsia="Calibri" w:hAnsi="Calibri"/>
                <w:sz w:val="18"/>
                <w:szCs w:val="18"/>
                <w:color w:val="auto"/>
              </w:rPr>
              <w:t>1,159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0"/>
              <w:spacing w:after="0" w:line="215" w:lineRule="exact"/>
              <w:rPr>
                <w:sz w:val="20"/>
                <w:szCs w:val="20"/>
                <w:color w:val="auto"/>
              </w:rPr>
            </w:pPr>
            <w:r>
              <w:rPr>
                <w:rFonts w:ascii="Calibri" w:cs="Calibri" w:eastAsia="Calibri" w:hAnsi="Calibri"/>
                <w:sz w:val="18"/>
                <w:szCs w:val="18"/>
                <w:color w:val="auto"/>
              </w:rPr>
              <w:t>Common stock, $0.37 per share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(21 )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54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Cash dividends declared to noncontrolling</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interests</w:t>
            </w:r>
          </w:p>
        </w:tc>
        <w:tc>
          <w:tcPr>
            <w:tcW w:w="7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(27 )</w:t>
            </w:r>
          </w:p>
        </w:tc>
        <w:tc>
          <w:tcPr>
            <w:tcW w:w="18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(27 )</w:t>
            </w: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line="207" w:lineRule="exact"/>
              <w:rPr>
                <w:sz w:val="20"/>
                <w:szCs w:val="20"/>
                <w:color w:val="auto"/>
              </w:rPr>
            </w:pPr>
            <w:r>
              <w:rPr>
                <w:rFonts w:ascii="Calibri" w:cs="Calibri" w:eastAsia="Calibri" w:hAnsi="Calibri"/>
                <w:sz w:val="18"/>
                <w:szCs w:val="18"/>
                <w:color w:val="auto"/>
              </w:rPr>
              <w:t>Issuance of stock under equity compensaton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plans</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Purchase and retrement of common stock</w:t>
            </w:r>
          </w:p>
        </w:tc>
        <w:tc>
          <w:tcPr>
            <w:tcW w:w="9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(199 )</w:t>
            </w:r>
          </w:p>
        </w:tc>
        <w:tc>
          <w:tcPr>
            <w:tcW w:w="500" w:type="dxa"/>
            <w:vAlign w:val="bottom"/>
          </w:tcPr>
          <w:p>
            <w:pPr>
              <w:spacing w:after="0"/>
              <w:rPr>
                <w:sz w:val="18"/>
                <w:szCs w:val="18"/>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(8 )</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(8 )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(16 )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(16 )</w:t>
            </w: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540" w:type="dxa"/>
            <w:vAlign w:val="bottom"/>
            <w:tcBorders>
              <w:top w:val="single" w:sz="8" w:color="CFF0FC"/>
            </w:tcBorders>
            <w:shd w:val="clear" w:color="auto" w:fill="CFF0FC"/>
          </w:tcPr>
          <w:p>
            <w:pPr>
              <w:ind w:left="20"/>
              <w:spacing w:after="0" w:line="199" w:lineRule="exact"/>
              <w:rPr>
                <w:sz w:val="20"/>
                <w:szCs w:val="20"/>
                <w:color w:val="auto"/>
              </w:rPr>
            </w:pPr>
            <w:r>
              <w:rPr>
                <w:rFonts w:ascii="Calibri" w:cs="Calibri" w:eastAsia="Calibri" w:hAnsi="Calibri"/>
                <w:sz w:val="18"/>
                <w:szCs w:val="18"/>
                <w:color w:val="auto"/>
              </w:rPr>
              <w:t>Balance at March 31, 2023</w:t>
            </w:r>
          </w:p>
        </w:tc>
        <w:tc>
          <w:tcPr>
            <w:tcW w:w="70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56,146</w:t>
            </w:r>
          </w:p>
        </w:tc>
        <w:tc>
          <w:tcPr>
            <w:tcW w:w="2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295"/>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8"/>
              </w:rPr>
              <w:t>53</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line="208" w:lineRule="exact"/>
              <w:rPr>
                <w:sz w:val="20"/>
                <w:szCs w:val="20"/>
                <w:color w:val="auto"/>
              </w:rPr>
            </w:pPr>
            <w:r>
              <w:rPr>
                <w:rFonts w:ascii="Calibri" w:cs="Calibri" w:eastAsia="Calibri" w:hAnsi="Calibri"/>
                <w:sz w:val="18"/>
                <w:szCs w:val="18"/>
                <w:color w:val="auto"/>
              </w:rPr>
              <w:t>$</w:t>
            </w:r>
          </w:p>
        </w:tc>
        <w:tc>
          <w:tcPr>
            <w:tcW w:w="42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8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1,360</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72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(314</w:t>
            </w:r>
          </w:p>
        </w:tc>
        <w:tc>
          <w:tcPr>
            <w:tcW w:w="220" w:type="dxa"/>
            <w:vAlign w:val="bottom"/>
            <w:tcBorders>
              <w:top w:val="single" w:sz="8" w:color="CFF0FC"/>
            </w:tcBorders>
            <w:shd w:val="clear" w:color="auto" w:fill="CFF0FC"/>
          </w:tcPr>
          <w:p>
            <w:pPr>
              <w:jc w:val="right"/>
              <w:ind w:right="50"/>
              <w:spacing w:after="0" w:line="199" w:lineRule="exact"/>
              <w:rPr>
                <w:sz w:val="20"/>
                <w:szCs w:val="20"/>
                <w:color w:val="auto"/>
              </w:rPr>
            </w:pPr>
            <w:r>
              <w:rPr>
                <w:rFonts w:ascii="Calibri" w:cs="Calibri" w:eastAsia="Calibri" w:hAnsi="Calibri"/>
                <w:sz w:val="18"/>
                <w:szCs w:val="18"/>
                <w:color w:val="auto"/>
              </w:rPr>
              <w:t>)</w:t>
            </w:r>
          </w:p>
        </w:tc>
        <w:tc>
          <w:tcPr>
            <w:tcW w:w="180" w:type="dxa"/>
            <w:vAlign w:val="bottom"/>
            <w:tcBorders>
              <w:top w:val="single" w:sz="8" w:color="auto"/>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1,099</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w w:val="87"/>
              </w:rPr>
              <w:t>$</w:t>
            </w:r>
          </w:p>
        </w:tc>
        <w:tc>
          <w:tcPr>
            <w:tcW w:w="66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133</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1,232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-1833880</wp:posOffset>
            </wp:positionV>
            <wp:extent cx="7683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-1833880</wp:posOffset>
            </wp:positionV>
            <wp:extent cx="7683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-1833880</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-1833880</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-1833880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-1833880</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-1833880</wp:posOffset>
            </wp:positionV>
            <wp:extent cx="685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-162560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-162560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-162560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-162560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-162560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-162560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The accompanying notes are an integral part of these consolidated fnancial statements.</w:t>
      </w:r>
    </w:p>
    <w:p>
      <w:pPr>
        <w:spacing w:after="0" w:line="1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170"/>
              <w:spacing w:after="0"/>
              <w:rPr>
                <w:sz w:val="20"/>
                <w:szCs w:val="20"/>
                <w:color w:val="auto"/>
              </w:rPr>
            </w:pPr>
            <w:r>
              <w:rPr>
                <w:rFonts w:ascii="Calibri" w:cs="Calibri" w:eastAsia="Calibri" w:hAnsi="Calibri"/>
                <w:sz w:val="14"/>
                <w:szCs w:val="14"/>
                <w:b w:val="1"/>
                <w:bCs w:val="1"/>
                <w:color w:val="auto"/>
              </w:rPr>
              <w:t>Accumulated</w:t>
            </w:r>
          </w:p>
        </w:tc>
        <w:tc>
          <w:tcPr>
            <w:tcW w:w="100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Total Cabot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660" w:type="dxa"/>
            <w:vAlign w:val="bottom"/>
            <w:gridSpan w:val="4"/>
            <w:vMerge w:val="restart"/>
          </w:tcPr>
          <w:p>
            <w:pPr>
              <w:jc w:val="right"/>
              <w:ind w:right="90"/>
              <w:spacing w:after="0"/>
              <w:rPr>
                <w:sz w:val="20"/>
                <w:szCs w:val="20"/>
                <w:color w:val="auto"/>
              </w:rPr>
            </w:pPr>
            <w:r>
              <w:rPr>
                <w:rFonts w:ascii="Calibri" w:cs="Calibri" w:eastAsia="Calibri" w:hAnsi="Calibri"/>
                <w:sz w:val="14"/>
                <w:szCs w:val="14"/>
                <w:b w:val="1"/>
                <w:bCs w:val="1"/>
                <w:color w:val="auto"/>
              </w:rPr>
              <w:t>Common Stock, Net of</w:t>
            </w:r>
          </w:p>
        </w:tc>
        <w:tc>
          <w:tcPr>
            <w:tcW w:w="24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Additon</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30"/>
              <w:spacing w:after="0"/>
              <w:rPr>
                <w:sz w:val="20"/>
                <w:szCs w:val="20"/>
                <w:color w:val="auto"/>
              </w:rPr>
            </w:pPr>
            <w:r>
              <w:rPr>
                <w:rFonts w:ascii="Calibri" w:cs="Calibri" w:eastAsia="Calibri" w:hAnsi="Calibri"/>
                <w:sz w:val="14"/>
                <w:szCs w:val="14"/>
                <w:b w:val="1"/>
                <w:bCs w:val="1"/>
                <w:color w:val="auto"/>
              </w:rPr>
              <w:t>Other</w:t>
            </w:r>
          </w:p>
        </w:tc>
        <w:tc>
          <w:tcPr>
            <w:tcW w:w="100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Corporaton</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380"/>
              <w:spacing w:after="0" w:line="168" w:lineRule="exact"/>
              <w:rPr>
                <w:sz w:val="20"/>
                <w:szCs w:val="20"/>
                <w:color w:val="auto"/>
              </w:rPr>
            </w:pPr>
            <w:r>
              <w:rPr>
                <w:rFonts w:ascii="Calibri" w:cs="Calibri" w:eastAsia="Calibri" w:hAnsi="Calibri"/>
                <w:sz w:val="14"/>
                <w:szCs w:val="14"/>
                <w:b w:val="1"/>
                <w:bCs w:val="1"/>
                <w:color w:val="auto"/>
                <w:w w:val="96"/>
              </w:rPr>
              <w:t>al</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Comprehensiv</w:t>
            </w:r>
          </w:p>
        </w:tc>
        <w:tc>
          <w:tcPr>
            <w:tcW w:w="1000" w:type="dxa"/>
            <w:vAlign w:val="bottom"/>
            <w:gridSpan w:val="3"/>
          </w:tcPr>
          <w:p>
            <w:pPr>
              <w:ind w:left="40"/>
              <w:spacing w:after="0" w:line="168" w:lineRule="exact"/>
              <w:rPr>
                <w:sz w:val="20"/>
                <w:szCs w:val="20"/>
                <w:color w:val="auto"/>
              </w:rPr>
            </w:pPr>
            <w:r>
              <w:rPr>
                <w:rFonts w:ascii="Calibri" w:cs="Calibri" w:eastAsia="Calibri" w:hAnsi="Calibri"/>
                <w:sz w:val="14"/>
                <w:szCs w:val="14"/>
                <w:b w:val="1"/>
                <w:bCs w:val="1"/>
                <w:color w:val="auto"/>
              </w:rPr>
              <w:t>Stockholder</w:t>
            </w:r>
          </w:p>
        </w:tc>
        <w:tc>
          <w:tcPr>
            <w:tcW w:w="100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Noncontrolli</w:t>
            </w:r>
          </w:p>
        </w:tc>
        <w:tc>
          <w:tcPr>
            <w:tcW w:w="180" w:type="dxa"/>
            <w:vAlign w:val="bottom"/>
          </w:tcPr>
          <w:p>
            <w:pPr>
              <w:spacing w:after="0"/>
              <w:rPr>
                <w:sz w:val="14"/>
                <w:szCs w:val="14"/>
                <w:color w:val="auto"/>
              </w:rPr>
            </w:pPr>
          </w:p>
        </w:tc>
        <w:tc>
          <w:tcPr>
            <w:tcW w:w="820" w:type="dxa"/>
            <w:vAlign w:val="bottom"/>
            <w:gridSpan w:val="2"/>
          </w:tcPr>
          <w:p>
            <w:pPr>
              <w:jc w:val="center"/>
              <w:ind w:right="320"/>
              <w:spacing w:after="0" w:line="168"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540" w:type="dxa"/>
            <w:vAlign w:val="bottom"/>
          </w:tcPr>
          <w:p>
            <w:pPr>
              <w:spacing w:after="0"/>
              <w:rPr>
                <w:sz w:val="17"/>
                <w:szCs w:val="17"/>
                <w:color w:val="auto"/>
              </w:rPr>
            </w:pPr>
          </w:p>
        </w:tc>
        <w:tc>
          <w:tcPr>
            <w:tcW w:w="1440" w:type="dxa"/>
            <w:vAlign w:val="bottom"/>
            <w:tcBorders>
              <w:bottom w:val="single" w:sz="8" w:color="auto"/>
            </w:tcBorders>
            <w:gridSpan w:val="3"/>
          </w:tcPr>
          <w:p>
            <w:pPr>
              <w:jc w:val="right"/>
              <w:ind w:right="95"/>
              <w:spacing w:after="0"/>
              <w:rPr>
                <w:sz w:val="20"/>
                <w:szCs w:val="20"/>
                <w:color w:val="auto"/>
              </w:rPr>
            </w:pPr>
            <w:r>
              <w:rPr>
                <w:rFonts w:ascii="Calibri" w:cs="Calibri" w:eastAsia="Calibri" w:hAnsi="Calibri"/>
                <w:sz w:val="14"/>
                <w:szCs w:val="14"/>
                <w:b w:val="1"/>
                <w:bCs w:val="1"/>
                <w:color w:val="auto"/>
              </w:rPr>
              <w:t>Treasury Stock</w:t>
            </w: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3"/>
          </w:tcPr>
          <w:p>
            <w:pPr>
              <w:jc w:val="center"/>
              <w:ind w:right="220"/>
              <w:spacing w:after="0"/>
              <w:rPr>
                <w:sz w:val="20"/>
                <w:szCs w:val="20"/>
                <w:color w:val="auto"/>
              </w:rPr>
            </w:pPr>
            <w:r>
              <w:rPr>
                <w:rFonts w:ascii="Calibri" w:cs="Calibri" w:eastAsia="Calibri" w:hAnsi="Calibri"/>
                <w:sz w:val="14"/>
                <w:szCs w:val="14"/>
                <w:b w:val="1"/>
                <w:bCs w:val="1"/>
                <w:color w:val="auto"/>
              </w:rPr>
              <w:t>Paid-in</w:t>
            </w:r>
          </w:p>
        </w:tc>
        <w:tc>
          <w:tcPr>
            <w:tcW w:w="880" w:type="dxa"/>
            <w:vAlign w:val="bottom"/>
            <w:gridSpan w:val="3"/>
          </w:tcPr>
          <w:p>
            <w:pPr>
              <w:ind w:left="60"/>
              <w:spacing w:after="0"/>
              <w:rPr>
                <w:sz w:val="20"/>
                <w:szCs w:val="20"/>
                <w:color w:val="auto"/>
              </w:rPr>
            </w:pPr>
            <w:r>
              <w:rPr>
                <w:rFonts w:ascii="Calibri" w:cs="Calibri" w:eastAsia="Calibri" w:hAnsi="Calibri"/>
                <w:sz w:val="14"/>
                <w:szCs w:val="14"/>
                <w:b w:val="1"/>
                <w:bCs w:val="1"/>
                <w:color w:val="auto"/>
              </w:rPr>
              <w:t>Retained</w:t>
            </w:r>
          </w:p>
        </w:tc>
        <w:tc>
          <w:tcPr>
            <w:tcW w:w="180" w:type="dxa"/>
            <w:vAlign w:val="bottom"/>
          </w:tcPr>
          <w:p>
            <w:pPr>
              <w:spacing w:after="0"/>
              <w:rPr>
                <w:sz w:val="17"/>
                <w:szCs w:val="17"/>
                <w:color w:val="auto"/>
              </w:rPr>
            </w:pPr>
          </w:p>
        </w:tc>
        <w:tc>
          <w:tcPr>
            <w:tcW w:w="940" w:type="dxa"/>
            <w:vAlign w:val="bottom"/>
            <w:gridSpan w:val="2"/>
          </w:tcPr>
          <w:p>
            <w:pPr>
              <w:jc w:val="center"/>
              <w:ind w:right="290"/>
              <w:spacing w:after="0"/>
              <w:rPr>
                <w:sz w:val="20"/>
                <w:szCs w:val="20"/>
                <w:color w:val="auto"/>
              </w:rPr>
            </w:pPr>
            <w:r>
              <w:rPr>
                <w:rFonts w:ascii="Calibri" w:cs="Calibri" w:eastAsia="Calibri" w:hAnsi="Calibri"/>
                <w:sz w:val="14"/>
                <w:szCs w:val="14"/>
                <w:b w:val="1"/>
                <w:bCs w:val="1"/>
                <w:color w:val="auto"/>
              </w:rPr>
              <w:t>e</w:t>
            </w:r>
          </w:p>
        </w:tc>
        <w:tc>
          <w:tcPr>
            <w:tcW w:w="180" w:type="dxa"/>
            <w:vAlign w:val="bottom"/>
          </w:tcPr>
          <w:p>
            <w:pPr>
              <w:spacing w:after="0"/>
              <w:rPr>
                <w:sz w:val="17"/>
                <w:szCs w:val="17"/>
                <w:color w:val="auto"/>
              </w:rPr>
            </w:pPr>
          </w:p>
        </w:tc>
        <w:tc>
          <w:tcPr>
            <w:tcW w:w="82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s’</w:t>
            </w:r>
          </w:p>
        </w:tc>
        <w:tc>
          <w:tcPr>
            <w:tcW w:w="120" w:type="dxa"/>
            <w:vAlign w:val="bottom"/>
          </w:tcPr>
          <w:p>
            <w:pPr>
              <w:spacing w:after="0"/>
              <w:rPr>
                <w:sz w:val="17"/>
                <w:szCs w:val="17"/>
                <w:color w:val="auto"/>
              </w:rPr>
            </w:pPr>
          </w:p>
        </w:tc>
        <w:tc>
          <w:tcPr>
            <w:tcW w:w="880" w:type="dxa"/>
            <w:vAlign w:val="bottom"/>
            <w:gridSpan w:val="2"/>
          </w:tcPr>
          <w:p>
            <w:pPr>
              <w:jc w:val="right"/>
              <w:ind w:right="540"/>
              <w:spacing w:after="0"/>
              <w:rPr>
                <w:sz w:val="20"/>
                <w:szCs w:val="20"/>
                <w:color w:val="auto"/>
              </w:rPr>
            </w:pPr>
            <w:r>
              <w:rPr>
                <w:rFonts w:ascii="Calibri" w:cs="Calibri" w:eastAsia="Calibri" w:hAnsi="Calibri"/>
                <w:sz w:val="14"/>
                <w:szCs w:val="14"/>
                <w:b w:val="1"/>
                <w:bCs w:val="1"/>
                <w:color w:val="auto"/>
              </w:rPr>
              <w:t>ng</w:t>
            </w:r>
          </w:p>
        </w:tc>
        <w:tc>
          <w:tcPr>
            <w:tcW w:w="100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Stockholders’</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Calibri" w:cs="Calibri" w:eastAsia="Calibri" w:hAnsi="Calibri"/>
                <w:sz w:val="14"/>
                <w:szCs w:val="14"/>
                <w:b w:val="1"/>
                <w:bCs w:val="1"/>
                <w:color w:val="auto"/>
              </w:rPr>
              <w:t>Shares</w:t>
            </w:r>
          </w:p>
        </w:tc>
        <w:tc>
          <w:tcPr>
            <w:tcW w:w="500" w:type="dxa"/>
            <w:vAlign w:val="bottom"/>
          </w:tcPr>
          <w:p>
            <w:pPr>
              <w:jc w:val="right"/>
              <w:spacing w:after="0"/>
              <w:rPr>
                <w:sz w:val="20"/>
                <w:szCs w:val="20"/>
                <w:color w:val="auto"/>
              </w:rPr>
            </w:pPr>
            <w:r>
              <w:rPr>
                <w:rFonts w:ascii="Calibri" w:cs="Calibri" w:eastAsia="Calibri" w:hAnsi="Calibri"/>
                <w:sz w:val="14"/>
                <w:szCs w:val="14"/>
                <w:b w:val="1"/>
                <w:bCs w:val="1"/>
                <w:color w:val="auto"/>
              </w:rPr>
              <w:t>Cost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220"/>
              <w:spacing w:after="0" w:line="169" w:lineRule="exact"/>
              <w:rPr>
                <w:sz w:val="20"/>
                <w:szCs w:val="20"/>
                <w:color w:val="auto"/>
              </w:rPr>
            </w:pPr>
            <w:r>
              <w:rPr>
                <w:rFonts w:ascii="Calibri" w:cs="Calibri" w:eastAsia="Calibri" w:hAnsi="Calibri"/>
                <w:sz w:val="14"/>
                <w:szCs w:val="14"/>
                <w:b w:val="1"/>
                <w:bCs w:val="1"/>
                <w:color w:val="auto"/>
              </w:rPr>
              <w:t>Capital</w:t>
            </w:r>
          </w:p>
        </w:tc>
        <w:tc>
          <w:tcPr>
            <w:tcW w:w="880" w:type="dxa"/>
            <w:vAlign w:val="bottom"/>
            <w:gridSpan w:val="3"/>
          </w:tcPr>
          <w:p>
            <w:pPr>
              <w:ind w:left="80"/>
              <w:spacing w:after="0" w:line="169" w:lineRule="exact"/>
              <w:rPr>
                <w:sz w:val="20"/>
                <w:szCs w:val="20"/>
                <w:color w:val="auto"/>
              </w:rPr>
            </w:pPr>
            <w:r>
              <w:rPr>
                <w:rFonts w:ascii="Calibri" w:cs="Calibri" w:eastAsia="Calibri" w:hAnsi="Calibri"/>
                <w:sz w:val="14"/>
                <w:szCs w:val="14"/>
                <w:b w:val="1"/>
                <w:bCs w:val="1"/>
                <w:color w:val="auto"/>
              </w:rPr>
              <w:t>Earnings</w:t>
            </w:r>
          </w:p>
        </w:tc>
        <w:tc>
          <w:tcPr>
            <w:tcW w:w="1120" w:type="dxa"/>
            <w:vAlign w:val="bottom"/>
            <w:gridSpan w:val="3"/>
          </w:tcPr>
          <w:p>
            <w:pPr>
              <w:ind w:left="40"/>
              <w:spacing w:after="0" w:line="169" w:lineRule="exact"/>
              <w:rPr>
                <w:sz w:val="20"/>
                <w:szCs w:val="20"/>
                <w:color w:val="auto"/>
              </w:rPr>
            </w:pPr>
            <w:r>
              <w:rPr>
                <w:rFonts w:ascii="Calibri" w:cs="Calibri" w:eastAsia="Calibri" w:hAnsi="Calibri"/>
                <w:sz w:val="14"/>
                <w:szCs w:val="14"/>
                <w:b w:val="1"/>
                <w:bCs w:val="1"/>
                <w:color w:val="auto"/>
              </w:rPr>
              <w:t>Income (Loss)</w:t>
            </w:r>
          </w:p>
        </w:tc>
        <w:tc>
          <w:tcPr>
            <w:tcW w:w="180" w:type="dxa"/>
            <w:vAlign w:val="bottom"/>
          </w:tcPr>
          <w:p>
            <w:pPr>
              <w:spacing w:after="0"/>
              <w:rPr>
                <w:sz w:val="14"/>
                <w:szCs w:val="14"/>
                <w:color w:val="auto"/>
              </w:rPr>
            </w:pPr>
          </w:p>
        </w:tc>
        <w:tc>
          <w:tcPr>
            <w:tcW w:w="820" w:type="dxa"/>
            <w:vAlign w:val="bottom"/>
            <w:gridSpan w:val="2"/>
          </w:tcPr>
          <w:p>
            <w:pPr>
              <w:jc w:val="center"/>
              <w:ind w:right="400"/>
              <w:spacing w:after="0" w:line="169" w:lineRule="exact"/>
              <w:rPr>
                <w:sz w:val="20"/>
                <w:szCs w:val="20"/>
                <w:color w:val="auto"/>
              </w:rPr>
            </w:pPr>
            <w:r>
              <w:rPr>
                <w:rFonts w:ascii="Calibri" w:cs="Calibri" w:eastAsia="Calibri" w:hAnsi="Calibri"/>
                <w:sz w:val="14"/>
                <w:szCs w:val="14"/>
                <w:b w:val="1"/>
                <w:bCs w:val="1"/>
                <w:color w:val="auto"/>
              </w:rPr>
              <w:t>Equity</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line="169" w:lineRule="exact"/>
              <w:rPr>
                <w:sz w:val="20"/>
                <w:szCs w:val="20"/>
                <w:color w:val="auto"/>
              </w:rPr>
            </w:pPr>
            <w:r>
              <w:rPr>
                <w:rFonts w:ascii="Calibri" w:cs="Calibri" w:eastAsia="Calibri" w:hAnsi="Calibri"/>
                <w:sz w:val="14"/>
                <w:szCs w:val="14"/>
                <w:b w:val="1"/>
                <w:bCs w:val="1"/>
                <w:color w:val="auto"/>
              </w:rPr>
              <w:t>Interests</w:t>
            </w:r>
          </w:p>
        </w:tc>
        <w:tc>
          <w:tcPr>
            <w:tcW w:w="180" w:type="dxa"/>
            <w:vAlign w:val="bottom"/>
          </w:tcPr>
          <w:p>
            <w:pPr>
              <w:spacing w:after="0"/>
              <w:rPr>
                <w:sz w:val="14"/>
                <w:szCs w:val="14"/>
                <w:color w:val="auto"/>
              </w:rPr>
            </w:pPr>
          </w:p>
        </w:tc>
        <w:tc>
          <w:tcPr>
            <w:tcW w:w="820" w:type="dxa"/>
            <w:vAlign w:val="bottom"/>
            <w:gridSpan w:val="2"/>
          </w:tcPr>
          <w:p>
            <w:pPr>
              <w:jc w:val="center"/>
              <w:ind w:right="280"/>
              <w:spacing w:after="0" w:line="169" w:lineRule="exact"/>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ind w:left="60"/>
              <w:spacing w:after="0" w:line="164" w:lineRule="exact"/>
              <w:rPr>
                <w:sz w:val="20"/>
                <w:szCs w:val="20"/>
                <w:color w:val="auto"/>
              </w:rPr>
            </w:pPr>
            <w:r>
              <w:rPr>
                <w:rFonts w:ascii="Calibri" w:cs="Calibri" w:eastAsia="Calibri" w:hAnsi="Calibri"/>
                <w:sz w:val="14"/>
                <w:szCs w:val="14"/>
                <w:b w:val="1"/>
                <w:bCs w:val="1"/>
                <w:color w:val="auto"/>
                <w:w w:val="84"/>
              </w:rPr>
              <w:t>(In millions,</w:t>
            </w:r>
          </w:p>
        </w:tc>
        <w:tc>
          <w:tcPr>
            <w:tcW w:w="220" w:type="dxa"/>
            <w:vAlign w:val="bottom"/>
          </w:tcPr>
          <w:p>
            <w:pPr>
              <w:spacing w:after="0"/>
              <w:rPr>
                <w:sz w:val="14"/>
                <w:szCs w:val="14"/>
                <w:color w:val="auto"/>
              </w:rPr>
            </w:pPr>
          </w:p>
        </w:tc>
        <w:tc>
          <w:tcPr>
            <w:tcW w:w="1300" w:type="dxa"/>
            <w:vAlign w:val="bottom"/>
            <w:gridSpan w:val="4"/>
          </w:tcPr>
          <w:p>
            <w:pPr>
              <w:spacing w:after="0" w:line="164" w:lineRule="exact"/>
              <w:rPr>
                <w:sz w:val="20"/>
                <w:szCs w:val="20"/>
                <w:color w:val="auto"/>
              </w:rPr>
            </w:pPr>
            <w:r>
              <w:rPr>
                <w:rFonts w:ascii="Calibri" w:cs="Calibri" w:eastAsia="Calibri" w:hAnsi="Calibri"/>
                <w:sz w:val="14"/>
                <w:szCs w:val="14"/>
                <w:b w:val="1"/>
                <w:bCs w:val="1"/>
                <w:color w:val="auto"/>
                <w:w w:val="96"/>
              </w:rPr>
              <w:t>except share amounts)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September 30, 2021</w:t>
            </w:r>
          </w:p>
        </w:tc>
        <w:tc>
          <w:tcPr>
            <w:tcW w:w="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56,727</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295"/>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8"/>
              </w:rPr>
              <w:t>53</w:t>
            </w:r>
          </w:p>
        </w:tc>
        <w:tc>
          <w:tcPr>
            <w:tcW w:w="400" w:type="dxa"/>
            <w:vAlign w:val="bottom"/>
            <w:tcBorders>
              <w:bottom w:val="single" w:sz="8" w:color="CFF0FC"/>
            </w:tcBorders>
            <w:gridSpan w:val="2"/>
            <w:shd w:val="clear" w:color="auto" w:fill="CFF0FC"/>
          </w:tcPr>
          <w:p>
            <w:pPr>
              <w:ind w:left="240"/>
              <w:spacing w:after="0" w:line="208" w:lineRule="exact"/>
              <w:rPr>
                <w:sz w:val="20"/>
                <w:szCs w:val="20"/>
                <w:color w:val="auto"/>
              </w:rPr>
            </w:pPr>
            <w:r>
              <w:rPr>
                <w:rFonts w:ascii="Calibri" w:cs="Calibri" w:eastAsia="Calibri" w:hAnsi="Calibri"/>
                <w:sz w:val="18"/>
                <w:szCs w:val="18"/>
                <w:color w:val="auto"/>
              </w:rPr>
              <w:t>$</w:t>
            </w:r>
          </w:p>
        </w:tc>
        <w:tc>
          <w:tcPr>
            <w:tcW w:w="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1,159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gridSpan w:val="2"/>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rPr>
              <w:t>(289 )</w:t>
            </w:r>
          </w:p>
        </w:tc>
        <w:tc>
          <w:tcPr>
            <w:tcW w:w="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947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(89 )</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(89 )</w:t>
            </w:r>
          </w:p>
        </w:tc>
        <w:tc>
          <w:tcPr>
            <w:tcW w:w="1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(80 )</w:t>
            </w: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(30 )</w:t>
            </w: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(30 )</w:t>
            </w: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(28 )</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$0.37 per share</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(21 )</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line="207" w:lineRule="exact"/>
              <w:rPr>
                <w:sz w:val="20"/>
                <w:szCs w:val="20"/>
                <w:color w:val="auto"/>
              </w:rPr>
            </w:pPr>
            <w:r>
              <w:rPr>
                <w:rFonts w:ascii="Calibri" w:cs="Calibri" w:eastAsia="Calibri" w:hAnsi="Calibri"/>
                <w:sz w:val="18"/>
                <w:szCs w:val="18"/>
                <w:color w:val="auto"/>
              </w:rPr>
              <w:t>Issuance of stock under equity compensaton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plans</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202</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9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(349 )</w:t>
            </w:r>
          </w:p>
        </w:tc>
        <w:tc>
          <w:tcPr>
            <w:tcW w:w="500" w:type="dxa"/>
            <w:vAlign w:val="bottom"/>
          </w:tcPr>
          <w:p>
            <w:pPr>
              <w:spacing w:after="0"/>
              <w:rPr>
                <w:sz w:val="19"/>
                <w:szCs w:val="19"/>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(19 )</w:t>
            </w:r>
          </w:p>
        </w:tc>
        <w:tc>
          <w:tcPr>
            <w:tcW w:w="180" w:type="dxa"/>
            <w:vAlign w:val="bottom"/>
          </w:tcPr>
          <w:p>
            <w:pPr>
              <w:spacing w:after="0"/>
              <w:rPr>
                <w:sz w:val="19"/>
                <w:szCs w:val="19"/>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(19 )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(19 )</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December 31, 2021</w:t>
            </w:r>
          </w:p>
        </w:tc>
        <w:tc>
          <w:tcPr>
            <w:tcW w:w="7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56,580</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CFF0FC"/>
            </w:tcBorders>
            <w:shd w:val="clear" w:color="auto" w:fill="CFF0FC"/>
          </w:tcPr>
          <w:p>
            <w:pPr>
              <w:jc w:val="right"/>
              <w:ind w:right="295"/>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8"/>
              </w:rPr>
              <w:t>53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w:t>
            </w:r>
          </w:p>
        </w:tc>
        <w:tc>
          <w:tcPr>
            <w:tcW w:w="4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1,049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7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(319</w:t>
            </w:r>
          </w:p>
        </w:tc>
        <w:tc>
          <w:tcPr>
            <w:tcW w:w="22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80" w:type="dxa"/>
            <w:vAlign w:val="bottom"/>
            <w:tcBorders>
              <w:top w:val="single" w:sz="8" w:color="auto"/>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794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w w:val="87"/>
              </w:rPr>
              <w:t>$</w:t>
            </w:r>
          </w:p>
        </w:tc>
        <w:tc>
          <w:tcPr>
            <w:tcW w:w="6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line="215" w:lineRule="exact"/>
              <w:rPr>
                <w:sz w:val="20"/>
                <w:szCs w:val="20"/>
                <w:color w:val="auto"/>
              </w:rPr>
            </w:pPr>
            <w:r>
              <w:rPr>
                <w:rFonts w:ascii="Calibri" w:cs="Calibri" w:eastAsia="Calibri" w:hAnsi="Calibri"/>
                <w:sz w:val="18"/>
                <w:szCs w:val="18"/>
                <w:color w:val="auto"/>
              </w:rPr>
              <w:t>107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Total other comprehensive income (loss)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Common stock, $0.37 per share</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(21 )</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(21 )</w:t>
            </w: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(21 )</w:t>
            </w: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line="207" w:lineRule="exact"/>
              <w:rPr>
                <w:sz w:val="20"/>
                <w:szCs w:val="20"/>
                <w:color w:val="auto"/>
              </w:rPr>
            </w:pPr>
            <w:r>
              <w:rPr>
                <w:rFonts w:ascii="Calibri" w:cs="Calibri" w:eastAsia="Calibri" w:hAnsi="Calibri"/>
                <w:sz w:val="18"/>
                <w:szCs w:val="18"/>
                <w:color w:val="auto"/>
              </w:rPr>
              <w:t>Cash dividends declared to noncontrolling</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(14 )</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(14 )</w:t>
            </w: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54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Issuance of stock under equity compensaton</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plans</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w:t>
            </w: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Purchase and retrement of common stock</w:t>
            </w:r>
          </w:p>
        </w:tc>
        <w:tc>
          <w:tcPr>
            <w:tcW w:w="9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(221 )</w:t>
            </w:r>
          </w:p>
        </w:tc>
        <w:tc>
          <w:tcPr>
            <w:tcW w:w="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(15 )</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(15 )</w:t>
            </w: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40" w:type="dxa"/>
            <w:vAlign w:val="bottom"/>
          </w:tcPr>
          <w:p>
            <w:pPr>
              <w:ind w:left="20"/>
              <w:spacing w:after="0" w:line="208" w:lineRule="exact"/>
              <w:rPr>
                <w:sz w:val="20"/>
                <w:szCs w:val="20"/>
                <w:color w:val="auto"/>
              </w:rPr>
            </w:pPr>
            <w:r>
              <w:rPr>
                <w:rFonts w:ascii="Calibri" w:cs="Calibri" w:eastAsia="Calibri" w:hAnsi="Calibri"/>
                <w:sz w:val="18"/>
                <w:szCs w:val="18"/>
                <w:color w:val="auto"/>
              </w:rPr>
              <w:t>Balance at March 31, 2022</w:t>
            </w:r>
          </w:p>
        </w:tc>
        <w:tc>
          <w:tcPr>
            <w:tcW w:w="700" w:type="dxa"/>
            <w:vAlign w:val="bottom"/>
          </w:tcPr>
          <w:p>
            <w:pPr>
              <w:jc w:val="right"/>
              <w:spacing w:after="0" w:line="208" w:lineRule="exact"/>
              <w:rPr>
                <w:sz w:val="20"/>
                <w:szCs w:val="20"/>
                <w:color w:val="auto"/>
              </w:rPr>
            </w:pPr>
            <w:r>
              <w:rPr>
                <w:rFonts w:ascii="Calibri" w:cs="Calibri" w:eastAsia="Calibri" w:hAnsi="Calibri"/>
                <w:sz w:val="18"/>
                <w:szCs w:val="18"/>
                <w:color w:val="auto"/>
              </w:rPr>
              <w:t>56,431</w:t>
            </w:r>
          </w:p>
        </w:tc>
        <w:tc>
          <w:tcPr>
            <w:tcW w:w="240" w:type="dxa"/>
            <w:vAlign w:val="bottom"/>
          </w:tcPr>
          <w:p>
            <w:pPr>
              <w:spacing w:after="0"/>
              <w:rPr>
                <w:sz w:val="18"/>
                <w:szCs w:val="18"/>
                <w:color w:val="auto"/>
              </w:rPr>
            </w:pPr>
          </w:p>
        </w:tc>
        <w:tc>
          <w:tcPr>
            <w:tcW w:w="500" w:type="dxa"/>
            <w:vAlign w:val="bottom"/>
          </w:tcPr>
          <w:p>
            <w:pPr>
              <w:jc w:val="right"/>
              <w:ind w:right="295"/>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Pr>
          <w:p>
            <w:pPr>
              <w:jc w:val="right"/>
              <w:spacing w:after="0" w:line="208" w:lineRule="exact"/>
              <w:rPr>
                <w:sz w:val="20"/>
                <w:szCs w:val="20"/>
                <w:color w:val="auto"/>
              </w:rPr>
            </w:pPr>
            <w:r>
              <w:rPr>
                <w:rFonts w:ascii="Calibri" w:cs="Calibri" w:eastAsia="Calibri" w:hAnsi="Calibri"/>
                <w:sz w:val="18"/>
                <w:szCs w:val="18"/>
                <w:color w:val="auto"/>
                <w:w w:val="98"/>
              </w:rPr>
              <w:t>53</w:t>
            </w:r>
          </w:p>
        </w:tc>
        <w:tc>
          <w:tcPr>
            <w:tcW w:w="240" w:type="dxa"/>
            <w:vAlign w:val="bottom"/>
          </w:tcPr>
          <w:p>
            <w:pPr>
              <w:spacing w:after="0"/>
              <w:rPr>
                <w:sz w:val="18"/>
                <w:szCs w:val="18"/>
                <w:color w:val="auto"/>
              </w:rPr>
            </w:pPr>
          </w:p>
        </w:tc>
        <w:tc>
          <w:tcPr>
            <w:tcW w:w="160" w:type="dxa"/>
            <w:vAlign w:val="bottom"/>
          </w:tcPr>
          <w:p>
            <w:pPr>
              <w:spacing w:after="0" w:line="208" w:lineRule="exact"/>
              <w:rPr>
                <w:sz w:val="20"/>
                <w:szCs w:val="20"/>
                <w:color w:val="auto"/>
              </w:rPr>
            </w:pPr>
            <w:r>
              <w:rPr>
                <w:rFonts w:ascii="Calibri" w:cs="Calibri" w:eastAsia="Calibri" w:hAnsi="Calibri"/>
                <w:sz w:val="18"/>
                <w:szCs w:val="18"/>
                <w:color w:val="auto"/>
              </w:rPr>
              <w:t>$</w:t>
            </w:r>
          </w:p>
        </w:tc>
        <w:tc>
          <w:tcPr>
            <w:tcW w:w="420" w:type="dxa"/>
            <w:vAlign w:val="bottom"/>
          </w:tcPr>
          <w:p>
            <w:pPr>
              <w:jc w:val="right"/>
              <w:spacing w:after="0" w:line="208"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480" w:type="dxa"/>
            <w:vAlign w:val="bottom"/>
          </w:tcPr>
          <w:p>
            <w:pPr>
              <w:jc w:val="right"/>
              <w:spacing w:after="0" w:line="208" w:lineRule="exact"/>
              <w:rPr>
                <w:sz w:val="20"/>
                <w:szCs w:val="20"/>
                <w:color w:val="auto"/>
              </w:rPr>
            </w:pPr>
            <w:r>
              <w:rPr>
                <w:rFonts w:ascii="Calibri" w:cs="Calibri" w:eastAsia="Calibri" w:hAnsi="Calibri"/>
                <w:sz w:val="18"/>
                <w:szCs w:val="18"/>
                <w:color w:val="auto"/>
              </w:rPr>
              <w:t>1,135</w:t>
            </w:r>
          </w:p>
        </w:tc>
        <w:tc>
          <w:tcPr>
            <w:tcW w:w="220" w:type="dxa"/>
            <w:vAlign w:val="bottom"/>
          </w:tcPr>
          <w:p>
            <w:pPr>
              <w:spacing w:after="0"/>
              <w:rPr>
                <w:sz w:val="18"/>
                <w:szCs w:val="18"/>
                <w:color w:val="auto"/>
              </w:rPr>
            </w:pPr>
          </w:p>
        </w:tc>
        <w:tc>
          <w:tcPr>
            <w:tcW w:w="180" w:type="dxa"/>
            <w:vAlign w:val="bottom"/>
          </w:tcPr>
          <w:p>
            <w:pPr>
              <w:ind w:left="20"/>
              <w:spacing w:after="0" w:line="208" w:lineRule="exact"/>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ind w:right="50"/>
              <w:spacing w:after="0" w:line="208" w:lineRule="exact"/>
              <w:rPr>
                <w:sz w:val="20"/>
                <w:szCs w:val="20"/>
                <w:color w:val="auto"/>
              </w:rPr>
            </w:pPr>
            <w:r>
              <w:rPr>
                <w:rFonts w:ascii="Calibri" w:cs="Calibri" w:eastAsia="Calibri" w:hAnsi="Calibri"/>
                <w:sz w:val="18"/>
                <w:szCs w:val="18"/>
                <w:color w:val="auto"/>
              </w:rPr>
              <w:t>(274 )</w:t>
            </w:r>
          </w:p>
        </w:tc>
        <w:tc>
          <w:tcPr>
            <w:tcW w:w="180" w:type="dxa"/>
            <w:vAlign w:val="bottom"/>
          </w:tcPr>
          <w:p>
            <w:pPr>
              <w:ind w:left="20"/>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08" w:lineRule="exact"/>
              <w:rPr>
                <w:sz w:val="20"/>
                <w:szCs w:val="20"/>
                <w:color w:val="auto"/>
              </w:rPr>
            </w:pPr>
            <w:r>
              <w:rPr>
                <w:rFonts w:ascii="Calibri" w:cs="Calibri" w:eastAsia="Calibri" w:hAnsi="Calibri"/>
                <w:sz w:val="18"/>
                <w:szCs w:val="18"/>
                <w:color w:val="auto"/>
              </w:rPr>
              <w:t>918</w:t>
            </w:r>
          </w:p>
        </w:tc>
        <w:tc>
          <w:tcPr>
            <w:tcW w:w="220" w:type="dxa"/>
            <w:vAlign w:val="bottom"/>
          </w:tcPr>
          <w:p>
            <w:pPr>
              <w:spacing w:after="0"/>
              <w:rPr>
                <w:sz w:val="18"/>
                <w:szCs w:val="18"/>
                <w:color w:val="auto"/>
              </w:rPr>
            </w:pPr>
          </w:p>
        </w:tc>
        <w:tc>
          <w:tcPr>
            <w:tcW w:w="120" w:type="dxa"/>
            <w:vAlign w:val="bottom"/>
          </w:tcPr>
          <w:p>
            <w:pPr>
              <w:ind w:left="20"/>
              <w:spacing w:after="0" w:line="208" w:lineRule="exact"/>
              <w:rPr>
                <w:sz w:val="20"/>
                <w:szCs w:val="20"/>
                <w:color w:val="auto"/>
              </w:rPr>
            </w:pPr>
            <w:r>
              <w:rPr>
                <w:rFonts w:ascii="Calibri" w:cs="Calibri" w:eastAsia="Calibri" w:hAnsi="Calibri"/>
                <w:sz w:val="18"/>
                <w:szCs w:val="18"/>
                <w:color w:val="auto"/>
                <w:w w:val="87"/>
              </w:rPr>
              <w:t>$</w:t>
            </w:r>
          </w:p>
        </w:tc>
        <w:tc>
          <w:tcPr>
            <w:tcW w:w="660" w:type="dxa"/>
            <w:vAlign w:val="bottom"/>
          </w:tcPr>
          <w:p>
            <w:pPr>
              <w:jc w:val="right"/>
              <w:spacing w:after="0" w:line="208" w:lineRule="exact"/>
              <w:rPr>
                <w:sz w:val="20"/>
                <w:szCs w:val="20"/>
                <w:color w:val="auto"/>
              </w:rPr>
            </w:pPr>
            <w:r>
              <w:rPr>
                <w:rFonts w:ascii="Calibri" w:cs="Calibri" w:eastAsia="Calibri" w:hAnsi="Calibri"/>
                <w:sz w:val="18"/>
                <w:szCs w:val="18"/>
                <w:color w:val="auto"/>
              </w:rPr>
              <w:t>148</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line="208" w:lineRule="exact"/>
              <w:rPr>
                <w:sz w:val="20"/>
                <w:szCs w:val="20"/>
                <w:color w:val="auto"/>
              </w:rPr>
            </w:pPr>
            <w:r>
              <w:rPr>
                <w:rFonts w:ascii="Calibri" w:cs="Calibri" w:eastAsia="Calibri" w:hAnsi="Calibri"/>
                <w:sz w:val="18"/>
                <w:szCs w:val="18"/>
                <w:color w:val="auto"/>
              </w:rPr>
              <w:t>1,066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-144145</wp:posOffset>
            </wp:positionV>
            <wp:extent cx="7683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-144145</wp:posOffset>
            </wp:positionV>
            <wp:extent cx="7683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-144145</wp:posOffset>
            </wp:positionV>
            <wp:extent cx="6858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-144145</wp:posOffset>
            </wp:positionV>
            <wp:extent cx="685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-144145</wp:posOffset>
            </wp:positionV>
            <wp:extent cx="685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-144145</wp:posOffset>
            </wp:positionV>
            <wp:extent cx="685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-144145</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-144145</wp:posOffset>
            </wp:positionV>
            <wp:extent cx="6858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March 31, 2023</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 Basis of Presentaton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consolidated fnancial statements have been prepared in conformity with accountng policies generally accepted in the United States (“U.S.”) and include the accounts of Cabot Corporaton (“Cabot” or the “Company”) and its wholly-owned subsidiaries and majority-owned and controlled U.S. and non-U.S. subsidiaries. Additonally, Cabot considers consolidaton of enttes over which control is achieved through means other than votng rights. Intercompany transactons have been eliminated in consolidaton.</w:t>
      </w:r>
    </w:p>
    <w:p>
      <w:pPr>
        <w:spacing w:after="0" w:line="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unaudited consolidated fnancial statements have been prepared in accordance with the requirements of Form 10-Q and consequently do not include all disclosures required by Form 10-K. Additonal informaton may be obtained by referring to Cabot’s Annual Report on Form 10-K for its fscal year ended September 30, 2022 (“2022 10-K”).</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fnancial informaton submited herewith is unaudited and refects all adjustments which are, in the opinion of management, necessary to provide a fair statement of the results for the interim periods ended March 31, 2023 and 2022. All such adjustments are of a normal recurring nature. The results for interim periods are not necessarily indicatve of the results to be expected for the fscal year.</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 Signifcant Accountng Policies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82" w:lineRule="exact"/>
        <w:rPr>
          <w:sz w:val="20"/>
          <w:szCs w:val="20"/>
          <w:color w:val="auto"/>
        </w:rPr>
      </w:pPr>
    </w:p>
    <w:p>
      <w:pPr>
        <w:jc w:val="both"/>
        <w:ind w:right="380" w:firstLine="509"/>
        <w:spacing w:after="0" w:line="235" w:lineRule="auto"/>
        <w:rPr>
          <w:sz w:val="20"/>
          <w:szCs w:val="20"/>
          <w:color w:val="auto"/>
        </w:rPr>
      </w:pPr>
      <w:r>
        <w:rPr>
          <w:rFonts w:ascii="Calibri" w:cs="Calibri" w:eastAsia="Calibri" w:hAnsi="Calibri"/>
          <w:sz w:val="18"/>
          <w:szCs w:val="18"/>
          <w:color w:val="auto"/>
        </w:rPr>
        <w:t>In August 2022, the U.S. government enacted the Infaton Reducton Act ("IRA") which, among other things, provides for a 1% excise tax on stock repurchases. The IRA was efectve January 1, 2023. The Company’s applicaton of the statute did not have a material efect on its Consolidated Financial Statements, or its share repurchase program.</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November 2022, the FASB issued a new standard on the disclosure of supplier fnancing programs. The new standard requires qualitatve and quanttatve disclosure as to the nature and potental magnitude of such programs in additon to program actvity and changes for the periods presented. The standard is efectve for fscal years beginning afer December 15, 2022 and early adopton is permited. The Company is currently evaluatng the tming of adopton and the impact of the adopton of this standard on its Consolidated Financial Statements.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 Acquisiton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Tokai Carbon (Tianjin) Co.</w:t>
      </w:r>
    </w:p>
    <w:p>
      <w:pPr>
        <w:spacing w:after="0" w:line="69" w:lineRule="exact"/>
        <w:rPr>
          <w:sz w:val="20"/>
          <w:szCs w:val="20"/>
          <w:color w:val="auto"/>
        </w:rPr>
      </w:pPr>
    </w:p>
    <w:p>
      <w:pPr>
        <w:jc w:val="both"/>
        <w:ind w:firstLine="478"/>
        <w:spacing w:after="0" w:line="235" w:lineRule="auto"/>
        <w:rPr>
          <w:sz w:val="20"/>
          <w:szCs w:val="20"/>
          <w:color w:val="auto"/>
        </w:rPr>
      </w:pPr>
      <w:r>
        <w:rPr>
          <w:rFonts w:ascii="Calibri" w:cs="Calibri" w:eastAsia="Calibri" w:hAnsi="Calibri"/>
          <w:sz w:val="18"/>
          <w:szCs w:val="18"/>
          <w:color w:val="auto"/>
        </w:rPr>
        <w:t>In February 2022, the Company purchased 100% of the registered capital of Tokai Carbon (Tianjin) Co., a carbon black manufacturing facility, from Tokai Carbon Group for a net purchase price of $9 million, consistng of cash consideraton of $14 million, including customary post-closing adjustments, and net of $5 million of cash acquired.</w:t>
      </w:r>
    </w:p>
    <w:p>
      <w:pPr>
        <w:spacing w:after="0" w:line="84" w:lineRule="exact"/>
        <w:rPr>
          <w:sz w:val="20"/>
          <w:szCs w:val="20"/>
          <w:color w:val="auto"/>
        </w:rPr>
      </w:pPr>
    </w:p>
    <w:p>
      <w:pPr>
        <w:ind w:left="480"/>
        <w:spacing w:after="0"/>
        <w:rPr>
          <w:sz w:val="20"/>
          <w:szCs w:val="20"/>
          <w:color w:val="auto"/>
        </w:rPr>
      </w:pPr>
      <w:r>
        <w:rPr>
          <w:rFonts w:ascii="Calibri" w:cs="Calibri" w:eastAsia="Calibri" w:hAnsi="Calibri"/>
          <w:sz w:val="17"/>
          <w:szCs w:val="17"/>
          <w:color w:val="auto"/>
        </w:rPr>
        <w:t>The excess of the fair value of the net assets over the purchase price was recorded as a gain of $24 million for the three months ended March 31, 2022.</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The Gain on bargain purchase of a business arose primarily due to equipment upgrades required afer the purchase to contnue to utlize the existng assets.</w:t>
      </w:r>
    </w:p>
    <w:p>
      <w:pPr>
        <w:spacing w:after="0" w:line="39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D. Divesttures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Sale of Purifcaton Solutons Business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March 2022, the Company completed the sale of its Purifcaton Solutons business, a reportng segment of the Company, to an afliate of funds advised by One Equity Partners for total cash proceeds of $85 million, net of $7 million cash transferred. The Company recognized a pre-tax impairment charge of $197 million during the frst quarter of fscal 2022 and a pre-tax loss on sale of the Purifcaton Solutons business of $10 million during fscal 2022. The purchase price of the Purifcaton Solutons business was subject to customary post-closing adjustments, which were fnalized during the frst quarter of fscal 2023 and resulted in an additonal pre-tax loss on sale of $3 million.</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 Goodwill and Intangible Assets</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carrying amount of goodwill atributable to each reportable segment and the changes in those balances during the six months ended March 31,</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2023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b w:val="1"/>
                <w:bCs w:val="1"/>
                <w:color w:val="auto"/>
              </w:rPr>
              <w:t>Reinforcement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700" w:type="dxa"/>
            <w:vAlign w:val="bottom"/>
          </w:tcPr>
          <w:p>
            <w:pPr>
              <w:spacing w:after="0"/>
              <w:rPr>
                <w:sz w:val="15"/>
                <w:szCs w:val="15"/>
                <w:color w:val="auto"/>
              </w:rPr>
            </w:pPr>
          </w:p>
        </w:tc>
        <w:tc>
          <w:tcPr>
            <w:tcW w:w="1120" w:type="dxa"/>
            <w:vAlign w:val="bottom"/>
          </w:tcPr>
          <w:p>
            <w:pPr>
              <w:jc w:val="right"/>
              <w:ind w:right="99"/>
              <w:spacing w:after="0"/>
              <w:rPr>
                <w:sz w:val="20"/>
                <w:szCs w:val="20"/>
                <w:color w:val="auto"/>
              </w:rPr>
            </w:pPr>
            <w:r>
              <w:rPr>
                <w:rFonts w:ascii="Calibri" w:cs="Calibri" w:eastAsia="Calibri" w:hAnsi="Calibri"/>
                <w:sz w:val="14"/>
                <w:szCs w:val="14"/>
                <w:b w:val="1"/>
                <w:bCs w:val="1"/>
                <w:color w:val="auto"/>
              </w:rPr>
              <w:t>Materials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5"/>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5"/>
                <w:szCs w:val="15"/>
                <w:color w:val="auto"/>
              </w:rPr>
            </w:pPr>
          </w:p>
        </w:tc>
      </w:tr>
      <w:tr>
        <w:trPr>
          <w:trHeight w:val="33"/>
        </w:trPr>
        <w:tc>
          <w:tcPr>
            <w:tcW w:w="6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80"/>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September 30, 2022</w:t>
            </w:r>
          </w:p>
        </w:tc>
        <w:tc>
          <w:tcPr>
            <w:tcW w:w="1120" w:type="dxa"/>
            <w:vAlign w:val="bottom"/>
            <w:tcBorders>
              <w:bottom w:val="single" w:sz="8" w:color="CFF0FC"/>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46</w:t>
            </w:r>
          </w:p>
        </w:tc>
        <w:tc>
          <w:tcPr>
            <w:tcW w:w="4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54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Calibri" w:cs="Calibri" w:eastAsia="Calibri" w:hAnsi="Calibri"/>
                <w:sz w:val="18"/>
                <w:szCs w:val="18"/>
                <w:color w:val="auto"/>
              </w:rPr>
              <w:t>Foreign currency impact</w:t>
            </w:r>
          </w:p>
        </w:tc>
        <w:tc>
          <w:tcPr>
            <w:tcW w:w="112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9"/>
                <w:szCs w:val="19"/>
                <w:color w:val="auto"/>
              </w:rPr>
            </w:pPr>
          </w:p>
        </w:tc>
      </w:tr>
      <w:tr>
        <w:trPr>
          <w:trHeight w:val="2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67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Balance at March 31, 2023</w:t>
            </w:r>
          </w:p>
        </w:tc>
        <w:tc>
          <w:tcPr>
            <w:tcW w:w="1120" w:type="dxa"/>
            <w:vAlign w:val="bottom"/>
            <w:tcBorders>
              <w:top w:val="single" w:sz="8" w:color="auto"/>
              <w:bottom w:val="single" w:sz="8" w:color="auto"/>
            </w:tcBorders>
            <w:shd w:val="clear" w:color="auto" w:fill="CFF0FC"/>
          </w:tcPr>
          <w:p>
            <w:pPr>
              <w:jc w:val="right"/>
              <w:ind w:right="939"/>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50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86</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provides informaton regarding the Company’s intangible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Calibri" w:cs="Calibri" w:eastAsia="Calibri" w:hAnsi="Calibri"/>
                <w:sz w:val="14"/>
                <w:szCs w:val="14"/>
                <w:b w:val="1"/>
                <w:bCs w:val="1"/>
                <w:color w:val="auto"/>
              </w:rPr>
              <w:t>March 31, 2023</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gridSpan w:val="5"/>
          </w:tcPr>
          <w:p>
            <w:pPr>
              <w:jc w:val="right"/>
              <w:ind w:right="10"/>
              <w:spacing w:after="0"/>
              <w:rPr>
                <w:sz w:val="20"/>
                <w:szCs w:val="20"/>
                <w:color w:val="auto"/>
              </w:rPr>
            </w:pPr>
            <w:r>
              <w:rPr>
                <w:rFonts w:ascii="Calibri" w:cs="Calibri" w:eastAsia="Calibri" w:hAnsi="Calibri"/>
                <w:sz w:val="14"/>
                <w:szCs w:val="14"/>
                <w:b w:val="1"/>
                <w:bCs w:val="1"/>
                <w:color w:val="auto"/>
              </w:rPr>
              <w:t>September 30, 2022</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8"/>
              <w:spacing w:after="0" w:line="164" w:lineRule="exact"/>
              <w:rPr>
                <w:sz w:val="20"/>
                <w:szCs w:val="20"/>
                <w:color w:val="auto"/>
              </w:rPr>
            </w:pPr>
            <w:r>
              <w:rPr>
                <w:rFonts w:ascii="Calibri" w:cs="Calibri" w:eastAsia="Calibri" w:hAnsi="Calibri"/>
                <w:sz w:val="14"/>
                <w:szCs w:val="14"/>
                <w:b w:val="1"/>
                <w:bCs w:val="1"/>
                <w:color w:val="auto"/>
                <w:w w:val="98"/>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line="164" w:lineRule="exact"/>
              <w:rPr>
                <w:sz w:val="20"/>
                <w:szCs w:val="20"/>
                <w:color w:val="auto"/>
              </w:rPr>
            </w:pPr>
            <w:r>
              <w:rPr>
                <w:rFonts w:ascii="Calibri" w:cs="Calibri" w:eastAsia="Calibri" w:hAnsi="Calibri"/>
                <w:sz w:val="14"/>
                <w:szCs w:val="14"/>
                <w:b w:val="1"/>
                <w:bCs w:val="1"/>
                <w:color w:val="auto"/>
              </w:rPr>
              <w:t>Net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8"/>
              <w:spacing w:after="0" w:line="164" w:lineRule="exact"/>
              <w:rPr>
                <w:sz w:val="20"/>
                <w:szCs w:val="20"/>
                <w:color w:val="auto"/>
              </w:rPr>
            </w:pPr>
            <w:r>
              <w:rPr>
                <w:rFonts w:ascii="Calibri" w:cs="Calibri" w:eastAsia="Calibri" w:hAnsi="Calibri"/>
                <w:sz w:val="14"/>
                <w:szCs w:val="14"/>
                <w:b w:val="1"/>
                <w:bCs w:val="1"/>
                <w:color w:val="auto"/>
              </w:rPr>
              <w:t>Gross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line="164" w:lineRule="exact"/>
              <w:rPr>
                <w:sz w:val="20"/>
                <w:szCs w:val="20"/>
                <w:color w:val="auto"/>
              </w:rPr>
            </w:pPr>
            <w:r>
              <w:rPr>
                <w:rFonts w:ascii="Calibri" w:cs="Calibri" w:eastAsia="Calibri" w:hAnsi="Calibri"/>
                <w:sz w:val="14"/>
                <w:szCs w:val="14"/>
                <w:b w:val="1"/>
                <w:bCs w:val="1"/>
                <w:color w:val="auto"/>
              </w:rPr>
              <w:t>Net</w:t>
            </w:r>
          </w:p>
        </w:tc>
        <w:tc>
          <w:tcPr>
            <w:tcW w:w="100" w:type="dxa"/>
            <w:vAlign w:val="bottom"/>
          </w:tcPr>
          <w:p>
            <w:pPr>
              <w:spacing w:after="0"/>
              <w:rPr>
                <w:sz w:val="14"/>
                <w:szCs w:val="14"/>
                <w:color w:val="auto"/>
              </w:rPr>
            </w:pPr>
          </w:p>
        </w:tc>
      </w:tr>
      <w:tr>
        <w:trPr>
          <w:trHeight w:val="175"/>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Carrying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ind w:left="40"/>
              <w:spacing w:after="0"/>
              <w:rPr>
                <w:sz w:val="20"/>
                <w:szCs w:val="20"/>
                <w:color w:val="auto"/>
              </w:rPr>
            </w:pPr>
            <w:r>
              <w:rPr>
                <w:rFonts w:ascii="Calibri" w:cs="Calibri" w:eastAsia="Calibri" w:hAnsi="Calibri"/>
                <w:sz w:val="14"/>
                <w:szCs w:val="14"/>
                <w:b w:val="1"/>
                <w:bCs w:val="1"/>
                <w:color w:val="auto"/>
              </w:rPr>
              <w:t>Accumulated</w:t>
            </w:r>
          </w:p>
        </w:tc>
        <w:tc>
          <w:tcPr>
            <w:tcW w:w="780" w:type="dxa"/>
            <w:vAlign w:val="bottom"/>
          </w:tcPr>
          <w:p>
            <w:pPr>
              <w:jc w:val="center"/>
              <w:ind w:right="59"/>
              <w:spacing w:after="0"/>
              <w:rPr>
                <w:sz w:val="20"/>
                <w:szCs w:val="20"/>
                <w:color w:val="auto"/>
              </w:rPr>
            </w:pPr>
            <w:r>
              <w:rPr>
                <w:rFonts w:ascii="Calibri" w:cs="Calibri" w:eastAsia="Calibri" w:hAnsi="Calibri"/>
                <w:sz w:val="14"/>
                <w:szCs w:val="14"/>
                <w:b w:val="1"/>
                <w:bCs w:val="1"/>
                <w:color w:val="auto"/>
              </w:rPr>
              <w:t>Intangible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18"/>
              <w:spacing w:after="0"/>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5"/>
                <w:szCs w:val="15"/>
                <w:color w:val="auto"/>
              </w:rPr>
            </w:pPr>
          </w:p>
        </w:tc>
        <w:tc>
          <w:tcPr>
            <w:tcW w:w="1100" w:type="dxa"/>
            <w:vAlign w:val="bottom"/>
            <w:gridSpan w:val="3"/>
          </w:tcPr>
          <w:p>
            <w:pPr>
              <w:jc w:val="right"/>
              <w:ind w:right="17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5"/>
                <w:szCs w:val="15"/>
                <w:color w:val="auto"/>
              </w:rPr>
            </w:pPr>
          </w:p>
        </w:tc>
        <w:tc>
          <w:tcPr>
            <w:tcW w:w="760" w:type="dxa"/>
            <w:vAlign w:val="bottom"/>
          </w:tcPr>
          <w:p>
            <w:pPr>
              <w:jc w:val="center"/>
              <w:ind w:right="38"/>
              <w:spacing w:after="0"/>
              <w:rPr>
                <w:sz w:val="20"/>
                <w:szCs w:val="20"/>
                <w:color w:val="auto"/>
              </w:rPr>
            </w:pPr>
            <w:r>
              <w:rPr>
                <w:rFonts w:ascii="Calibri" w:cs="Calibri" w:eastAsia="Calibri" w:hAnsi="Calibri"/>
                <w:sz w:val="14"/>
                <w:szCs w:val="14"/>
                <w:b w:val="1"/>
                <w:bCs w:val="1"/>
                <w:color w:val="auto"/>
              </w:rPr>
              <w:t>Intangible</w:t>
            </w:r>
          </w:p>
        </w:tc>
        <w:tc>
          <w:tcPr>
            <w:tcW w:w="100" w:type="dxa"/>
            <w:vAlign w:val="bottom"/>
          </w:tcPr>
          <w:p>
            <w:pPr>
              <w:spacing w:after="0"/>
              <w:rPr>
                <w:sz w:val="15"/>
                <w:szCs w:val="15"/>
                <w:color w:val="auto"/>
              </w:rPr>
            </w:pPr>
          </w:p>
        </w:tc>
      </w:tr>
      <w:tr>
        <w:trPr>
          <w:trHeight w:val="175"/>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Calibri" w:cs="Calibri" w:eastAsia="Calibri" w:hAnsi="Calibri"/>
                <w:sz w:val="14"/>
                <w:szCs w:val="14"/>
                <w:b w:val="1"/>
                <w:bCs w:val="1"/>
                <w:color w:val="auto"/>
                <w:w w:val="96"/>
              </w:rPr>
              <w:t>Value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ind w:left="40"/>
              <w:spacing w:after="0"/>
              <w:rPr>
                <w:sz w:val="20"/>
                <w:szCs w:val="20"/>
                <w:color w:val="auto"/>
              </w:rPr>
            </w:pPr>
            <w:r>
              <w:rPr>
                <w:rFonts w:ascii="Calibri" w:cs="Calibri" w:eastAsia="Calibri" w:hAnsi="Calibri"/>
                <w:sz w:val="14"/>
                <w:szCs w:val="14"/>
                <w:b w:val="1"/>
                <w:bCs w:val="1"/>
                <w:color w:val="auto"/>
              </w:rPr>
              <w:t>Amortzaton</w:t>
            </w:r>
          </w:p>
        </w:tc>
        <w:tc>
          <w:tcPr>
            <w:tcW w:w="78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Assets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18"/>
              <w:spacing w:after="0"/>
              <w:rPr>
                <w:sz w:val="20"/>
                <w:szCs w:val="20"/>
                <w:color w:val="auto"/>
              </w:rPr>
            </w:pPr>
            <w:r>
              <w:rPr>
                <w:rFonts w:ascii="Calibri" w:cs="Calibri" w:eastAsia="Calibri" w:hAnsi="Calibri"/>
                <w:sz w:val="14"/>
                <w:szCs w:val="14"/>
                <w:b w:val="1"/>
                <w:bCs w:val="1"/>
                <w:color w:val="auto"/>
              </w:rPr>
              <w:t>Value</w:t>
            </w:r>
          </w:p>
        </w:tc>
        <w:tc>
          <w:tcPr>
            <w:tcW w:w="220" w:type="dxa"/>
            <w:vAlign w:val="bottom"/>
          </w:tcPr>
          <w:p>
            <w:pPr>
              <w:spacing w:after="0"/>
              <w:rPr>
                <w:sz w:val="15"/>
                <w:szCs w:val="15"/>
                <w:color w:val="auto"/>
              </w:rPr>
            </w:pPr>
          </w:p>
        </w:tc>
        <w:tc>
          <w:tcPr>
            <w:tcW w:w="1100" w:type="dxa"/>
            <w:vAlign w:val="bottom"/>
            <w:gridSpan w:val="3"/>
          </w:tcPr>
          <w:p>
            <w:pPr>
              <w:jc w:val="right"/>
              <w:ind w:right="170"/>
              <w:spacing w:after="0"/>
              <w:rPr>
                <w:sz w:val="20"/>
                <w:szCs w:val="20"/>
                <w:color w:val="auto"/>
              </w:rPr>
            </w:pPr>
            <w:r>
              <w:rPr>
                <w:rFonts w:ascii="Calibri" w:cs="Calibri" w:eastAsia="Calibri" w:hAnsi="Calibri"/>
                <w:sz w:val="14"/>
                <w:szCs w:val="14"/>
                <w:b w:val="1"/>
                <w:bCs w:val="1"/>
                <w:color w:val="auto"/>
              </w:rPr>
              <w:t>Amortzaton</w:t>
            </w:r>
          </w:p>
        </w:tc>
        <w:tc>
          <w:tcPr>
            <w:tcW w:w="120" w:type="dxa"/>
            <w:vAlign w:val="bottom"/>
          </w:tcPr>
          <w:p>
            <w:pPr>
              <w:spacing w:after="0"/>
              <w:rPr>
                <w:sz w:val="15"/>
                <w:szCs w:val="15"/>
                <w:color w:val="auto"/>
              </w:rPr>
            </w:pPr>
          </w:p>
        </w:tc>
        <w:tc>
          <w:tcPr>
            <w:tcW w:w="760" w:type="dxa"/>
            <w:vAlign w:val="bottom"/>
          </w:tcPr>
          <w:p>
            <w:pPr>
              <w:jc w:val="center"/>
              <w:ind w:right="58"/>
              <w:spacing w:after="0"/>
              <w:rPr>
                <w:sz w:val="20"/>
                <w:szCs w:val="20"/>
                <w:color w:val="auto"/>
              </w:rPr>
            </w:pPr>
            <w:r>
              <w:rPr>
                <w:rFonts w:ascii="Calibri" w:cs="Calibri" w:eastAsia="Calibri" w:hAnsi="Calibri"/>
                <w:sz w:val="14"/>
                <w:szCs w:val="14"/>
                <w:b w:val="1"/>
                <w:bCs w:val="1"/>
                <w:color w:val="auto"/>
              </w:rPr>
              <w:t>Assets</w:t>
            </w:r>
          </w:p>
        </w:tc>
        <w:tc>
          <w:tcPr>
            <w:tcW w:w="100" w:type="dxa"/>
            <w:vAlign w:val="bottom"/>
          </w:tcPr>
          <w:p>
            <w:pPr>
              <w:spacing w:after="0"/>
              <w:rPr>
                <w:sz w:val="15"/>
                <w:szCs w:val="15"/>
                <w:color w:val="auto"/>
              </w:rPr>
            </w:pP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0"/>
              <w:spacing w:after="0" w:line="164" w:lineRule="exact"/>
              <w:rPr>
                <w:sz w:val="20"/>
                <w:szCs w:val="20"/>
                <w:color w:val="auto"/>
              </w:rPr>
            </w:pPr>
            <w:r>
              <w:rPr>
                <w:rFonts w:ascii="Calibri" w:cs="Calibri" w:eastAsia="Calibri" w:hAnsi="Calibri"/>
                <w:sz w:val="14"/>
                <w:szCs w:val="14"/>
                <w:b w:val="1"/>
                <w:bCs w:val="1"/>
                <w:color w:val="auto"/>
              </w:rPr>
              <w:t>(In millions)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Intangible assets with fnite lives</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660" w:type="dxa"/>
            <w:vAlign w:val="bottom"/>
          </w:tcPr>
          <w:p>
            <w:pPr>
              <w:ind w:left="200"/>
              <w:spacing w:after="0" w:line="215" w:lineRule="exact"/>
              <w:rPr>
                <w:sz w:val="20"/>
                <w:szCs w:val="20"/>
                <w:color w:val="auto"/>
              </w:rPr>
            </w:pPr>
            <w:r>
              <w:rPr>
                <w:rFonts w:ascii="Calibri" w:cs="Calibri" w:eastAsia="Calibri" w:hAnsi="Calibri"/>
                <w:sz w:val="18"/>
                <w:szCs w:val="18"/>
                <w:color w:val="auto"/>
              </w:rPr>
              <w:t>Developed technologies</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(9 )</w:t>
            </w:r>
          </w:p>
        </w:tc>
        <w:tc>
          <w:tcPr>
            <w:tcW w:w="1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580" w:type="dxa"/>
            <w:vAlign w:val="bottom"/>
            <w:gridSpan w:val="2"/>
          </w:tcPr>
          <w:p>
            <w:pPr>
              <w:jc w:val="right"/>
              <w:ind w:right="182"/>
              <w:spacing w:after="0" w:line="215" w:lineRule="exact"/>
              <w:rPr>
                <w:sz w:val="20"/>
                <w:szCs w:val="20"/>
                <w:color w:val="auto"/>
              </w:rPr>
            </w:pPr>
            <w:r>
              <w:rPr>
                <w:rFonts w:ascii="Calibri" w:cs="Calibri" w:eastAsia="Calibri" w:hAnsi="Calibri"/>
                <w:sz w:val="18"/>
                <w:szCs w:val="18"/>
                <w:color w:val="auto"/>
              </w:rPr>
              <w:t>$</w:t>
            </w:r>
          </w:p>
        </w:tc>
        <w:tc>
          <w:tcPr>
            <w:tcW w:w="74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(8 )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100" w:type="dxa"/>
            <w:vAlign w:val="bottom"/>
          </w:tcPr>
          <w:p>
            <w:pPr>
              <w:spacing w:after="0"/>
              <w:rPr>
                <w:sz w:val="18"/>
                <w:szCs w:val="18"/>
                <w:color w:val="auto"/>
              </w:rPr>
            </w:pPr>
          </w:p>
        </w:tc>
      </w:tr>
      <w:tr>
        <w:trPr>
          <w:trHeight w:val="28"/>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Trademarks</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660" w:type="dxa"/>
            <w:vAlign w:val="bottom"/>
          </w:tcPr>
          <w:p>
            <w:pPr>
              <w:ind w:left="200"/>
              <w:spacing w:after="0"/>
              <w:rPr>
                <w:sz w:val="20"/>
                <w:szCs w:val="20"/>
                <w:color w:val="auto"/>
              </w:rPr>
            </w:pPr>
            <w:r>
              <w:rPr>
                <w:rFonts w:ascii="Calibri" w:cs="Calibri" w:eastAsia="Calibri" w:hAnsi="Calibri"/>
                <w:sz w:val="18"/>
                <w:szCs w:val="18"/>
                <w:color w:val="auto"/>
              </w:rPr>
              <w:t>Customer relatonships</w:t>
            </w:r>
          </w:p>
        </w:tc>
        <w:tc>
          <w:tcPr>
            <w:tcW w:w="140" w:type="dxa"/>
            <w:vAlign w:val="bottom"/>
          </w:tcPr>
          <w:p>
            <w:pPr>
              <w:spacing w:after="0"/>
              <w:rPr>
                <w:sz w:val="19"/>
                <w:szCs w:val="19"/>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(27 )</w:t>
            </w:r>
          </w:p>
        </w:tc>
        <w:tc>
          <w:tcPr>
            <w:tcW w:w="12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(23 )</w:t>
            </w: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Pr>
          <w:p>
            <w:pPr>
              <w:spacing w:after="0"/>
              <w:rPr>
                <w:sz w:val="19"/>
                <w:szCs w:val="19"/>
                <w:color w:val="auto"/>
              </w:rPr>
            </w:pPr>
          </w:p>
        </w:tc>
      </w:tr>
      <w:tr>
        <w:trPr>
          <w:trHeight w:val="2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36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4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w:t>
            </w:r>
          </w:p>
        </w:tc>
        <w:tc>
          <w:tcPr>
            <w:tcW w:w="24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72"/>
              </w:rPr>
              <w:t>)</w:t>
            </w: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82"/>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22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72"/>
              </w:rPr>
              <w:t>)</w:t>
            </w: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-25400</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Intangible assets are amortzed over their estmated useful lives, which range between ten and twenty-fve years, with a weighted average amortzaton period of approximately seventeen years. Amortzaton expense was $2 million and $1 million for the three months ended March 31, 2023 and 2022, respectvely. Amortzaton expense for each of the six months ended March 31, 2023 and 2022 was $3 million. Amortzaton expense is included in Cost of sales, Selling and administratve expenses and Research and technical expenses in the Consolidated Statements of Operatons. Total amortzaton expense is estmated to be approximately $6 million each year for the next fve fscal years.</w:t>
      </w:r>
    </w:p>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color w:val="auto"/>
        </w:rPr>
        <w:t>F. Accumulated Other Comprehensive Income (Loss) (“AOCI”)</w:t>
      </w:r>
    </w:p>
    <w:p>
      <w:pPr>
        <w:spacing w:after="0" w:line="8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Comprehensive income combines net income (loss) and other comprehensive income items, which are reported as components of stockholders’ equity in the accompanying Consolidated Balance Sheets.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Changes in each component of AOCI, net of tax,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center"/>
              <w:ind w:right="15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90"/>
              <w:spacing w:after="0"/>
              <w:rPr>
                <w:sz w:val="20"/>
                <w:szCs w:val="20"/>
                <w:color w:val="auto"/>
              </w:rPr>
            </w:pPr>
            <w:r>
              <w:rPr>
                <w:rFonts w:ascii="Calibri" w:cs="Calibri" w:eastAsia="Calibri" w:hAnsi="Calibri"/>
                <w:sz w:val="14"/>
                <w:szCs w:val="14"/>
                <w:b w:val="1"/>
                <w:bCs w:val="1"/>
                <w:color w:val="auto"/>
              </w:rPr>
              <w:t>Currency</w:t>
            </w:r>
          </w:p>
        </w:tc>
        <w:tc>
          <w:tcPr>
            <w:tcW w:w="140" w:type="dxa"/>
            <w:vAlign w:val="bottom"/>
          </w:tcPr>
          <w:p>
            <w:pPr>
              <w:spacing w:after="0"/>
              <w:rPr>
                <w:sz w:val="15"/>
                <w:szCs w:val="15"/>
                <w:color w:val="auto"/>
              </w:rPr>
            </w:pPr>
          </w:p>
        </w:tc>
        <w:tc>
          <w:tcPr>
            <w:tcW w:w="1400" w:type="dxa"/>
            <w:vAlign w:val="bottom"/>
            <w:gridSpan w:val="2"/>
          </w:tcPr>
          <w:p>
            <w:pPr>
              <w:jc w:val="center"/>
              <w:ind w:right="29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410"/>
              <w:spacing w:after="0"/>
              <w:rPr>
                <w:sz w:val="20"/>
                <w:szCs w:val="20"/>
                <w:color w:val="auto"/>
              </w:rPr>
            </w:pPr>
            <w:r>
              <w:rPr>
                <w:rFonts w:ascii="Calibri" w:cs="Calibri" w:eastAsia="Calibri" w:hAnsi="Calibri"/>
                <w:sz w:val="14"/>
                <w:szCs w:val="14"/>
                <w:b w:val="1"/>
                <w:bCs w:val="1"/>
                <w:color w:val="auto"/>
              </w:rPr>
              <w:t>Translaton</w:t>
            </w:r>
          </w:p>
        </w:tc>
        <w:tc>
          <w:tcPr>
            <w:tcW w:w="140" w:type="dxa"/>
            <w:vAlign w:val="bottom"/>
          </w:tcPr>
          <w:p>
            <w:pPr>
              <w:spacing w:after="0"/>
              <w:rPr>
                <w:sz w:val="15"/>
                <w:szCs w:val="15"/>
                <w:color w:val="auto"/>
              </w:rPr>
            </w:pPr>
          </w:p>
        </w:tc>
        <w:tc>
          <w:tcPr>
            <w:tcW w:w="1400" w:type="dxa"/>
            <w:vAlign w:val="bottom"/>
            <w:gridSpan w:val="2"/>
          </w:tcPr>
          <w:p>
            <w:pPr>
              <w:jc w:val="center"/>
              <w:ind w:right="29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410"/>
              <w:spacing w:after="0"/>
              <w:rPr>
                <w:sz w:val="20"/>
                <w:szCs w:val="20"/>
                <w:color w:val="auto"/>
              </w:rPr>
            </w:pPr>
            <w:r>
              <w:rPr>
                <w:rFonts w:ascii="Calibri" w:cs="Calibri" w:eastAsia="Calibri" w:hAnsi="Calibri"/>
                <w:sz w:val="14"/>
                <w:szCs w:val="14"/>
                <w:b w:val="1"/>
                <w:bCs w:val="1"/>
                <w:color w:val="auto"/>
              </w:rPr>
              <w:t>Adjustment</w:t>
            </w:r>
          </w:p>
        </w:tc>
        <w:tc>
          <w:tcPr>
            <w:tcW w:w="140" w:type="dxa"/>
            <w:vAlign w:val="bottom"/>
          </w:tcPr>
          <w:p>
            <w:pPr>
              <w:spacing w:after="0"/>
              <w:rPr>
                <w:sz w:val="15"/>
                <w:szCs w:val="15"/>
                <w:color w:val="auto"/>
              </w:rPr>
            </w:pPr>
          </w:p>
        </w:tc>
        <w:tc>
          <w:tcPr>
            <w:tcW w:w="1400" w:type="dxa"/>
            <w:vAlign w:val="bottom"/>
            <w:gridSpan w:val="2"/>
          </w:tcPr>
          <w:p>
            <w:pPr>
              <w:jc w:val="center"/>
              <w:ind w:right="310"/>
              <w:spacing w:after="0"/>
              <w:rPr>
                <w:sz w:val="20"/>
                <w:szCs w:val="20"/>
                <w:color w:val="auto"/>
              </w:rPr>
            </w:pPr>
            <w:r>
              <w:rPr>
                <w:rFonts w:ascii="Calibri" w:cs="Calibri" w:eastAsia="Calibri" w:hAnsi="Calibri"/>
                <w:sz w:val="14"/>
                <w:szCs w:val="14"/>
                <w:b w:val="1"/>
                <w:bCs w:val="1"/>
                <w:color w:val="auto"/>
              </w:rPr>
              <w:t>Adjustments</w:t>
            </w:r>
          </w:p>
        </w:tc>
        <w:tc>
          <w:tcPr>
            <w:tcW w:w="300" w:type="dxa"/>
            <w:vAlign w:val="bottom"/>
          </w:tcPr>
          <w:p>
            <w:pPr>
              <w:spacing w:after="0"/>
              <w:rPr>
                <w:sz w:val="15"/>
                <w:szCs w:val="15"/>
                <w:color w:val="auto"/>
              </w:rPr>
            </w:pPr>
          </w:p>
        </w:tc>
        <w:tc>
          <w:tcPr>
            <w:tcW w:w="1100" w:type="dxa"/>
            <w:vAlign w:val="bottom"/>
            <w:gridSpan w:val="2"/>
          </w:tcPr>
          <w:p>
            <w:pPr>
              <w:jc w:val="right"/>
              <w:ind w:right="51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36"/>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September 30, 2022, atributable to Cabot Corporaton</w:t>
            </w: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(429 )</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(10 )</w:t>
            </w:r>
          </w:p>
        </w:tc>
        <w:tc>
          <w:tcPr>
            <w:tcW w:w="30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(439 )</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Amounts reclassifed from AOCI</w:t>
            </w: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line="207" w:lineRule="exact"/>
              <w:rPr>
                <w:sz w:val="20"/>
                <w:szCs w:val="20"/>
                <w:color w:val="auto"/>
              </w:rPr>
            </w:pPr>
            <w:r>
              <w:rPr>
                <w:rFonts w:ascii="Calibri" w:cs="Calibri" w:eastAsia="Calibri" w:hAnsi="Calibri"/>
                <w:sz w:val="18"/>
                <w:szCs w:val="18"/>
                <w:color w:val="auto"/>
              </w:rPr>
              <w:t>Less: Other comprehensive income (loss) atributable to</w:t>
            </w:r>
          </w:p>
        </w:tc>
        <w:tc>
          <w:tcPr>
            <w:tcW w:w="2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7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Balance at December 31, 2022, atributable to Cabot Corporaton</w:t>
            </w:r>
          </w:p>
        </w:tc>
        <w:tc>
          <w:tcPr>
            <w:tcW w:w="200" w:type="dxa"/>
            <w:vAlign w:val="bottom"/>
            <w:tcBorders>
              <w:top w:val="single" w:sz="8" w:color="auto"/>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(348</w:t>
            </w:r>
          </w:p>
        </w:tc>
        <w:tc>
          <w:tcPr>
            <w:tcW w:w="280" w:type="dxa"/>
            <w:vAlign w:val="bottom"/>
            <w:tcBorders>
              <w:bottom w:val="single" w:sz="8" w:color="CFF0FC"/>
            </w:tcBorders>
            <w:shd w:val="clear" w:color="auto" w:fill="CFF0FC"/>
          </w:tcPr>
          <w:p>
            <w:pPr>
              <w:jc w:val="right"/>
              <w:ind w:right="130"/>
              <w:spacing w:after="0" w:line="213"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(10</w:t>
            </w:r>
          </w:p>
        </w:tc>
        <w:tc>
          <w:tcPr>
            <w:tcW w:w="240" w:type="dxa"/>
            <w:vAlign w:val="bottom"/>
            <w:tcBorders>
              <w:bottom w:val="single" w:sz="8" w:color="CFF0FC"/>
            </w:tcBorders>
            <w:shd w:val="clear" w:color="auto" w:fill="CFF0FC"/>
          </w:tcPr>
          <w:p>
            <w:pPr>
              <w:jc w:val="right"/>
              <w:ind w:right="90"/>
              <w:spacing w:after="0" w:line="213" w:lineRule="exact"/>
              <w:rPr>
                <w:sz w:val="20"/>
                <w:szCs w:val="20"/>
                <w:color w:val="auto"/>
              </w:rPr>
            </w:pPr>
            <w:r>
              <w:rPr>
                <w:rFonts w:ascii="Calibri" w:cs="Calibri" w:eastAsia="Calibri" w:hAnsi="Calibri"/>
                <w:sz w:val="18"/>
                <w:szCs w:val="18"/>
                <w:color w:val="auto"/>
                <w:w w:val="72"/>
              </w:rPr>
              <w:t>)</w:t>
            </w:r>
          </w:p>
        </w:tc>
        <w:tc>
          <w:tcPr>
            <w:tcW w:w="300" w:type="dxa"/>
            <w:vAlign w:val="bottom"/>
            <w:tcBorders>
              <w:top w:val="single" w:sz="8" w:color="auto"/>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(358</w:t>
            </w:r>
          </w:p>
        </w:tc>
        <w:tc>
          <w:tcPr>
            <w:tcW w:w="1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08"/>
        </w:trPr>
        <w:tc>
          <w:tcPr>
            <w:tcW w:w="67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Other comprehensive income (loss) before reclassifcatons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49</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Amounts reclassifed from AOCI</w:t>
            </w: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(1 )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line="207" w:lineRule="exact"/>
              <w:rPr>
                <w:sz w:val="20"/>
                <w:szCs w:val="20"/>
                <w:color w:val="auto"/>
              </w:rPr>
            </w:pPr>
            <w:r>
              <w:rPr>
                <w:rFonts w:ascii="Calibri" w:cs="Calibri" w:eastAsia="Calibri" w:hAnsi="Calibri"/>
                <w:sz w:val="18"/>
                <w:szCs w:val="18"/>
                <w:color w:val="auto"/>
              </w:rPr>
              <w:t>Less: Other comprehensive income (loss) atributable to</w:t>
            </w:r>
          </w:p>
        </w:tc>
        <w:tc>
          <w:tcPr>
            <w:tcW w:w="2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right"/>
              <w:ind w:right="17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Balance at March 31, 2023, atributable to Cabot Corporaton</w:t>
            </w:r>
          </w:p>
        </w:tc>
        <w:tc>
          <w:tcPr>
            <w:tcW w:w="200" w:type="dxa"/>
            <w:vAlign w:val="bottom"/>
            <w:tcBorders>
              <w:top w:val="single" w:sz="8" w:color="auto"/>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(303</w:t>
            </w:r>
          </w:p>
        </w:tc>
        <w:tc>
          <w:tcPr>
            <w:tcW w:w="280" w:type="dxa"/>
            <w:vAlign w:val="bottom"/>
            <w:tcBorders>
              <w:bottom w:val="single" w:sz="8" w:color="CFF0FC"/>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24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72"/>
              </w:rPr>
              <w:t>)</w:t>
            </w:r>
          </w:p>
        </w:tc>
        <w:tc>
          <w:tcPr>
            <w:tcW w:w="300" w:type="dxa"/>
            <w:vAlign w:val="bottom"/>
            <w:tcBorders>
              <w:top w:val="single" w:sz="8" w:color="auto"/>
              <w:bottom w:val="single" w:sz="8" w:color="auto"/>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(314</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-788035</wp:posOffset>
            </wp:positionV>
            <wp:extent cx="76835"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-788035</wp:posOffset>
            </wp:positionV>
            <wp:extent cx="6858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amounts reclassifed out of AOCI and into the Consolidated Statements of Operatons in each of the three and six months ended March 31, 2023 and 2022 were are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80" w:type="dxa"/>
            <w:vAlign w:val="bottom"/>
          </w:tcPr>
          <w:p>
            <w:pPr>
              <w:spacing w:after="0"/>
              <w:rPr>
                <w:sz w:val="17"/>
                <w:szCs w:val="17"/>
                <w:color w:val="auto"/>
              </w:rPr>
            </w:pPr>
          </w:p>
        </w:tc>
        <w:tc>
          <w:tcPr>
            <w:tcW w:w="3120" w:type="dxa"/>
            <w:vAlign w:val="bottom"/>
            <w:gridSpan w:val="2"/>
          </w:tcPr>
          <w:p>
            <w:pPr>
              <w:ind w:left="300"/>
              <w:spacing w:after="0"/>
              <w:rPr>
                <w:sz w:val="20"/>
                <w:szCs w:val="20"/>
                <w:color w:val="auto"/>
              </w:rPr>
            </w:pPr>
            <w:r>
              <w:rPr>
                <w:rFonts w:ascii="Calibri" w:cs="Calibri" w:eastAsia="Calibri" w:hAnsi="Calibri"/>
                <w:sz w:val="14"/>
                <w:szCs w:val="14"/>
                <w:b w:val="1"/>
                <w:bCs w:val="1"/>
                <w:color w:val="auto"/>
              </w:rPr>
              <w:t>Afected Line Item in the Consolidated</w:t>
            </w:r>
          </w:p>
        </w:tc>
        <w:tc>
          <w:tcPr>
            <w:tcW w:w="16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Three Months Ended March 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5"/>
          </w:tcPr>
          <w:p>
            <w:pPr>
              <w:jc w:val="right"/>
              <w:ind w:right="260"/>
              <w:spacing w:after="0"/>
              <w:rPr>
                <w:sz w:val="20"/>
                <w:szCs w:val="20"/>
                <w:color w:val="auto"/>
              </w:rPr>
            </w:pPr>
            <w:r>
              <w:rPr>
                <w:rFonts w:ascii="Calibri" w:cs="Calibri" w:eastAsia="Calibri" w:hAnsi="Calibri"/>
                <w:sz w:val="14"/>
                <w:szCs w:val="14"/>
                <w:b w:val="1"/>
                <w:bCs w:val="1"/>
                <w:color w:val="auto"/>
              </w:rPr>
              <w:t>Six Months Ended March 31</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3120" w:type="dxa"/>
            <w:vAlign w:val="bottom"/>
            <w:gridSpan w:val="2"/>
          </w:tcPr>
          <w:p>
            <w:pPr>
              <w:ind w:left="680"/>
              <w:spacing w:after="0" w:line="169" w:lineRule="exact"/>
              <w:rPr>
                <w:sz w:val="20"/>
                <w:szCs w:val="20"/>
                <w:color w:val="auto"/>
              </w:rPr>
            </w:pPr>
            <w:r>
              <w:rPr>
                <w:rFonts w:ascii="Calibri" w:cs="Calibri" w:eastAsia="Calibri" w:hAnsi="Calibri"/>
                <w:sz w:val="14"/>
                <w:szCs w:val="14"/>
                <w:b w:val="1"/>
                <w:bCs w:val="1"/>
                <w:color w:val="auto"/>
              </w:rPr>
              <w:t>Statements of Operatons</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16"/>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6"/>
              <w:spacing w:after="0"/>
              <w:rPr>
                <w:sz w:val="20"/>
                <w:szCs w:val="20"/>
                <w:color w:val="auto"/>
              </w:rPr>
            </w:pPr>
            <w:r>
              <w:rPr>
                <w:rFonts w:ascii="Calibri" w:cs="Calibri" w:eastAsia="Calibri" w:hAnsi="Calibri"/>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75"/>
              <w:spacing w:after="0"/>
              <w:rPr>
                <w:sz w:val="20"/>
                <w:szCs w:val="20"/>
                <w:color w:val="auto"/>
              </w:rPr>
            </w:pPr>
            <w:r>
              <w:rPr>
                <w:rFonts w:ascii="Calibri" w:cs="Calibri" w:eastAsia="Calibri" w:hAnsi="Calibri"/>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13"/>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76"/>
              <w:spacing w:after="0" w:line="164" w:lineRule="exact"/>
              <w:rPr>
                <w:sz w:val="20"/>
                <w:szCs w:val="20"/>
                <w:color w:val="auto"/>
              </w:rPr>
            </w:pPr>
            <w:r>
              <w:rPr>
                <w:rFonts w:ascii="Calibri" w:cs="Calibri" w:eastAsia="Calibri" w:hAnsi="Calibri"/>
                <w:sz w:val="14"/>
                <w:szCs w:val="14"/>
                <w:b w:val="1"/>
                <w:bCs w:val="1"/>
                <w:color w:val="auto"/>
              </w:rPr>
              <w:t>(In</w:t>
            </w:r>
          </w:p>
        </w:tc>
        <w:tc>
          <w:tcPr>
            <w:tcW w:w="960" w:type="dxa"/>
            <w:vAlign w:val="bottom"/>
            <w:gridSpan w:val="2"/>
          </w:tcPr>
          <w:p>
            <w:pPr>
              <w:jc w:val="right"/>
              <w:ind w:right="496"/>
              <w:spacing w:after="0" w:line="164" w:lineRule="exact"/>
              <w:rPr>
                <w:sz w:val="20"/>
                <w:szCs w:val="20"/>
                <w:color w:val="auto"/>
              </w:rPr>
            </w:pPr>
            <w:r>
              <w:rPr>
                <w:rFonts w:ascii="Calibri" w:cs="Calibri" w:eastAsia="Calibri" w:hAnsi="Calibri"/>
                <w:sz w:val="14"/>
                <w:szCs w:val="14"/>
                <w:b w:val="1"/>
                <w:bCs w:val="1"/>
                <w:color w:val="auto"/>
                <w:w w:val="71"/>
              </w:rPr>
              <w:t>millions)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Derivatves: net investment hedges</w:t>
            </w:r>
          </w:p>
        </w:tc>
        <w:tc>
          <w:tcPr>
            <w:tcW w:w="2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0"/>
              <w:spacing w:after="0" w:line="215" w:lineRule="exact"/>
              <w:rPr>
                <w:sz w:val="20"/>
                <w:szCs w:val="20"/>
                <w:color w:val="auto"/>
              </w:rPr>
            </w:pPr>
            <w:r>
              <w:rPr>
                <w:rFonts w:ascii="Calibri" w:cs="Calibri" w:eastAsia="Calibri" w:hAnsi="Calibri"/>
                <w:sz w:val="18"/>
                <w:szCs w:val="18"/>
                <w:color w:val="auto"/>
              </w:rPr>
              <w:t>(Gains) losses reclassifed to interest expense</w:t>
            </w:r>
          </w:p>
        </w:tc>
        <w:tc>
          <w:tcPr>
            <w:tcW w:w="3120" w:type="dxa"/>
            <w:vAlign w:val="bottom"/>
            <w:gridSpan w:val="2"/>
          </w:tcPr>
          <w:p>
            <w:pPr>
              <w:spacing w:after="0" w:line="215" w:lineRule="exact"/>
              <w:rPr>
                <w:sz w:val="20"/>
                <w:szCs w:val="20"/>
                <w:color w:val="auto"/>
              </w:rPr>
            </w:pPr>
            <w:r>
              <w:rPr>
                <w:rFonts w:ascii="Calibri" w:cs="Calibri" w:eastAsia="Calibri" w:hAnsi="Calibri"/>
                <w:sz w:val="18"/>
                <w:szCs w:val="18"/>
                <w:color w:val="auto"/>
              </w:rPr>
              <w:t>Interest expense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tcPr>
          <w:p>
            <w:pPr>
              <w:jc w:val="right"/>
              <w:ind w:right="99"/>
              <w:spacing w:after="0" w:line="215" w:lineRule="exact"/>
              <w:rPr>
                <w:sz w:val="20"/>
                <w:szCs w:val="20"/>
                <w:color w:val="auto"/>
              </w:rPr>
            </w:pPr>
            <w:r>
              <w:rPr>
                <w:rFonts w:ascii="Calibri" w:cs="Calibri" w:eastAsia="Calibri" w:hAnsi="Calibri"/>
                <w:sz w:val="18"/>
                <w:szCs w:val="18"/>
                <w:color w:val="auto"/>
              </w:rPr>
              <w:t>(2 )</w:t>
            </w:r>
          </w:p>
        </w:tc>
        <w:tc>
          <w:tcPr>
            <w:tcW w:w="720" w:type="dxa"/>
            <w:vAlign w:val="bottom"/>
          </w:tcPr>
          <w:p>
            <w:pPr>
              <w:jc w:val="right"/>
              <w:ind w:right="536"/>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w w:val="99"/>
              </w:rPr>
              <w:t>(2 )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(3 )</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(Gains) losses excluded from efectveness</w:t>
            </w:r>
          </w:p>
        </w:tc>
        <w:tc>
          <w:tcPr>
            <w:tcW w:w="3120" w:type="dxa"/>
            <w:vAlign w:val="bottom"/>
            <w:gridSpan w:val="2"/>
            <w:shd w:val="clear" w:color="auto" w:fill="CFF0FC"/>
          </w:tcPr>
          <w:p>
            <w:pPr>
              <w:spacing w:after="0" w:line="207" w:lineRule="exact"/>
              <w:rPr>
                <w:sz w:val="20"/>
                <w:szCs w:val="20"/>
                <w:color w:val="auto"/>
              </w:rPr>
            </w:pPr>
            <w:r>
              <w:rPr>
                <w:rFonts w:ascii="Calibri" w:cs="Calibri" w:eastAsia="Calibri" w:hAnsi="Calibri"/>
                <w:sz w:val="18"/>
                <w:szCs w:val="18"/>
                <w:color w:val="auto"/>
              </w:rPr>
              <w:t>Interest expense</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testng and amortzed to interest expense</w:t>
            </w:r>
          </w:p>
        </w:tc>
        <w:tc>
          <w:tcPr>
            <w:tcW w:w="28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20"/>
              <w:spacing w:after="0" w:line="207" w:lineRule="exact"/>
              <w:rPr>
                <w:sz w:val="20"/>
                <w:szCs w:val="20"/>
                <w:color w:val="auto"/>
              </w:rPr>
            </w:pPr>
            <w:r>
              <w:rPr>
                <w:rFonts w:ascii="Calibri" w:cs="Calibri" w:eastAsia="Calibri" w:hAnsi="Calibri"/>
                <w:sz w:val="18"/>
                <w:szCs w:val="18"/>
                <w:color w:val="auto"/>
              </w:rPr>
              <w:t>Release of currency translaton adjustment</w:t>
            </w:r>
          </w:p>
        </w:tc>
        <w:tc>
          <w:tcPr>
            <w:tcW w:w="3120" w:type="dxa"/>
            <w:vAlign w:val="bottom"/>
            <w:gridSpan w:val="2"/>
          </w:tcPr>
          <w:p>
            <w:pPr>
              <w:spacing w:after="0" w:line="207" w:lineRule="exact"/>
              <w:rPr>
                <w:sz w:val="20"/>
                <w:szCs w:val="20"/>
                <w:color w:val="auto"/>
              </w:rPr>
            </w:pPr>
            <w:r>
              <w:rPr>
                <w:rFonts w:ascii="Calibri" w:cs="Calibri" w:eastAsia="Calibri" w:hAnsi="Calibri"/>
                <w:sz w:val="18"/>
                <w:szCs w:val="18"/>
                <w:color w:val="auto"/>
              </w:rPr>
              <w:t>Loss on sale of business and asset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18"/>
                <w:szCs w:val="18"/>
                <w:color w:val="auto"/>
              </w:rPr>
            </w:pPr>
          </w:p>
        </w:tc>
        <w:tc>
          <w:tcPr>
            <w:tcW w:w="3120" w:type="dxa"/>
            <w:vAlign w:val="bottom"/>
            <w:gridSpan w:val="2"/>
          </w:tcPr>
          <w:p>
            <w:pPr>
              <w:spacing w:after="0" w:line="215" w:lineRule="exact"/>
              <w:rPr>
                <w:sz w:val="20"/>
                <w:szCs w:val="20"/>
                <w:color w:val="auto"/>
              </w:rPr>
            </w:pPr>
            <w:r>
              <w:rPr>
                <w:rFonts w:ascii="Calibri" w:cs="Calibri" w:eastAsia="Calibri" w:hAnsi="Calibri"/>
                <w:sz w:val="18"/>
                <w:szCs w:val="18"/>
                <w:color w:val="auto"/>
              </w:rPr>
              <w:t>impairment charge</w:t>
            </w:r>
          </w:p>
        </w:tc>
        <w:tc>
          <w:tcPr>
            <w:tcW w:w="160" w:type="dxa"/>
            <w:vAlign w:val="bottom"/>
          </w:tcPr>
          <w:p>
            <w:pPr>
              <w:spacing w:after="0"/>
              <w:rPr>
                <w:sz w:val="18"/>
                <w:szCs w:val="18"/>
                <w:color w:val="auto"/>
              </w:rPr>
            </w:pPr>
          </w:p>
        </w:tc>
        <w:tc>
          <w:tcPr>
            <w:tcW w:w="118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Pension and other postretrement</w:t>
            </w:r>
          </w:p>
        </w:tc>
        <w:tc>
          <w:tcPr>
            <w:tcW w:w="2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200"/>
              <w:spacing w:after="0" w:line="207" w:lineRule="exact"/>
              <w:rPr>
                <w:sz w:val="20"/>
                <w:szCs w:val="20"/>
                <w:color w:val="auto"/>
              </w:rPr>
            </w:pPr>
            <w:r>
              <w:rPr>
                <w:rFonts w:ascii="Calibri" w:cs="Calibri" w:eastAsia="Calibri" w:hAnsi="Calibri"/>
                <w:sz w:val="18"/>
                <w:szCs w:val="18"/>
                <w:color w:val="auto"/>
              </w:rPr>
              <w:t>Release of actuarial losses and prior service</w:t>
            </w:r>
          </w:p>
        </w:tc>
        <w:tc>
          <w:tcPr>
            <w:tcW w:w="3120" w:type="dxa"/>
            <w:vAlign w:val="bottom"/>
            <w:gridSpan w:val="2"/>
          </w:tcPr>
          <w:p>
            <w:pPr>
              <w:spacing w:after="0" w:line="207" w:lineRule="exact"/>
              <w:rPr>
                <w:sz w:val="20"/>
                <w:szCs w:val="20"/>
                <w:color w:val="auto"/>
              </w:rPr>
            </w:pPr>
            <w:r>
              <w:rPr>
                <w:rFonts w:ascii="Calibri" w:cs="Calibri" w:eastAsia="Calibri" w:hAnsi="Calibri"/>
                <w:sz w:val="18"/>
                <w:szCs w:val="18"/>
                <w:color w:val="auto"/>
              </w:rPr>
              <w:t>Loss on sale of business and asset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0"/>
              <w:spacing w:after="0" w:line="215" w:lineRule="exact"/>
              <w:rPr>
                <w:sz w:val="20"/>
                <w:szCs w:val="20"/>
                <w:color w:val="auto"/>
              </w:rPr>
            </w:pPr>
            <w:r>
              <w:rPr>
                <w:rFonts w:ascii="Calibri" w:cs="Calibri" w:eastAsia="Calibri" w:hAnsi="Calibri"/>
                <w:sz w:val="18"/>
                <w:szCs w:val="18"/>
                <w:color w:val="auto"/>
              </w:rPr>
              <w:t>cost (credit)</w:t>
            </w:r>
          </w:p>
        </w:tc>
        <w:tc>
          <w:tcPr>
            <w:tcW w:w="3120" w:type="dxa"/>
            <w:vAlign w:val="bottom"/>
            <w:gridSpan w:val="2"/>
          </w:tcPr>
          <w:p>
            <w:pPr>
              <w:spacing w:after="0" w:line="215" w:lineRule="exact"/>
              <w:rPr>
                <w:sz w:val="20"/>
                <w:szCs w:val="20"/>
                <w:color w:val="auto"/>
              </w:rPr>
            </w:pPr>
            <w:r>
              <w:rPr>
                <w:rFonts w:ascii="Calibri" w:cs="Calibri" w:eastAsia="Calibri" w:hAnsi="Calibri"/>
                <w:sz w:val="18"/>
                <w:szCs w:val="18"/>
                <w:color w:val="auto"/>
              </w:rPr>
              <w:t>impairment charge</w:t>
            </w:r>
          </w:p>
        </w:tc>
        <w:tc>
          <w:tcPr>
            <w:tcW w:w="160" w:type="dxa"/>
            <w:vAlign w:val="bottom"/>
          </w:tcPr>
          <w:p>
            <w:pPr>
              <w:spacing w:after="0"/>
              <w:rPr>
                <w:sz w:val="18"/>
                <w:szCs w:val="18"/>
                <w:color w:val="auto"/>
              </w:rPr>
            </w:pPr>
          </w:p>
        </w:tc>
        <w:tc>
          <w:tcPr>
            <w:tcW w:w="118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3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Amortzaton of actuarial losses and prior</w:t>
            </w:r>
          </w:p>
        </w:tc>
        <w:tc>
          <w:tcPr>
            <w:tcW w:w="3120" w:type="dxa"/>
            <w:vAlign w:val="bottom"/>
            <w:gridSpan w:val="2"/>
            <w:shd w:val="clear" w:color="auto" w:fill="CFF0FC"/>
          </w:tcPr>
          <w:p>
            <w:pPr>
              <w:spacing w:after="0" w:line="207" w:lineRule="exact"/>
              <w:rPr>
                <w:sz w:val="20"/>
                <w:szCs w:val="20"/>
                <w:color w:val="auto"/>
              </w:rPr>
            </w:pPr>
            <w:r>
              <w:rPr>
                <w:rFonts w:ascii="Calibri" w:cs="Calibri" w:eastAsia="Calibri" w:hAnsi="Calibri"/>
                <w:sz w:val="18"/>
                <w:szCs w:val="18"/>
                <w:color w:val="auto"/>
              </w:rPr>
              <w:t>Other income (expense)</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5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service cost (credit)</w:t>
            </w:r>
          </w:p>
        </w:tc>
        <w:tc>
          <w:tcPr>
            <w:tcW w:w="2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ind w:right="99"/>
              <w:spacing w:after="0" w:line="215" w:lineRule="exact"/>
              <w:rPr>
                <w:sz w:val="20"/>
                <w:szCs w:val="20"/>
                <w:color w:val="auto"/>
              </w:rPr>
            </w:pPr>
            <w:r>
              <w:rPr>
                <w:rFonts w:ascii="Calibri" w:cs="Calibri" w:eastAsia="Calibri" w:hAnsi="Calibri"/>
                <w:sz w:val="18"/>
                <w:szCs w:val="18"/>
                <w:color w:val="auto"/>
              </w:rPr>
              <w:t>(1 )</w:t>
            </w:r>
          </w:p>
        </w:tc>
        <w:tc>
          <w:tcPr>
            <w:tcW w:w="7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(1 )</w:t>
            </w: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8"/>
        </w:trPr>
        <w:tc>
          <w:tcPr>
            <w:tcW w:w="3580" w:type="dxa"/>
            <w:vAlign w:val="bottom"/>
          </w:tcPr>
          <w:p>
            <w:pPr>
              <w:ind w:left="20"/>
              <w:spacing w:after="0" w:line="195" w:lineRule="exact"/>
              <w:rPr>
                <w:sz w:val="20"/>
                <w:szCs w:val="20"/>
                <w:color w:val="auto"/>
              </w:rPr>
            </w:pPr>
            <w:r>
              <w:rPr>
                <w:rFonts w:ascii="Calibri" w:cs="Calibri" w:eastAsia="Calibri" w:hAnsi="Calibri"/>
                <w:sz w:val="18"/>
                <w:szCs w:val="18"/>
                <w:color w:val="auto"/>
              </w:rPr>
              <w:t>Total before tax</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w:t>
            </w:r>
          </w:p>
        </w:tc>
        <w:tc>
          <w:tcPr>
            <w:tcW w:w="240" w:type="dxa"/>
            <w:vAlign w:val="bottom"/>
          </w:tcPr>
          <w:p>
            <w:pPr>
              <w:jc w:val="right"/>
              <w:ind w:right="99"/>
              <w:spacing w:after="0" w:line="199" w:lineRule="exact"/>
              <w:rPr>
                <w:sz w:val="20"/>
                <w:szCs w:val="20"/>
                <w:color w:val="auto"/>
              </w:rPr>
            </w:pPr>
            <w:r>
              <w:rPr>
                <w:rFonts w:ascii="Calibri" w:cs="Calibri" w:eastAsia="Calibri" w:hAnsi="Calibri"/>
                <w:sz w:val="18"/>
                <w:szCs w:val="18"/>
                <w:color w:val="auto"/>
                <w:w w:val="72"/>
              </w:rPr>
              <w:t>)</w:t>
            </w:r>
          </w:p>
        </w:tc>
        <w:tc>
          <w:tcPr>
            <w:tcW w:w="720" w:type="dxa"/>
            <w:vAlign w:val="bottom"/>
            <w:tcBorders>
              <w:top w:val="single" w:sz="8" w:color="auto"/>
            </w:tcBorders>
          </w:tcPr>
          <w:p>
            <w:pPr>
              <w:jc w:val="right"/>
              <w:ind w:right="536"/>
              <w:spacing w:after="0" w:line="208" w:lineRule="exact"/>
              <w:rPr>
                <w:sz w:val="20"/>
                <w:szCs w:val="20"/>
                <w:color w:val="auto"/>
              </w:rPr>
            </w:pPr>
            <w:r>
              <w:rPr>
                <w:rFonts w:ascii="Calibri" w:cs="Calibri" w:eastAsia="Calibri" w:hAnsi="Calibri"/>
                <w:sz w:val="18"/>
                <w:szCs w:val="18"/>
                <w:color w:val="auto"/>
                <w:w w:val="87"/>
              </w:rPr>
              <w:t>$</w:t>
            </w:r>
          </w:p>
        </w:tc>
        <w:tc>
          <w:tcPr>
            <w:tcW w:w="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33</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6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w:t>
            </w:r>
          </w:p>
        </w:tc>
        <w:tc>
          <w:tcPr>
            <w:tcW w:w="260" w:type="dxa"/>
            <w:vAlign w:val="bottom"/>
          </w:tcPr>
          <w:p>
            <w:pPr>
              <w:jc w:val="right"/>
              <w:ind w:right="90"/>
              <w:spacing w:after="0" w:line="199" w:lineRule="exact"/>
              <w:rPr>
                <w:sz w:val="20"/>
                <w:szCs w:val="20"/>
                <w:color w:val="auto"/>
              </w:rPr>
            </w:pPr>
            <w:r>
              <w:rPr>
                <w:rFonts w:ascii="Calibri" w:cs="Calibri" w:eastAsia="Calibri" w:hAnsi="Calibri"/>
                <w:sz w:val="18"/>
                <w:szCs w:val="18"/>
                <w:color w:val="auto"/>
              </w:rPr>
              <w:t>)</w:t>
            </w:r>
          </w:p>
        </w:tc>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2880" w:type="dxa"/>
            <w:vAlign w:val="bottom"/>
            <w:vMerge w:val="restart"/>
          </w:tcPr>
          <w:p>
            <w:pPr>
              <w:ind w:left="1960"/>
              <w:spacing w:after="0"/>
              <w:rPr>
                <w:sz w:val="20"/>
                <w:szCs w:val="20"/>
                <w:color w:val="auto"/>
              </w:rPr>
            </w:pPr>
            <w:r>
              <w:rPr>
                <w:rFonts w:ascii="Calibri" w:cs="Calibri" w:eastAsia="Calibri" w:hAnsi="Calibri"/>
                <w:sz w:val="18"/>
                <w:szCs w:val="18"/>
                <w:color w:val="auto"/>
              </w:rPr>
              <w:t>12</w:t>
            </w: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35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5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color w:val="auto"/>
        </w:rPr>
        <w:t>G. Contngencies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Respirator Liabilites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Cabot has exposure in connecton with a safety respiratory products business that a subsidiary acquired from American Optcal Corporaton (“AO”) in an April 1990 asset purchase transacton. The subsidiary manufactured respirators under the AO brand and disposed of that business in July 1995. In connecton with its acquisiton of the business, the subsidiary agreed, in certain circumstances, to assume a porton of AO’s liabilites, including costs of legal fees together with amounts paid in setlements and judgments, allocable to AO respiratory products used prior to the 1990 purchase by the Cabot subsidiary. In exchange for the subsidiary’s assumpton of certain of AO’s respirator liabilites, AO agreed to provide to the subsidiary the benefts of: (i) AO’s insurance coverage for the period prior to the 1990 acquisiton and (ii) a former owner’s indemnity of AO holding it harmless from any liability allocable to AO respiratory products used prior to May 1982. As more fully described in the 2022 10-K, the respirator liabilites generally involve claims for personal injury, including asbestosis, silicosis and coal worker’s pneumoconiosis, allegedly resultng from the use of respirators that are alleged to have been negligently designed and/or labeled. At no tme did this respiratory product line represent a signifcant porton of the respirator market. In additon to Cabot’s subsidiary, other partes are responsible for signifcant portons of the costs of these respirator liabilites (as defned in the 2022 10-K, the “Payor Group”). On July 26, 2022, one of the members of the Payor Group, Aearo Technologies (“Aearo”), voluntarily fled for Chapter 11 bankruptcy protecton with the stated goal of establishing a trust, funded by Aearo and its parent 3M, to satsfy respirator and other unrelated claims determined to be enttled to compensaton. The Company will contnue to monitor these proceedings for any impact on its liability for respirator claims.</w:t>
      </w:r>
    </w:p>
    <w:p>
      <w:pPr>
        <w:spacing w:after="0" w:line="9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Cabot has a reserve to cover its expected share of liabilites for pending and future respirator liability claims, which is included in Other liabilites and Accounts payable and accrued liabilites on the Consolidated Balance Sheets. The Company expects these liabilites to be incurred over a number of years. The reserve balance was $38 million and $39 million at March 31, 2023 and September 30, 2022, respectvely.</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current estmate of the cost of its share of pending and future respirator liability claims is based on facts and circumstances existng at this tme, including the number and nature of the remaining claims. Developments that could afect the Company’s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 (vii) changes in the law and procedure applicable to these claims, (viii) the fnancial viability of the partes that contribute to the payment of respirator claims and developments in the Aearo bankruptcy proceedings, (ix) exhauston or changes in the recoverability of the insurance coverage maintained by certain members of the Payor Group, or a change in the availability of the indemnity provided by a former owner of AO, (x) changes in the allocaton of costs among the various partes paying legal and setlement costs, and (xi) a determinaton that the assumptons that were used to estmate Cabot’s share of liability are no longer reasonable. The Company cannot determine the impact of these potental developments on its current estmate of its share of liability for existng and future claims. Because reserves are limited to amounts that are probable and estmable as of a relevant measurement date, and there is inherent difculty in projectng the impact of potental developments on Cabot’s share of liability for these existng and future claims, it is reasonably possible that the liabilites for existng and future claims could change in the near term and that change could be material.</w:t>
      </w:r>
    </w:p>
    <w:p>
      <w:pPr>
        <w:spacing w:after="0" w:line="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Maters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has various other lawsuits, claims and contngent liabilites arising in the ordinary course of its business and with respect to its divested businesses. The Company does not believe that any of these maters will have a material adverse efect on its fnancial positon; however, litgaton is inherently unpredictable. Cabot could incur judgments, enter into setlements or revise its expectatons regarding the outcome of certain maters, and such developments could have a material impact on its results of operatons in the period in which the amounts are accrued or its cash fows in the period in which the amounts are paid.</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 Insurance Recoveries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Pepinster, Belgium</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July 2021, the Company’s Specialty Compounds manufacturing and research and development facility in Pepinster, Belgium experienced signifcant fooding. Full producton, which was temporarily halted, resumed in the second quarter of fscal 2022.</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ind w:right="40" w:firstLine="509"/>
        <w:spacing w:after="0" w:line="251" w:lineRule="auto"/>
        <w:rPr>
          <w:sz w:val="20"/>
          <w:szCs w:val="20"/>
          <w:color w:val="auto"/>
        </w:rPr>
      </w:pPr>
      <w:r>
        <w:rPr>
          <w:rFonts w:ascii="Calibri" w:cs="Calibri" w:eastAsia="Calibri" w:hAnsi="Calibri"/>
          <w:sz w:val="17"/>
          <w:szCs w:val="17"/>
          <w:color w:val="auto"/>
        </w:rPr>
        <w:t>During the three and six months ended March 31, 2023, the Company recorded no additonal expenses related to the food and recorded insurance proceeds of $8 million and $14 million, respectvely. The $8 million of insurance proceeds recorded during the second quarter of fscal 2023 represents fnal setlement of the claim and was received in April 2023. The $6 million of proceeds received during the frst quarter of fscal 2023 is included in Cash provided by investng actvites in the Consolidated Statements of Cash Flows. During the three and six months ended March 31, 2023, the Company recognized gains of $4 million and $9 million and loss recoveries of zero and $1 million, respectvely, which are included within Cost of sales in the Consolidated Statements of Operatons. At March 31, 2023 and September 30, 2022, the receivable for insurance recoveries was $8 million and $4 million, respectvely.</w:t>
      </w:r>
    </w:p>
    <w:p>
      <w:pPr>
        <w:spacing w:after="0" w:line="7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During the three and six months ended March 31, 2022, the Company recorded additonal expenses of $1 million and $6 million, respectvely, for clean-up costs, inventory, and fxed asset impairments and simultaneously recognized a fully ofsetng loss recovery from expected insurance proceeds as the Company expected insurance proceeds in excess of the total incurred costs and policy deductbles. The food-related expenses and loss recoveries are both included within Cost of sales in the Consolidated Statements of Operatons for the three and six months ended March 31, 2022.</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 Income Tax</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Efectve Tax Rate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340" w:type="dxa"/>
            <w:vAlign w:val="bottom"/>
            <w:gridSpan w:val="4"/>
          </w:tcPr>
          <w:p>
            <w:pPr>
              <w:ind w:left="400"/>
              <w:spacing w:after="0"/>
              <w:rPr>
                <w:sz w:val="20"/>
                <w:szCs w:val="20"/>
                <w:color w:val="auto"/>
              </w:rPr>
            </w:pPr>
            <w:r>
              <w:rPr>
                <w:rFonts w:ascii="Calibri" w:cs="Calibri" w:eastAsia="Calibri" w:hAnsi="Calibri"/>
                <w:sz w:val="14"/>
                <w:szCs w:val="14"/>
                <w:b w:val="1"/>
                <w:bCs w:val="1"/>
                <w:color w:val="auto"/>
              </w:rPr>
              <w:t>Three Months Ended March 31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jc w:val="right"/>
              <w:ind w:right="620"/>
              <w:spacing w:after="0"/>
              <w:rPr>
                <w:sz w:val="20"/>
                <w:szCs w:val="20"/>
                <w:color w:val="auto"/>
              </w:rPr>
            </w:pPr>
            <w:r>
              <w:rPr>
                <w:rFonts w:ascii="Calibri" w:cs="Calibri" w:eastAsia="Calibri" w:hAnsi="Calibri"/>
                <w:sz w:val="14"/>
                <w:szCs w:val="14"/>
                <w:b w:val="1"/>
                <w:bCs w:val="1"/>
                <w:color w:val="auto"/>
              </w:rPr>
              <w:t>Six Months Ended March 31</w:t>
            </w:r>
          </w:p>
        </w:tc>
      </w:tr>
      <w:tr>
        <w:trPr>
          <w:trHeight w:val="33"/>
        </w:trPr>
        <w:tc>
          <w:tcPr>
            <w:tcW w:w="3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3420" w:type="dxa"/>
            <w:vAlign w:val="bottom"/>
          </w:tcPr>
          <w:p>
            <w:pPr>
              <w:spacing w:after="0"/>
              <w:rPr>
                <w:sz w:val="14"/>
                <w:szCs w:val="14"/>
                <w:color w:val="auto"/>
              </w:rPr>
            </w:pPr>
          </w:p>
        </w:tc>
        <w:tc>
          <w:tcPr>
            <w:tcW w:w="800" w:type="dxa"/>
            <w:vAlign w:val="bottom"/>
          </w:tcPr>
          <w:p>
            <w:pPr>
              <w:ind w:left="420"/>
              <w:spacing w:after="0" w:line="164" w:lineRule="exact"/>
              <w:rPr>
                <w:sz w:val="20"/>
                <w:szCs w:val="20"/>
                <w:color w:val="auto"/>
              </w:rPr>
            </w:pPr>
            <w:r>
              <w:rPr>
                <w:rFonts w:ascii="Calibri" w:cs="Calibri" w:eastAsia="Calibri" w:hAnsi="Calibri"/>
                <w:sz w:val="14"/>
                <w:szCs w:val="14"/>
                <w:b w:val="1"/>
                <w:bCs w:val="1"/>
                <w:color w:val="auto"/>
              </w:rPr>
              <w:t>2023</w:t>
            </w:r>
          </w:p>
        </w:tc>
        <w:tc>
          <w:tcPr>
            <w:tcW w:w="1540" w:type="dxa"/>
            <w:vAlign w:val="bottom"/>
            <w:gridSpan w:val="3"/>
          </w:tcPr>
          <w:p>
            <w:pPr>
              <w:jc w:val="right"/>
              <w:ind w:right="108"/>
              <w:spacing w:after="0" w:line="164" w:lineRule="exact"/>
              <w:rPr>
                <w:sz w:val="20"/>
                <w:szCs w:val="20"/>
                <w:color w:val="auto"/>
              </w:rPr>
            </w:pPr>
            <w:r>
              <w:rPr>
                <w:rFonts w:ascii="Calibri" w:cs="Calibri" w:eastAsia="Calibri" w:hAnsi="Calibri"/>
                <w:sz w:val="14"/>
                <w:szCs w:val="14"/>
                <w:b w:val="1"/>
                <w:bCs w:val="1"/>
                <w:color w:val="auto"/>
              </w:rPr>
              <w:t>2022</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
        </w:trPr>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4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34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Borders>
              <w:top w:val="single" w:sz="8" w:color="auto"/>
            </w:tcBorders>
            <w:gridSpan w:val="2"/>
          </w:tcPr>
          <w:p>
            <w:pPr>
              <w:ind w:left="800"/>
              <w:spacing w:after="0" w:line="164" w:lineRule="exact"/>
              <w:rPr>
                <w:sz w:val="20"/>
                <w:szCs w:val="20"/>
                <w:color w:val="auto"/>
              </w:rPr>
            </w:pPr>
            <w:r>
              <w:rPr>
                <w:rFonts w:ascii="Calibri" w:cs="Calibri" w:eastAsia="Calibri" w:hAnsi="Calibri"/>
                <w:sz w:val="14"/>
                <w:szCs w:val="14"/>
                <w:b w:val="1"/>
                <w:bCs w:val="1"/>
                <w:color w:val="auto"/>
              </w:rPr>
              <w:t>(Dollars</w:t>
            </w:r>
          </w:p>
        </w:tc>
        <w:tc>
          <w:tcPr>
            <w:tcW w:w="200" w:type="dxa"/>
            <w:vAlign w:val="bottom"/>
          </w:tcPr>
          <w:p>
            <w:pPr>
              <w:jc w:val="right"/>
              <w:ind w:right="69"/>
              <w:spacing w:after="0"/>
              <w:rPr>
                <w:sz w:val="20"/>
                <w:szCs w:val="20"/>
                <w:color w:val="auto"/>
              </w:rPr>
            </w:pPr>
            <w:r>
              <w:rPr>
                <w:rFonts w:ascii="Calibri" w:cs="Calibri" w:eastAsia="Calibri" w:hAnsi="Calibri"/>
                <w:sz w:val="10"/>
                <w:szCs w:val="10"/>
                <w:b w:val="1"/>
                <w:bCs w:val="1"/>
                <w:color w:val="auto"/>
                <w:w w:val="75"/>
              </w:rPr>
              <w:t>in</w:t>
            </w:r>
          </w:p>
        </w:tc>
        <w:tc>
          <w:tcPr>
            <w:tcW w:w="1120" w:type="dxa"/>
            <w:vAlign w:val="bottom"/>
            <w:tcBorders>
              <w:top w:val="single" w:sz="8" w:color="auto"/>
            </w:tcBorders>
            <w:gridSpan w:val="2"/>
          </w:tcPr>
          <w:p>
            <w:pPr>
              <w:jc w:val="right"/>
              <w:ind w:right="619"/>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2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
        </w:trPr>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800" w:type="dxa"/>
            <w:vAlign w:val="bottom"/>
            <w:gridSpan w:val="3"/>
          </w:tcPr>
          <w:p>
            <w:pPr>
              <w:spacing w:after="0"/>
              <w:rPr>
                <w:sz w:val="2"/>
                <w:szCs w:val="2"/>
                <w:color w:val="auto"/>
              </w:rPr>
            </w:pPr>
          </w:p>
        </w:tc>
        <w:tc>
          <w:tcPr>
            <w:tcW w:w="1340" w:type="dxa"/>
            <w:vAlign w:val="bottom"/>
            <w:gridSpan w:val="3"/>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34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(Provision) beneft for income taxes</w:t>
            </w:r>
          </w:p>
        </w:tc>
        <w:tc>
          <w:tcPr>
            <w:tcW w:w="800" w:type="dxa"/>
            <w:vAlign w:val="bottom"/>
            <w:tcBorders>
              <w:bottom w:val="single" w:sz="8" w:color="CFF0FC"/>
            </w:tcBorders>
            <w:shd w:val="clear" w:color="auto" w:fill="CFF0FC"/>
          </w:tcPr>
          <w:p>
            <w:pPr>
              <w:jc w:val="right"/>
              <w:ind w:right="622"/>
              <w:spacing w:after="0" w:line="215" w:lineRule="exact"/>
              <w:rPr>
                <w:sz w:val="20"/>
                <w:szCs w:val="20"/>
                <w:color w:val="auto"/>
              </w:rPr>
            </w:pPr>
            <w:r>
              <w:rPr>
                <w:rFonts w:ascii="Calibri" w:cs="Calibri" w:eastAsia="Calibri" w:hAnsi="Calibri"/>
                <w:sz w:val="18"/>
                <w:szCs w:val="18"/>
                <w:color w:val="auto"/>
                <w:w w:val="87"/>
              </w:rPr>
              <w:t>$</w:t>
            </w:r>
          </w:p>
        </w:tc>
        <w:tc>
          <w:tcPr>
            <w:tcW w:w="1540" w:type="dxa"/>
            <w:vAlign w:val="bottom"/>
            <w:tcBorders>
              <w:bottom w:val="single" w:sz="8" w:color="CFF0FC"/>
            </w:tcBorders>
            <w:gridSpan w:val="3"/>
            <w:shd w:val="clear" w:color="auto" w:fill="CFF0FC"/>
          </w:tcPr>
          <w:p>
            <w:pPr>
              <w:jc w:val="right"/>
              <w:ind w:right="808"/>
              <w:spacing w:after="0" w:line="215" w:lineRule="exact"/>
              <w:rPr>
                <w:sz w:val="20"/>
                <w:szCs w:val="20"/>
                <w:color w:val="auto"/>
              </w:rPr>
            </w:pPr>
            <w:r>
              <w:rPr>
                <w:rFonts w:ascii="Calibri" w:cs="Calibri" w:eastAsia="Calibri" w:hAnsi="Calibri"/>
                <w:sz w:val="18"/>
                <w:szCs w:val="18"/>
                <w:color w:val="auto"/>
              </w:rPr>
              <w:t>(29 )  $</w:t>
            </w:r>
          </w:p>
        </w:tc>
        <w:tc>
          <w:tcPr>
            <w:tcW w:w="800" w:type="dxa"/>
            <w:vAlign w:val="bottom"/>
            <w:tcBorders>
              <w:bottom w:val="single" w:sz="8" w:color="CFF0FC"/>
            </w:tcBorders>
            <w:gridSpan w:val="3"/>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(36 )  $</w:t>
            </w:r>
          </w:p>
        </w:tc>
        <w:tc>
          <w:tcPr>
            <w:tcW w:w="1340" w:type="dxa"/>
            <w:vAlign w:val="bottom"/>
            <w:tcBorders>
              <w:bottom w:val="single" w:sz="8" w:color="CFF0FC"/>
            </w:tcBorders>
            <w:gridSpan w:val="3"/>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(49 )  $</w:t>
            </w:r>
          </w:p>
        </w:tc>
        <w:tc>
          <w:tcPr>
            <w:tcW w:w="10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(24 )</w:t>
            </w:r>
          </w:p>
        </w:tc>
        <w:tc>
          <w:tcPr>
            <w:tcW w:w="60" w:type="dxa"/>
            <w:vAlign w:val="bottom"/>
          </w:tcPr>
          <w:p>
            <w:pPr>
              <w:spacing w:after="0"/>
              <w:rPr>
                <w:sz w:val="19"/>
                <w:szCs w:val="19"/>
                <w:color w:val="auto"/>
              </w:rPr>
            </w:pPr>
          </w:p>
        </w:tc>
      </w:tr>
      <w:tr>
        <w:trPr>
          <w:trHeight w:val="215"/>
        </w:trPr>
        <w:tc>
          <w:tcPr>
            <w:tcW w:w="3420" w:type="dxa"/>
            <w:vAlign w:val="bottom"/>
          </w:tcPr>
          <w:p>
            <w:pPr>
              <w:spacing w:after="0" w:line="215" w:lineRule="exact"/>
              <w:rPr>
                <w:sz w:val="20"/>
                <w:szCs w:val="20"/>
                <w:color w:val="auto"/>
              </w:rPr>
            </w:pPr>
            <w:r>
              <w:rPr>
                <w:rFonts w:ascii="Calibri" w:cs="Calibri" w:eastAsia="Calibri" w:hAnsi="Calibri"/>
                <w:sz w:val="18"/>
                <w:szCs w:val="18"/>
                <w:color w:val="auto"/>
              </w:rPr>
              <w:t>Efectve tax rate</w:t>
            </w:r>
          </w:p>
        </w:tc>
        <w:tc>
          <w:tcPr>
            <w:tcW w:w="800" w:type="dxa"/>
            <w:vAlign w:val="bottom"/>
          </w:tcPr>
          <w:p>
            <w:pPr>
              <w:spacing w:after="0"/>
              <w:rPr>
                <w:sz w:val="18"/>
                <w:szCs w:val="18"/>
                <w:color w:val="auto"/>
              </w:rPr>
            </w:pPr>
          </w:p>
        </w:tc>
        <w:tc>
          <w:tcPr>
            <w:tcW w:w="5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26 %</w:t>
            </w:r>
          </w:p>
        </w:tc>
        <w:tc>
          <w:tcPr>
            <w:tcW w:w="980" w:type="dxa"/>
            <w:vAlign w:val="bottom"/>
          </w:tcPr>
          <w:p>
            <w:pPr>
              <w:spacing w:after="0"/>
              <w:rPr>
                <w:sz w:val="18"/>
                <w:szCs w:val="18"/>
                <w:color w:val="auto"/>
              </w:rPr>
            </w:pPr>
          </w:p>
        </w:tc>
        <w:tc>
          <w:tcPr>
            <w:tcW w:w="540" w:type="dxa"/>
            <w:vAlign w:val="bottom"/>
            <w:gridSpan w:val="2"/>
          </w:tcPr>
          <w:p>
            <w:pPr>
              <w:jc w:val="right"/>
              <w:ind w:right="29"/>
              <w:spacing w:after="0" w:line="215" w:lineRule="exact"/>
              <w:rPr>
                <w:sz w:val="20"/>
                <w:szCs w:val="20"/>
                <w:color w:val="auto"/>
              </w:rPr>
            </w:pPr>
            <w:r>
              <w:rPr>
                <w:rFonts w:ascii="Calibri" w:cs="Calibri" w:eastAsia="Calibri" w:hAnsi="Calibri"/>
                <w:sz w:val="18"/>
                <w:szCs w:val="18"/>
                <w:color w:val="auto"/>
              </w:rPr>
              <w:t>24 %</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25 %</w:t>
            </w:r>
          </w:p>
        </w:tc>
        <w:tc>
          <w:tcPr>
            <w:tcW w:w="280" w:type="dxa"/>
            <w:vAlign w:val="bottom"/>
          </w:tcPr>
          <w:p>
            <w:pPr>
              <w:spacing w:after="0"/>
              <w:rPr>
                <w:sz w:val="18"/>
                <w:szCs w:val="18"/>
                <w:color w:val="auto"/>
              </w:rPr>
            </w:pPr>
          </w:p>
        </w:tc>
        <w:tc>
          <w:tcPr>
            <w:tcW w:w="11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44 %</w:t>
            </w:r>
          </w:p>
        </w:tc>
      </w:tr>
    </w:tbl>
    <w:p>
      <w:pPr>
        <w:spacing w:after="0" w:line="195"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For the three months and six months ended March 31, 2023, the (Provision) beneft for income taxes included a net discrete tax beneft of $2 million and a net discrete tax expense of $1 million, respectvely. For the three and six months ended March 31, 2022, the (Provision) beneft for income taxes included a net discrete tax expense of $1 million and a net discrete tax beneft of $36 million, respectvely, afer valuaton allowance. The $36 million beneft is primarily related to the Purifcaton Solutons business divestture.</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 in Interim Periods</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Company records its tax provision or beneft on an interim basis using an estmated annual efectve tax rate. This rate is applied to the current period ordinary income or loss to determine the income tax provision or beneft allocated to the interim period. The income tax efects of unusual or infrequent items are excluded from the estmated annual efectve tax rate and are recognized in the impacted interim period. Losses from jurisdictons for which no beneft can be recognized are excluded from the overall computatons of the estmated annual efectve tax rate and a separate estmated annual efectve tax rate is computed and applied to ordinary income or loss in the loss jurisdicton.</w:t>
      </w:r>
    </w:p>
    <w:p>
      <w:pPr>
        <w:spacing w:after="0" w:line="85" w:lineRule="exact"/>
        <w:rPr>
          <w:sz w:val="20"/>
          <w:szCs w:val="20"/>
          <w:color w:val="auto"/>
        </w:rPr>
      </w:pPr>
    </w:p>
    <w:p>
      <w:pPr>
        <w:ind w:right="20" w:firstLine="509"/>
        <w:spacing w:after="0" w:line="254" w:lineRule="auto"/>
        <w:rPr>
          <w:sz w:val="20"/>
          <w:szCs w:val="20"/>
          <w:color w:val="auto"/>
        </w:rPr>
      </w:pPr>
      <w:r>
        <w:rPr>
          <w:rFonts w:ascii="Calibri" w:cs="Calibri" w:eastAsia="Calibri" w:hAnsi="Calibri"/>
          <w:sz w:val="17"/>
          <w:szCs w:val="17"/>
          <w:color w:val="auto"/>
        </w:rPr>
        <w:t>Valuaton allowances are provided against the future tax benefts that arise from the deferred tax assets in jurisdictons for which it is expected that no beneft can be recognized. The estmated annual efectve tax rate may be signifcantly impacted by nondeductble expenses and the Company’s projected earnings mix by tax jurisdicton. Adjustments to the estmated annual efectve income tax rate are recognized in the period when such estmates are revised.</w:t>
      </w:r>
    </w:p>
    <w:p>
      <w:pPr>
        <w:spacing w:after="0" w:line="6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Uncertaintes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 and certain subsidiaries are under audit in a number of jurisdictons. In additon, certain statutes of limitatons are scheduled to expire in the near future. It is reasonably possible that a change in the unrecognized tax benefts may also occur within the next twelve months related to the setlement of one or more of these audits or the lapse of applicable statutes of limitatons. However, an estmated range of the impact on the unrecognized tax benefts cannot be quantfed at this tme.</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Cabot fles U.S. federal and state and non-U.S. income tax returns in jurisdictons with varying statutes of limitatons. The 2019 through 2021 tax years generally remain subject to examinaton by the IRS and various tax years from 2009 through 2021 remain subject to examinaton by the respectve state tax authorites. In foreign jurisdictons, various tax years from 2005 through 2022 remain subject to examinaton by their respectve tax authorites.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During the three and six months ended March 31, 2023, Cabot released uncertain tax positons of less than $1 million and $1 million, respectvely, due to the expiraton of statutes of limitatons in various jurisdictons. During the three and six months ended March 31, 2022, Cabot released uncertain tax positons of $1 million and $2 million, respectvely, due to the expiraton of statutes of limitatons in various jurisdictons.</w:t>
      </w:r>
    </w:p>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color w:val="auto"/>
        </w:rPr>
        <w:t>J. Earnings Per Share</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following tables summarize the components of the basic and diluted earnings (loss) per common share (“EPS”) computatons:</w:t>
      </w:r>
    </w:p>
    <w:p>
      <w:pPr>
        <w:sectPr>
          <w:pgSz w:w="11900" w:h="16838" w:orient="portrait"/>
          <w:cols w:equalWidth="0" w:num="1">
            <w:col w:w="11140"/>
          </w:cols>
          <w:pgMar w:left="320" w:top="40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color w:val="auto"/>
        </w:rPr>
        <w:t>Basic EPS:</w:t>
      </w:r>
    </w:p>
    <w:p>
      <w:pPr>
        <w:spacing w:after="0" w:line="23"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Net income (loss) atributable to Cabot</w:t>
      </w:r>
    </w:p>
    <w:p>
      <w:pPr>
        <w:ind w:left="880"/>
        <w:spacing w:after="0" w:line="235" w:lineRule="auto"/>
        <w:rPr>
          <w:sz w:val="20"/>
          <w:szCs w:val="20"/>
          <w:color w:val="auto"/>
        </w:rPr>
      </w:pPr>
      <w:r>
        <w:rPr>
          <w:rFonts w:ascii="Calibri" w:cs="Calibri" w:eastAsia="Calibri" w:hAnsi="Calibri"/>
          <w:sz w:val="18"/>
          <w:szCs w:val="18"/>
          <w:color w:val="auto"/>
        </w:rPr>
        <w:t>Corporaton</w:t>
      </w:r>
    </w:p>
    <w:p>
      <w:pPr>
        <w:spacing w:after="0" w:line="29"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Less: Dividends and dividend equivalents</w:t>
      </w:r>
    </w:p>
    <w:p>
      <w:pPr>
        <w:spacing w:after="0" w:line="4" w:lineRule="exact"/>
        <w:rPr>
          <w:sz w:val="20"/>
          <w:szCs w:val="20"/>
          <w:color w:val="auto"/>
        </w:rPr>
      </w:pPr>
    </w:p>
    <w:p>
      <w:pPr>
        <w:ind w:left="880"/>
        <w:spacing w:after="0"/>
        <w:rPr>
          <w:sz w:val="20"/>
          <w:szCs w:val="20"/>
          <w:color w:val="auto"/>
        </w:rPr>
      </w:pPr>
      <w:r>
        <w:rPr>
          <w:rFonts w:ascii="Calibri" w:cs="Calibri" w:eastAsia="Calibri" w:hAnsi="Calibri"/>
          <w:sz w:val="18"/>
          <w:szCs w:val="18"/>
          <w:color w:val="auto"/>
        </w:rPr>
        <w:t>to partcipatng securites</w:t>
      </w:r>
    </w:p>
    <w:p>
      <w:pPr>
        <w:spacing w:after="0" w:line="28"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Less: Undistributed earnings allocated to</w:t>
      </w:r>
    </w:p>
    <w:p>
      <w:pPr>
        <w:ind w:left="880"/>
        <w:spacing w:after="0" w:line="183" w:lineRule="auto"/>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(1)</w:t>
      </w:r>
    </w:p>
    <w:p>
      <w:pPr>
        <w:spacing w:after="0" w:line="23" w:lineRule="exact"/>
        <w:rPr>
          <w:sz w:val="20"/>
          <w:szCs w:val="20"/>
          <w:color w:val="auto"/>
        </w:rPr>
      </w:pPr>
    </w:p>
    <w:p>
      <w:pPr>
        <w:ind w:left="1040"/>
        <w:spacing w:after="0"/>
        <w:rPr>
          <w:sz w:val="20"/>
          <w:szCs w:val="20"/>
          <w:color w:val="auto"/>
        </w:rPr>
      </w:pPr>
      <w:r>
        <w:rPr>
          <w:rFonts w:ascii="Calibri" w:cs="Calibri" w:eastAsia="Calibri" w:hAnsi="Calibri"/>
          <w:sz w:val="18"/>
          <w:szCs w:val="18"/>
          <w:color w:val="auto"/>
        </w:rPr>
        <w:t>Earnings (loss) allocated to common</w:t>
      </w:r>
    </w:p>
    <w:p>
      <w:pPr>
        <w:ind w:left="1160"/>
        <w:spacing w:after="0" w:line="235" w:lineRule="auto"/>
        <w:rPr>
          <w:sz w:val="20"/>
          <w:szCs w:val="20"/>
          <w:color w:val="auto"/>
        </w:rPr>
      </w:pPr>
      <w:r>
        <w:rPr>
          <w:rFonts w:ascii="Calibri" w:cs="Calibri" w:eastAsia="Calibri" w:hAnsi="Calibri"/>
          <w:sz w:val="18"/>
          <w:szCs w:val="18"/>
          <w:color w:val="auto"/>
        </w:rPr>
        <w:t>shareholders (numerator)</w:t>
      </w:r>
    </w:p>
    <w:p>
      <w:pPr>
        <w:spacing w:after="0" w:line="26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Weighted average common shares and</w:t>
      </w:r>
    </w:p>
    <w:p>
      <w:pPr>
        <w:ind w:left="880"/>
        <w:spacing w:after="0" w:line="235" w:lineRule="auto"/>
        <w:rPr>
          <w:sz w:val="20"/>
          <w:szCs w:val="20"/>
          <w:color w:val="auto"/>
        </w:rPr>
      </w:pPr>
      <w:r>
        <w:rPr>
          <w:rFonts w:ascii="Calibri" w:cs="Calibri" w:eastAsia="Calibri" w:hAnsi="Calibri"/>
          <w:sz w:val="18"/>
          <w:szCs w:val="18"/>
          <w:color w:val="auto"/>
        </w:rPr>
        <w:t>partcipatng securites outstanding</w:t>
      </w:r>
    </w:p>
    <w:p>
      <w:pPr>
        <w:spacing w:after="0" w:line="5"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Less: Partcipatng securites</w:t>
      </w:r>
      <w:r>
        <w:rPr>
          <w:rFonts w:ascii="Calibri" w:cs="Calibri" w:eastAsia="Calibri" w:hAnsi="Calibri"/>
          <w:sz w:val="24"/>
          <w:szCs w:val="24"/>
          <w:color w:val="auto"/>
          <w:vertAlign w:val="superscript"/>
        </w:rPr>
        <w:t>(1)</w:t>
      </w:r>
    </w:p>
    <w:p>
      <w:pPr>
        <w:ind w:left="1040"/>
        <w:spacing w:after="0" w:line="234" w:lineRule="auto"/>
        <w:rPr>
          <w:sz w:val="20"/>
          <w:szCs w:val="20"/>
          <w:color w:val="auto"/>
        </w:rPr>
      </w:pPr>
      <w:r>
        <w:rPr>
          <w:rFonts w:ascii="Calibri" w:cs="Calibri" w:eastAsia="Calibri" w:hAnsi="Calibri"/>
          <w:sz w:val="17"/>
          <w:szCs w:val="17"/>
          <w:color w:val="auto"/>
        </w:rPr>
        <w:t>Adjusted weighted average common</w:t>
      </w:r>
    </w:p>
    <w:p>
      <w:pPr>
        <w:ind w:left="1160"/>
        <w:spacing w:after="0" w:line="235" w:lineRule="auto"/>
        <w:rPr>
          <w:sz w:val="20"/>
          <w:szCs w:val="20"/>
          <w:color w:val="auto"/>
        </w:rPr>
      </w:pPr>
      <w:r>
        <w:rPr>
          <w:rFonts w:ascii="Calibri" w:cs="Calibri" w:eastAsia="Calibri" w:hAnsi="Calibri"/>
          <w:sz w:val="18"/>
          <w:szCs w:val="18"/>
          <w:color w:val="auto"/>
        </w:rPr>
        <w:t>shares (denominator)</w:t>
      </w:r>
    </w:p>
    <w:p>
      <w:pPr>
        <w:spacing w:after="0" w:line="272"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Earnings (loss) per common share - basic:</w:t>
      </w:r>
    </w:p>
    <w:p>
      <w:pPr>
        <w:spacing w:after="0" w:line="274"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color w:val="auto"/>
        </w:rPr>
        <w:t>Diluted EPS:</w:t>
      </w:r>
    </w:p>
    <w:p>
      <w:pPr>
        <w:spacing w:after="0" w:line="23"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Earnings (loss) allocated to common</w:t>
      </w:r>
    </w:p>
    <w:p>
      <w:pPr>
        <w:ind w:left="880"/>
        <w:spacing w:after="0" w:line="235" w:lineRule="auto"/>
        <w:rPr>
          <w:sz w:val="20"/>
          <w:szCs w:val="20"/>
          <w:color w:val="auto"/>
        </w:rPr>
      </w:pPr>
      <w:r>
        <w:rPr>
          <w:rFonts w:ascii="Calibri" w:cs="Calibri" w:eastAsia="Calibri" w:hAnsi="Calibri"/>
          <w:sz w:val="18"/>
          <w:szCs w:val="18"/>
          <w:color w:val="auto"/>
        </w:rPr>
        <w:t>shareholders</w:t>
      </w:r>
    </w:p>
    <w:p>
      <w:pPr>
        <w:spacing w:after="0" w:line="24" w:lineRule="exact"/>
        <w:rPr>
          <w:sz w:val="20"/>
          <w:szCs w:val="20"/>
          <w:color w:val="auto"/>
        </w:rPr>
      </w:pPr>
    </w:p>
    <w:p>
      <w:pPr>
        <w:jc w:val="center"/>
        <w:ind w:right="2280"/>
        <w:spacing w:after="0"/>
        <w:rPr>
          <w:sz w:val="20"/>
          <w:szCs w:val="20"/>
          <w:color w:val="auto"/>
        </w:rPr>
      </w:pPr>
      <w:r>
        <w:rPr>
          <w:rFonts w:ascii="Calibri" w:cs="Calibri" w:eastAsia="Calibri" w:hAnsi="Calibri"/>
          <w:sz w:val="18"/>
          <w:szCs w:val="18"/>
          <w:color w:val="auto"/>
        </w:rPr>
        <w:t>Plus: Earnings allocated to</w:t>
      </w:r>
    </w:p>
    <w:p>
      <w:pPr>
        <w:jc w:val="center"/>
        <w:ind w:right="2300"/>
        <w:spacing w:after="0" w:line="235" w:lineRule="auto"/>
        <w:rPr>
          <w:sz w:val="20"/>
          <w:szCs w:val="20"/>
          <w:color w:val="auto"/>
        </w:rPr>
      </w:pPr>
      <w:r>
        <w:rPr>
          <w:rFonts w:ascii="Calibri" w:cs="Calibri" w:eastAsia="Calibri" w:hAnsi="Calibri"/>
          <w:sz w:val="18"/>
          <w:szCs w:val="18"/>
          <w:color w:val="auto"/>
        </w:rPr>
        <w:t>partcipatng securites</w:t>
      </w:r>
    </w:p>
    <w:p>
      <w:pPr>
        <w:spacing w:after="0" w:line="24"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Less: Adjusted earnings allocated to</w:t>
      </w:r>
    </w:p>
    <w:p>
      <w:pPr>
        <w:ind w:left="880"/>
        <w:spacing w:after="0" w:line="184" w:lineRule="auto"/>
        <w:rPr>
          <w:sz w:val="20"/>
          <w:szCs w:val="20"/>
          <w:color w:val="auto"/>
        </w:rPr>
      </w:pPr>
      <w:r>
        <w:rPr>
          <w:rFonts w:ascii="Calibri" w:cs="Calibri" w:eastAsia="Calibri" w:hAnsi="Calibri"/>
          <w:sz w:val="17"/>
          <w:szCs w:val="17"/>
          <w:color w:val="auto"/>
        </w:rPr>
        <w:t>partcipatng securites</w:t>
      </w:r>
      <w:r>
        <w:rPr>
          <w:rFonts w:ascii="Calibri" w:cs="Calibri" w:eastAsia="Calibri" w:hAnsi="Calibri"/>
          <w:sz w:val="23"/>
          <w:szCs w:val="23"/>
          <w:color w:val="auto"/>
          <w:vertAlign w:val="superscript"/>
        </w:rPr>
        <w:t>(2)</w:t>
      </w:r>
    </w:p>
    <w:p>
      <w:pPr>
        <w:spacing w:after="0" w:line="24" w:lineRule="exact"/>
        <w:rPr>
          <w:sz w:val="20"/>
          <w:szCs w:val="20"/>
          <w:color w:val="auto"/>
        </w:rPr>
      </w:pPr>
    </w:p>
    <w:p>
      <w:pPr>
        <w:ind w:left="1040"/>
        <w:spacing w:after="0"/>
        <w:rPr>
          <w:sz w:val="20"/>
          <w:szCs w:val="20"/>
          <w:color w:val="auto"/>
        </w:rPr>
      </w:pPr>
      <w:r>
        <w:rPr>
          <w:rFonts w:ascii="Calibri" w:cs="Calibri" w:eastAsia="Calibri" w:hAnsi="Calibri"/>
          <w:sz w:val="18"/>
          <w:szCs w:val="18"/>
          <w:color w:val="auto"/>
        </w:rPr>
        <w:t>Earnings (loss) allocated to common</w:t>
      </w:r>
    </w:p>
    <w:p>
      <w:pPr>
        <w:ind w:left="1160"/>
        <w:spacing w:after="0" w:line="235" w:lineRule="auto"/>
        <w:rPr>
          <w:sz w:val="20"/>
          <w:szCs w:val="20"/>
          <w:color w:val="auto"/>
        </w:rPr>
      </w:pPr>
      <w:r>
        <w:rPr>
          <w:rFonts w:ascii="Calibri" w:cs="Calibri" w:eastAsia="Calibri" w:hAnsi="Calibri"/>
          <w:sz w:val="18"/>
          <w:szCs w:val="18"/>
          <w:color w:val="auto"/>
        </w:rPr>
        <w:t>shareholders (numerator)</w:t>
      </w:r>
    </w:p>
    <w:p>
      <w:pPr>
        <w:spacing w:after="0" w:line="26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Adjusted weighted average common</w:t>
      </w:r>
    </w:p>
    <w:p>
      <w:pPr>
        <w:ind w:left="880"/>
        <w:spacing w:after="0" w:line="235" w:lineRule="auto"/>
        <w:rPr>
          <w:sz w:val="20"/>
          <w:szCs w:val="20"/>
          <w:color w:val="auto"/>
        </w:rPr>
      </w:pPr>
      <w:r>
        <w:rPr>
          <w:rFonts w:ascii="Calibri" w:cs="Calibri" w:eastAsia="Calibri" w:hAnsi="Calibri"/>
          <w:sz w:val="18"/>
          <w:szCs w:val="18"/>
          <w:color w:val="auto"/>
        </w:rPr>
        <w:t>shares outstanding</w:t>
      </w:r>
    </w:p>
    <w:p>
      <w:pPr>
        <w:spacing w:after="0" w:line="24"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Efect of dilutve securites:</w:t>
      </w:r>
    </w:p>
    <w:p>
      <w:pPr>
        <w:spacing w:after="0" w:line="4" w:lineRule="exact"/>
        <w:rPr>
          <w:sz w:val="20"/>
          <w:szCs w:val="20"/>
          <w:color w:val="auto"/>
        </w:rPr>
      </w:pPr>
    </w:p>
    <w:p>
      <w:pPr>
        <w:ind w:left="940"/>
        <w:spacing w:after="0"/>
        <w:rPr>
          <w:sz w:val="20"/>
          <w:szCs w:val="20"/>
          <w:color w:val="auto"/>
        </w:rPr>
      </w:pPr>
      <w:r>
        <w:rPr>
          <w:rFonts w:ascii="Calibri" w:cs="Calibri" w:eastAsia="Calibri" w:hAnsi="Calibri"/>
          <w:sz w:val="18"/>
          <w:szCs w:val="18"/>
          <w:color w:val="auto"/>
        </w:rPr>
        <w:t>Common shares issuable</w:t>
      </w:r>
      <w:r>
        <w:rPr>
          <w:rFonts w:ascii="Calibri" w:cs="Calibri" w:eastAsia="Calibri" w:hAnsi="Calibri"/>
          <w:sz w:val="24"/>
          <w:szCs w:val="24"/>
          <w:color w:val="auto"/>
          <w:vertAlign w:val="superscript"/>
        </w:rPr>
        <w:t>(3)</w:t>
      </w:r>
    </w:p>
    <w:p>
      <w:pPr>
        <w:ind w:left="1040"/>
        <w:spacing w:after="0" w:line="234" w:lineRule="auto"/>
        <w:rPr>
          <w:sz w:val="20"/>
          <w:szCs w:val="20"/>
          <w:color w:val="auto"/>
        </w:rPr>
      </w:pPr>
      <w:r>
        <w:rPr>
          <w:rFonts w:ascii="Calibri" w:cs="Calibri" w:eastAsia="Calibri" w:hAnsi="Calibri"/>
          <w:sz w:val="17"/>
          <w:szCs w:val="17"/>
          <w:color w:val="auto"/>
        </w:rPr>
        <w:t>Adjusted weighted average common</w:t>
      </w:r>
    </w:p>
    <w:p>
      <w:pPr>
        <w:ind w:left="1160"/>
        <w:spacing w:after="0" w:line="235" w:lineRule="auto"/>
        <w:rPr>
          <w:sz w:val="20"/>
          <w:szCs w:val="20"/>
          <w:color w:val="auto"/>
        </w:rPr>
      </w:pPr>
      <w:r>
        <w:rPr>
          <w:rFonts w:ascii="Calibri" w:cs="Calibri" w:eastAsia="Calibri" w:hAnsi="Calibri"/>
          <w:sz w:val="18"/>
          <w:szCs w:val="18"/>
          <w:color w:val="auto"/>
        </w:rPr>
        <w:t>shares (denominator)</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0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Three Months Ended March 31</w:t>
            </w:r>
          </w:p>
        </w:tc>
        <w:tc>
          <w:tcPr>
            <w:tcW w:w="240" w:type="dxa"/>
            <w:vAlign w:val="bottom"/>
          </w:tcPr>
          <w:p>
            <w:pPr>
              <w:spacing w:after="0"/>
              <w:rPr>
                <w:sz w:val="14"/>
                <w:szCs w:val="14"/>
                <w:color w:val="auto"/>
              </w:rPr>
            </w:pPr>
          </w:p>
        </w:tc>
        <w:tc>
          <w:tcPr>
            <w:tcW w:w="1940" w:type="dxa"/>
            <w:vAlign w:val="bottom"/>
            <w:gridSpan w:val="3"/>
          </w:tcPr>
          <w:p>
            <w:pPr>
              <w:jc w:val="right"/>
              <w:ind w:right="68"/>
              <w:spacing w:after="0"/>
              <w:rPr>
                <w:sz w:val="20"/>
                <w:szCs w:val="20"/>
                <w:color w:val="auto"/>
              </w:rPr>
            </w:pPr>
            <w:r>
              <w:rPr>
                <w:rFonts w:ascii="Calibri" w:cs="Calibri" w:eastAsia="Calibri" w:hAnsi="Calibri"/>
                <w:sz w:val="14"/>
                <w:szCs w:val="14"/>
                <w:b w:val="1"/>
                <w:bCs w:val="1"/>
                <w:color w:val="auto"/>
              </w:rPr>
              <w:t>Six Months Ended March 31</w:t>
            </w:r>
          </w:p>
        </w:tc>
      </w:tr>
      <w:tr>
        <w:trPr>
          <w:trHeight w:val="33"/>
        </w:trPr>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3"/>
        </w:trPr>
        <w:tc>
          <w:tcPr>
            <w:tcW w:w="88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2023</w:t>
            </w:r>
          </w:p>
        </w:tc>
        <w:tc>
          <w:tcPr>
            <w:tcW w:w="1120" w:type="dxa"/>
            <w:vAlign w:val="bottom"/>
            <w:gridSpan w:val="2"/>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880" w:type="dxa"/>
            <w:vAlign w:val="bottom"/>
          </w:tcPr>
          <w:p>
            <w:pPr>
              <w:jc w:val="right"/>
              <w:ind w:right="228"/>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86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2022</w:t>
            </w:r>
          </w:p>
        </w:tc>
      </w:tr>
      <w:tr>
        <w:trPr>
          <w:trHeight w:val="33"/>
        </w:trPr>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3"/>
        </w:trPr>
        <w:tc>
          <w:tcPr>
            <w:tcW w:w="880" w:type="dxa"/>
            <w:vAlign w:val="bottom"/>
            <w:tcBorders>
              <w:top w:val="single" w:sz="8" w:color="auto"/>
            </w:tcBorders>
          </w:tcPr>
          <w:p>
            <w:pPr>
              <w:spacing w:after="0"/>
              <w:rPr>
                <w:sz w:val="14"/>
                <w:szCs w:val="14"/>
                <w:color w:val="auto"/>
              </w:rPr>
            </w:pPr>
          </w:p>
        </w:tc>
        <w:tc>
          <w:tcPr>
            <w:tcW w:w="24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(In</w:t>
            </w:r>
          </w:p>
        </w:tc>
        <w:tc>
          <w:tcPr>
            <w:tcW w:w="880" w:type="dxa"/>
            <w:vAlign w:val="bottom"/>
            <w:tcBorders>
              <w:top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6"/>
              </w:rPr>
              <w:t>millions, except</w:t>
            </w:r>
          </w:p>
        </w:tc>
        <w:tc>
          <w:tcPr>
            <w:tcW w:w="240" w:type="dxa"/>
            <w:vAlign w:val="bottom"/>
          </w:tcPr>
          <w:p>
            <w:pPr>
              <w:ind w:left="80"/>
              <w:spacing w:after="0" w:line="163" w:lineRule="exact"/>
              <w:rPr>
                <w:sz w:val="20"/>
                <w:szCs w:val="20"/>
                <w:color w:val="auto"/>
              </w:rPr>
            </w:pPr>
            <w:r>
              <w:rPr>
                <w:rFonts w:ascii="Calibri" w:cs="Calibri" w:eastAsia="Calibri" w:hAnsi="Calibri"/>
                <w:sz w:val="14"/>
                <w:szCs w:val="14"/>
                <w:b w:val="1"/>
                <w:bCs w:val="1"/>
                <w:color w:val="auto"/>
                <w:w w:val="71"/>
              </w:rPr>
              <w:t>per</w:t>
            </w:r>
          </w:p>
        </w:tc>
        <w:tc>
          <w:tcPr>
            <w:tcW w:w="8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w w:val="94"/>
              </w:rPr>
              <w:t>share amounts)</w:t>
            </w:r>
          </w:p>
        </w:tc>
        <w:tc>
          <w:tcPr>
            <w:tcW w:w="2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20955</wp:posOffset>
            </wp:positionV>
            <wp:extent cx="641223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75</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107</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129</w:t>
            </w:r>
          </w:p>
        </w:tc>
        <w:tc>
          <w:tcPr>
            <w:tcW w:w="5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18</w:t>
            </w:r>
          </w:p>
        </w:tc>
      </w:tr>
      <w:tr>
        <w:trPr>
          <w:trHeight w:val="459"/>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446"/>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37"/>
        </w:trPr>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75"/>
        </w:trPr>
        <w:tc>
          <w:tcPr>
            <w:tcW w:w="34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73</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105</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126</w:t>
            </w:r>
          </w:p>
        </w:tc>
        <w:tc>
          <w:tcPr>
            <w:tcW w:w="5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17</w:t>
            </w:r>
          </w:p>
        </w:tc>
      </w:tr>
      <w:tr>
        <w:trPr>
          <w:trHeight w:val="37"/>
        </w:trPr>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646"/>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57.6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57.5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57.6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57.4</w:t>
            </w:r>
          </w:p>
        </w:tc>
      </w:tr>
      <w:tr>
        <w:trPr>
          <w:trHeight w:val="243"/>
        </w:trPr>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0.9</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0.9</w:t>
            </w:r>
          </w:p>
        </w:tc>
      </w:tr>
      <w:tr>
        <w:trPr>
          <w:trHeight w:val="37"/>
        </w:trPr>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75"/>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56.5</w:t>
            </w:r>
          </w:p>
        </w:tc>
      </w:tr>
      <w:tr>
        <w:trPr>
          <w:trHeight w:val="37"/>
        </w:trPr>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30"/>
        </w:trPr>
        <w:tc>
          <w:tcPr>
            <w:tcW w:w="34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1.31</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1.86</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2.24</w:t>
            </w:r>
          </w:p>
        </w:tc>
        <w:tc>
          <w:tcPr>
            <w:tcW w:w="5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0.30</w:t>
            </w:r>
          </w:p>
        </w:tc>
      </w:tr>
      <w:tr>
        <w:trPr>
          <w:trHeight w:val="945"/>
        </w:trPr>
        <w:tc>
          <w:tcPr>
            <w:tcW w:w="34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73</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105</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126</w:t>
            </w:r>
          </w:p>
        </w:tc>
        <w:tc>
          <w:tcPr>
            <w:tcW w:w="5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17</w:t>
            </w:r>
          </w:p>
        </w:tc>
      </w:tr>
      <w:tr>
        <w:trPr>
          <w:trHeight w:val="459"/>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445"/>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37"/>
        </w:trPr>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75"/>
        </w:trPr>
        <w:tc>
          <w:tcPr>
            <w:tcW w:w="34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73</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105</w:t>
            </w:r>
          </w:p>
        </w:tc>
        <w:tc>
          <w:tcPr>
            <w:tcW w:w="5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126</w:t>
            </w:r>
          </w:p>
        </w:tc>
        <w:tc>
          <w:tcPr>
            <w:tcW w:w="5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17</w:t>
            </w:r>
          </w:p>
        </w:tc>
      </w:tr>
      <w:tr>
        <w:trPr>
          <w:trHeight w:val="37"/>
        </w:trPr>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646"/>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56.5</w:t>
            </w:r>
          </w:p>
        </w:tc>
      </w:tr>
      <w:tr>
        <w:trPr>
          <w:trHeight w:val="486"/>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0.5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0.5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0.4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0.4</w:t>
            </w:r>
          </w:p>
        </w:tc>
      </w:tr>
      <w:tr>
        <w:trPr>
          <w:trHeight w:val="37"/>
        </w:trPr>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75"/>
        </w:trPr>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57.1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56.9</w:t>
            </w:r>
          </w:p>
        </w:tc>
      </w:tr>
      <w:tr>
        <w:trPr>
          <w:trHeight w:val="37"/>
        </w:trPr>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-4611370</wp:posOffset>
            </wp:positionV>
            <wp:extent cx="641223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-4028440</wp:posOffset>
            </wp:positionV>
            <wp:extent cx="6412230" cy="737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2230" cy="73723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-3128010</wp:posOffset>
            </wp:positionV>
            <wp:extent cx="6412230" cy="6000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60007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-2373630</wp:posOffset>
            </wp:positionV>
            <wp:extent cx="641223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-1927860</wp:posOffset>
            </wp:positionV>
            <wp:extent cx="6412230"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-1344930</wp:posOffset>
            </wp:positionV>
            <wp:extent cx="6412230" cy="737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73723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-453390</wp:posOffset>
            </wp:positionV>
            <wp:extent cx="6412230" cy="6083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12230" cy="60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740"/>
          </w:cols>
          <w:pgMar w:left="320" w:top="409" w:right="439" w:bottom="1440" w:gutter="0" w:footer="0" w:header="0"/>
          <w:type w:val="continuous"/>
        </w:sectPr>
      </w:pPr>
    </w:p>
    <w:p>
      <w:pPr>
        <w:spacing w:after="0" w:line="29" w:lineRule="exact"/>
        <w:rPr>
          <w:sz w:val="20"/>
          <w:szCs w:val="20"/>
          <w:color w:val="auto"/>
        </w:rPr>
      </w:pPr>
    </w:p>
    <w:p>
      <w:pPr>
        <w:ind w:left="760"/>
        <w:spacing w:after="0"/>
        <w:tabs>
          <w:tab w:leader="none" w:pos="6400" w:val="left"/>
          <w:tab w:leader="none" w:pos="6940" w:val="left"/>
          <w:tab w:leader="none" w:pos="7520" w:val="left"/>
          <w:tab w:leader="none" w:pos="8060" w:val="left"/>
          <w:tab w:leader="none" w:pos="8640" w:val="left"/>
          <w:tab w:leader="none" w:pos="9160" w:val="left"/>
          <w:tab w:leader="none" w:pos="9720" w:val="left"/>
          <w:tab w:leader="none" w:pos="10240" w:val="left"/>
        </w:tabs>
        <w:rPr>
          <w:sz w:val="20"/>
          <w:szCs w:val="20"/>
          <w:color w:val="auto"/>
        </w:rPr>
      </w:pPr>
      <w:r>
        <w:rPr>
          <w:rFonts w:ascii="Calibri" w:cs="Calibri" w:eastAsia="Calibri" w:hAnsi="Calibri"/>
          <w:sz w:val="18"/>
          <w:szCs w:val="18"/>
          <w:color w:val="auto"/>
        </w:rPr>
        <w:t>Earnings (loss) per common share - diluted:</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1.29</w:t>
        <w:tab/>
        <w:t>$</w:t>
      </w:r>
      <w:r>
        <w:rPr>
          <w:sz w:val="20"/>
          <w:szCs w:val="20"/>
          <w:color w:val="auto"/>
        </w:rPr>
        <w:tab/>
      </w:r>
      <w:r>
        <w:rPr>
          <w:rFonts w:ascii="Calibri" w:cs="Calibri" w:eastAsia="Calibri" w:hAnsi="Calibri"/>
          <w:sz w:val="18"/>
          <w:szCs w:val="18"/>
          <w:color w:val="auto"/>
        </w:rPr>
        <w:t>1.84</w:t>
        <w:tab/>
        <w:t>$</w:t>
      </w:r>
      <w:r>
        <w:rPr>
          <w:sz w:val="20"/>
          <w:szCs w:val="20"/>
          <w:color w:val="auto"/>
        </w:rPr>
        <w:tab/>
      </w:r>
      <w:r>
        <w:rPr>
          <w:rFonts w:ascii="Calibri" w:cs="Calibri" w:eastAsia="Calibri" w:hAnsi="Calibri"/>
          <w:sz w:val="18"/>
          <w:szCs w:val="18"/>
          <w:color w:val="auto"/>
        </w:rPr>
        <w:t>2.23</w:t>
        <w:tab/>
        <w:t>$</w:t>
      </w:r>
      <w:r>
        <w:rPr>
          <w:sz w:val="20"/>
          <w:szCs w:val="20"/>
          <w:color w:val="auto"/>
        </w:rPr>
        <w:tab/>
      </w:r>
      <w:r>
        <w:rPr>
          <w:rFonts w:ascii="Calibri" w:cs="Calibri" w:eastAsia="Calibri" w:hAnsi="Calibri"/>
          <w:sz w:val="16"/>
          <w:szCs w:val="16"/>
          <w:color w:val="auto"/>
        </w:rPr>
        <w:t>0.30</w:t>
      </w:r>
    </w:p>
    <w:p>
      <w:pPr>
        <w:spacing w:after="0" w:line="163" w:lineRule="exact"/>
        <w:rPr>
          <w:sz w:val="20"/>
          <w:szCs w:val="20"/>
          <w:color w:val="auto"/>
        </w:rPr>
      </w:pPr>
    </w:p>
    <w:p>
      <w:pPr>
        <w:ind w:left="520" w:hanging="512"/>
        <w:spacing w:after="0" w:line="225" w:lineRule="auto"/>
        <w:tabs>
          <w:tab w:leader="none" w:pos="520" w:val="left"/>
        </w:tabs>
        <w:numPr>
          <w:ilvl w:val="0"/>
          <w:numId w:val="3"/>
        </w:numPr>
        <w:rPr>
          <w:rFonts w:ascii="Calibri" w:cs="Calibri" w:eastAsia="Calibri" w:hAnsi="Calibri"/>
          <w:sz w:val="24"/>
          <w:szCs w:val="24"/>
          <w:color w:val="auto"/>
          <w:vertAlign w:val="superscript"/>
        </w:rPr>
      </w:pPr>
      <w:r>
        <w:rPr>
          <w:rFonts w:ascii="Calibri" w:cs="Calibri" w:eastAsia="Calibri" w:hAnsi="Calibri"/>
          <w:sz w:val="18"/>
          <w:szCs w:val="18"/>
          <w:color w:val="auto"/>
        </w:rPr>
        <w:t>Partcipatng securites consist of shares underlying unvested tme-based restricted stock units (the "TSUs"), earned and unvested performance-based restricted stock units (the "PSUs", and referred to in this note collectvely with the TSUs as the "RSUs"), stock units accounted for under the Supplemental 401(k) Plan porton of the Company’s Deferred Compensaton and Supplemental Retrement Plan, and stock units and phantom stock units accounted for under the Company’s Non-Employee Directors’ Deferral Plan. The holders of RSUs are enttled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distributon of account balances.</w:t>
      </w:r>
    </w:p>
    <w:p>
      <w:pPr>
        <w:spacing w:after="0" w:line="17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09" w:right="439" w:bottom="1440" w:gutter="0" w:footer="0" w:header="0"/>
          <w:type w:val="continuous"/>
        </w:sectPr>
      </w:pPr>
    </w:p>
    <w:bookmarkStart w:id="15" w:name="page16"/>
    <w:bookmarkEnd w:id="15"/>
    <w:p>
      <w:pPr>
        <w:jc w:val="both"/>
        <w:ind w:right="160" w:firstLine="509"/>
        <w:spacing w:after="0" w:line="235" w:lineRule="auto"/>
        <w:rPr>
          <w:sz w:val="20"/>
          <w:szCs w:val="20"/>
          <w:color w:val="auto"/>
        </w:rPr>
      </w:pPr>
      <w:r>
        <w:rPr>
          <w:rFonts w:ascii="Calibri" w:cs="Calibri" w:eastAsia="Calibri" w:hAnsi="Calibri"/>
          <w:sz w:val="18"/>
          <w:szCs w:val="18"/>
          <w:color w:val="auto"/>
        </w:rPr>
        <w:t>Undistributed earnings are the earnings which remain afer dividends declared during the period are assumed to be distributed to the common and partcipatng shareholders. Undistributed earnings are allocated to common and partcipatng shareholders on the same basis as dividend distributons. The calculaton of undistributed earnings is as follows: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00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Three Months Ended 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150"/>
              <w:spacing w:after="0"/>
              <w:rPr>
                <w:sz w:val="20"/>
                <w:szCs w:val="20"/>
                <w:color w:val="auto"/>
              </w:rPr>
            </w:pPr>
            <w:r>
              <w:rPr>
                <w:rFonts w:ascii="Calibri" w:cs="Calibri" w:eastAsia="Calibri" w:hAnsi="Calibri"/>
                <w:sz w:val="14"/>
                <w:szCs w:val="14"/>
                <w:b w:val="1"/>
                <w:bCs w:val="1"/>
                <w:color w:val="auto"/>
              </w:rPr>
              <w:t>Six Months Ended March 31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4"/>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2"/>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14"/>
              <w:spacing w:after="0" w:line="164" w:lineRule="exact"/>
              <w:rPr>
                <w:sz w:val="20"/>
                <w:szCs w:val="20"/>
                <w:color w:val="auto"/>
              </w:rPr>
            </w:pPr>
            <w:r>
              <w:rPr>
                <w:rFonts w:ascii="Calibri" w:cs="Calibri" w:eastAsia="Calibri" w:hAnsi="Calibri"/>
                <w:sz w:val="14"/>
                <w:szCs w:val="14"/>
                <w:b w:val="1"/>
                <w:bCs w:val="1"/>
                <w:color w:val="auto"/>
              </w:rPr>
              <w:t>(In</w:t>
            </w:r>
          </w:p>
        </w:tc>
        <w:tc>
          <w:tcPr>
            <w:tcW w:w="1100" w:type="dxa"/>
            <w:vAlign w:val="bottom"/>
            <w:gridSpan w:val="3"/>
          </w:tcPr>
          <w:p>
            <w:pPr>
              <w:jc w:val="right"/>
              <w:ind w:right="574"/>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Calculaton of undistributed earnings (loss):</w:t>
            </w:r>
          </w:p>
        </w:tc>
        <w:tc>
          <w:tcPr>
            <w:tcW w:w="6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640" w:type="dxa"/>
            <w:vAlign w:val="bottom"/>
          </w:tcPr>
          <w:p>
            <w:pPr>
              <w:jc w:val="right"/>
              <w:ind w:right="456"/>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75</w:t>
            </w:r>
          </w:p>
        </w:tc>
        <w:tc>
          <w:tcPr>
            <w:tcW w:w="40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107</w:t>
            </w:r>
          </w:p>
        </w:tc>
        <w:tc>
          <w:tcPr>
            <w:tcW w:w="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129</w:t>
            </w:r>
          </w:p>
        </w:tc>
        <w:tc>
          <w:tcPr>
            <w:tcW w:w="40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Less: Dividends declared on common stock</w:t>
            </w:r>
          </w:p>
        </w:tc>
        <w:tc>
          <w:tcPr>
            <w:tcW w:w="6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180"/>
              <w:spacing w:after="0" w:line="207" w:lineRule="exact"/>
              <w:rPr>
                <w:sz w:val="20"/>
                <w:szCs w:val="20"/>
                <w:color w:val="auto"/>
              </w:rPr>
            </w:pPr>
            <w:r>
              <w:rPr>
                <w:rFonts w:ascii="Calibri" w:cs="Calibri" w:eastAsia="Calibri" w:hAnsi="Calibri"/>
                <w:sz w:val="18"/>
                <w:szCs w:val="18"/>
                <w:color w:val="auto"/>
              </w:rPr>
              <w:t>Less: Dividends declared on partcipatng</w:t>
            </w:r>
          </w:p>
        </w:tc>
        <w:tc>
          <w:tcPr>
            <w:tcW w:w="64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6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700" w:type="dxa"/>
            <w:vAlign w:val="bottom"/>
            <w:tcBorders>
              <w:bottom w:val="single" w:sz="8" w:color="CFF0FC"/>
            </w:tcBorders>
            <w:shd w:val="clear" w:color="auto" w:fill="CFF0FC"/>
          </w:tcPr>
          <w:p>
            <w:pPr>
              <w:ind w:left="360"/>
              <w:spacing w:after="0"/>
              <w:rPr>
                <w:sz w:val="20"/>
                <w:szCs w:val="20"/>
                <w:color w:val="auto"/>
              </w:rPr>
            </w:pPr>
            <w:r>
              <w:rPr>
                <w:rFonts w:ascii="Calibri" w:cs="Calibri" w:eastAsia="Calibri" w:hAnsi="Calibri"/>
                <w:sz w:val="18"/>
                <w:szCs w:val="18"/>
                <w:color w:val="auto"/>
              </w:rPr>
              <w:t>Undistributed earnings (loss)</w:t>
            </w:r>
          </w:p>
        </w:tc>
        <w:tc>
          <w:tcPr>
            <w:tcW w:w="640" w:type="dxa"/>
            <w:vAlign w:val="bottom"/>
            <w:tcBorders>
              <w:top w:val="single" w:sz="8" w:color="auto"/>
              <w:bottom w:val="single" w:sz="8" w:color="auto"/>
            </w:tcBorders>
            <w:shd w:val="clear" w:color="auto" w:fill="CFF0FC"/>
          </w:tcPr>
          <w:p>
            <w:pPr>
              <w:jc w:val="right"/>
              <w:ind w:right="456"/>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86</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w:t>
            </w:r>
          </w:p>
        </w:tc>
        <w:tc>
          <w:tcPr>
            <w:tcW w:w="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Allocaton of undistributed earnings (loss):</w:t>
            </w:r>
          </w:p>
        </w:tc>
        <w:tc>
          <w:tcPr>
            <w:tcW w:w="6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180"/>
              <w:spacing w:after="0" w:line="207" w:lineRule="exact"/>
              <w:rPr>
                <w:sz w:val="20"/>
                <w:szCs w:val="20"/>
                <w:color w:val="auto"/>
              </w:rPr>
            </w:pPr>
            <w:r>
              <w:rPr>
                <w:rFonts w:ascii="Calibri" w:cs="Calibri" w:eastAsia="Calibri" w:hAnsi="Calibri"/>
                <w:sz w:val="18"/>
                <w:szCs w:val="18"/>
                <w:color w:val="auto"/>
              </w:rPr>
              <w:t>Undistributed earnings (loss) allocated to</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300"/>
              <w:spacing w:after="0" w:line="215" w:lineRule="exact"/>
              <w:rPr>
                <w:sz w:val="20"/>
                <w:szCs w:val="20"/>
                <w:color w:val="auto"/>
              </w:rPr>
            </w:pPr>
            <w:r>
              <w:rPr>
                <w:rFonts w:ascii="Calibri" w:cs="Calibri" w:eastAsia="Calibri" w:hAnsi="Calibri"/>
                <w:sz w:val="18"/>
                <w:szCs w:val="18"/>
                <w:color w:val="auto"/>
              </w:rPr>
              <w:t>common shareholders</w:t>
            </w:r>
          </w:p>
        </w:tc>
        <w:tc>
          <w:tcPr>
            <w:tcW w:w="640" w:type="dxa"/>
            <w:vAlign w:val="bottom"/>
          </w:tcPr>
          <w:p>
            <w:pPr>
              <w:jc w:val="right"/>
              <w:ind w:right="456"/>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52</w:t>
            </w:r>
          </w:p>
        </w:tc>
        <w:tc>
          <w:tcPr>
            <w:tcW w:w="40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84</w:t>
            </w:r>
          </w:p>
        </w:tc>
        <w:tc>
          <w:tcPr>
            <w:tcW w:w="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84</w:t>
            </w:r>
          </w:p>
        </w:tc>
        <w:tc>
          <w:tcPr>
            <w:tcW w:w="40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(25 )</w:t>
            </w: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470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Undistributed earnings allocated to</w:t>
            </w:r>
          </w:p>
        </w:tc>
        <w:tc>
          <w:tcPr>
            <w:tcW w:w="64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vMerge w:val="restart"/>
            <w:shd w:val="clear" w:color="auto" w:fill="CFF0FC"/>
          </w:tcPr>
          <w:p>
            <w:pPr>
              <w:jc w:val="right"/>
              <w:ind w:right="1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partcipatng shareholders</w:t>
            </w:r>
          </w:p>
        </w:tc>
        <w:tc>
          <w:tcPr>
            <w:tcW w:w="6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Pr>
          <w:p>
            <w:pPr>
              <w:ind w:left="360"/>
              <w:spacing w:after="0"/>
              <w:rPr>
                <w:sz w:val="20"/>
                <w:szCs w:val="20"/>
                <w:color w:val="auto"/>
              </w:rPr>
            </w:pPr>
            <w:r>
              <w:rPr>
                <w:rFonts w:ascii="Calibri" w:cs="Calibri" w:eastAsia="Calibri" w:hAnsi="Calibri"/>
                <w:sz w:val="18"/>
                <w:szCs w:val="18"/>
                <w:color w:val="auto"/>
              </w:rPr>
              <w:t>Undistributed earnings (loss)</w:t>
            </w:r>
          </w:p>
        </w:tc>
        <w:tc>
          <w:tcPr>
            <w:tcW w:w="640" w:type="dxa"/>
            <w:vAlign w:val="bottom"/>
          </w:tcPr>
          <w:p>
            <w:pPr>
              <w:jc w:val="right"/>
              <w:ind w:right="456"/>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200" w:type="dxa"/>
            <w:vAlign w:val="bottom"/>
          </w:tcPr>
          <w:p>
            <w:pPr>
              <w:spacing w:after="0"/>
              <w:rPr>
                <w:sz w:val="20"/>
                <w:szCs w:val="20"/>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85</w:t>
            </w:r>
          </w:p>
        </w:tc>
        <w:tc>
          <w:tcPr>
            <w:tcW w:w="220" w:type="dxa"/>
            <w:vAlign w:val="bottom"/>
          </w:tcPr>
          <w:p>
            <w:pPr>
              <w:spacing w:after="0"/>
              <w:rPr>
                <w:sz w:val="20"/>
                <w:szCs w:val="20"/>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86</w:t>
            </w:r>
          </w:p>
        </w:tc>
        <w:tc>
          <w:tcPr>
            <w:tcW w:w="200" w:type="dxa"/>
            <w:vAlign w:val="bottom"/>
          </w:tcPr>
          <w:p>
            <w:pPr>
              <w:spacing w:after="0"/>
              <w:rPr>
                <w:sz w:val="20"/>
                <w:szCs w:val="20"/>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(25 )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-1096645</wp:posOffset>
            </wp:positionV>
            <wp:extent cx="2151380"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138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6032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5969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032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06" w:lineRule="exact"/>
        <w:rPr>
          <w:sz w:val="20"/>
          <w:szCs w:val="20"/>
          <w:color w:val="auto"/>
        </w:rPr>
      </w:pPr>
    </w:p>
    <w:p>
      <w:pPr>
        <w:ind w:left="520" w:right="320" w:hanging="512"/>
        <w:spacing w:after="0" w:line="201" w:lineRule="auto"/>
        <w:tabs>
          <w:tab w:leader="none" w:pos="520" w:val="left"/>
        </w:tabs>
        <w:numPr>
          <w:ilvl w:val="0"/>
          <w:numId w:val="4"/>
        </w:numPr>
        <w:rPr>
          <w:rFonts w:ascii="Calibri" w:cs="Calibri" w:eastAsia="Calibri" w:hAnsi="Calibri"/>
          <w:sz w:val="24"/>
          <w:szCs w:val="24"/>
          <w:color w:val="auto"/>
          <w:vertAlign w:val="superscript"/>
        </w:rPr>
      </w:pPr>
      <w:r>
        <w:rPr>
          <w:rFonts w:ascii="Calibri" w:cs="Calibri" w:eastAsia="Calibri" w:hAnsi="Calibri"/>
          <w:sz w:val="18"/>
          <w:szCs w:val="18"/>
          <w:color w:val="auto"/>
        </w:rPr>
        <w:t>Undistributed earnings are adjusted for the assumed distributon of dividends to the dilutve securites, which are described in (3) below, and then reallocated to partcipatng securites.</w:t>
      </w:r>
    </w:p>
    <w:p>
      <w:pPr>
        <w:spacing w:after="0" w:line="29" w:lineRule="exact"/>
        <w:rPr>
          <w:rFonts w:ascii="Calibri" w:cs="Calibri" w:eastAsia="Calibri" w:hAnsi="Calibri"/>
          <w:sz w:val="24"/>
          <w:szCs w:val="24"/>
          <w:color w:val="auto"/>
          <w:vertAlign w:val="superscript"/>
        </w:rPr>
      </w:pPr>
    </w:p>
    <w:p>
      <w:pPr>
        <w:ind w:left="520" w:hanging="512"/>
        <w:spacing w:after="0" w:line="220" w:lineRule="auto"/>
        <w:tabs>
          <w:tab w:leader="none" w:pos="520" w:val="left"/>
        </w:tabs>
        <w:numPr>
          <w:ilvl w:val="0"/>
          <w:numId w:val="4"/>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incremental shares of common stock from the assumed exercise of stock optons issued under Cabot’s equity incentve plans. For the three and six months ended March 31, 2023, 156,550 and 121,283 incremental shares of common stock were excluded from the calculaton of diluted earnings per share because the inclusion of these shares would have been antdilutve. For the three and six months ended March 31, 2022, 242,031 and 356,476 incremental shares of common stock were excluded from the calculaton of diluted earnings per share because the inclusion of these shares would have been antdilutve.</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 Financial Instruments and Fair Value Measurements</w:t>
      </w:r>
    </w:p>
    <w:p>
      <w:pPr>
        <w:spacing w:after="0" w:line="82"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The FASB authoritatve guidance on fair value measurements defnes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119" w:lineRule="exact"/>
        <w:rPr>
          <w:sz w:val="20"/>
          <w:szCs w:val="20"/>
          <w:color w:val="auto"/>
        </w:rPr>
      </w:pPr>
    </w:p>
    <w:p>
      <w:pPr>
        <w:ind w:left="20"/>
        <w:spacing w:after="0"/>
        <w:tabs>
          <w:tab w:leader="none" w:pos="920" w:val="left"/>
          <w:tab w:leader="none" w:pos="1300" w:val="left"/>
        </w:tabs>
        <w:rPr>
          <w:sz w:val="20"/>
          <w:szCs w:val="20"/>
          <w:color w:val="auto"/>
        </w:rPr>
      </w:pPr>
      <w:r>
        <w:rPr>
          <w:rFonts w:ascii="Calibri" w:cs="Calibri" w:eastAsia="Calibri" w:hAnsi="Calibri"/>
          <w:sz w:val="18"/>
          <w:szCs w:val="18"/>
          <w:color w:val="auto"/>
        </w:rPr>
        <w:t>Level 1</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Quoted market prices in actve markets for identcal assets or liabilites</w:t>
      </w:r>
    </w:p>
    <w:p>
      <w:pPr>
        <w:spacing w:after="0" w:line="190" w:lineRule="exact"/>
        <w:rPr>
          <w:sz w:val="20"/>
          <w:szCs w:val="20"/>
          <w:color w:val="auto"/>
        </w:rPr>
      </w:pPr>
    </w:p>
    <w:p>
      <w:pPr>
        <w:ind w:left="940" w:right="320" w:hanging="1295"/>
        <w:spacing w:after="0" w:line="235" w:lineRule="auto"/>
        <w:tabs>
          <w:tab w:leader="none" w:pos="920" w:val="left"/>
        </w:tabs>
        <w:rPr>
          <w:sz w:val="20"/>
          <w:szCs w:val="20"/>
          <w:color w:val="auto"/>
        </w:rPr>
      </w:pPr>
      <w:r>
        <w:rPr>
          <w:rFonts w:ascii="Calibri" w:cs="Calibri" w:eastAsia="Calibri" w:hAnsi="Calibri"/>
          <w:sz w:val="18"/>
          <w:szCs w:val="18"/>
          <w:color w:val="auto"/>
        </w:rPr>
        <w:t>Level 2</w:t>
      </w:r>
      <w:r>
        <w:rPr>
          <w:sz w:val="20"/>
          <w:szCs w:val="20"/>
          <w:color w:val="auto"/>
        </w:rPr>
        <w:tab/>
      </w:r>
      <w:r>
        <w:rPr>
          <w:rFonts w:ascii="Calibri" w:cs="Calibri" w:eastAsia="Calibri" w:hAnsi="Calibri"/>
          <w:sz w:val="18"/>
          <w:szCs w:val="18"/>
          <w:color w:val="auto"/>
        </w:rPr>
        <w:t>— Signifcant other observable inputs (e.g., quoted prices for similar items in actve markets, quoted prices for identcal or similar items in markets that are not actve, inputs other than quoted prices that are observable such as interest rate and yield curves, and market-corroborated inputs)</w:t>
      </w:r>
    </w:p>
    <w:p>
      <w:pPr>
        <w:spacing w:after="0" w:line="187" w:lineRule="exact"/>
        <w:rPr>
          <w:sz w:val="20"/>
          <w:szCs w:val="20"/>
          <w:color w:val="auto"/>
        </w:rPr>
      </w:pPr>
    </w:p>
    <w:p>
      <w:pPr>
        <w:ind w:left="20"/>
        <w:spacing w:after="0"/>
        <w:tabs>
          <w:tab w:leader="none" w:pos="920" w:val="left"/>
          <w:tab w:leader="none" w:pos="1300" w:val="left"/>
        </w:tabs>
        <w:rPr>
          <w:sz w:val="20"/>
          <w:szCs w:val="20"/>
          <w:color w:val="auto"/>
        </w:rPr>
      </w:pPr>
      <w:r>
        <w:rPr>
          <w:rFonts w:ascii="Calibri" w:cs="Calibri" w:eastAsia="Calibri" w:hAnsi="Calibri"/>
          <w:sz w:val="18"/>
          <w:szCs w:val="18"/>
          <w:color w:val="auto"/>
        </w:rPr>
        <w:t>Level 3</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Signifcant unobservable inputs</w:t>
      </w:r>
    </w:p>
    <w:p>
      <w:pPr>
        <w:spacing w:after="0" w:line="204"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There were no transfers of fnancial assets or liabilites measured at fair value between Level 1 and Level 2 and there were no Level 3 investments during the frst six months of either fscal 2023 or 2022.</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At March 31, 2023 and September 30, 2022, the fair values of cash and cash equivalents, accounts and notes receivable, accounts payable and accrued liabilites, and short-term borrowings and variable rate debt approximated their carrying values due to the short-term nature of these instruments. Each of these fnancial asset and liability categories is classifed as Level 1 within the fair value hierarchy.</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At March 31, 2023 and September 30, 2022, Cabot had derivatves relatng to foreign currency risks, including a net investment hedge and forward foreign currency contracts, carried at fair value. At March 31, 2023, the fair value of these derivatves was a net asset of $11 million and was included in Prepaid expenses and other current assets, Accounts payable and accrued liabilites, and Other assets on the Consolidated Balance Sheets. At September 30, 2022, the fair value of these derivatves was a net asset of $28 million and was included in Prepaid expenses and other current assets, Accounts payable and accrued liabilites, and Other assets on the Consolidated Balance Sheets. These derivatves are classifed as Level 2 instruments within the fair value hierarchy as the fair value determinaton was based on observable inputs.</w:t>
      </w:r>
    </w:p>
    <w:p>
      <w:pPr>
        <w:spacing w:after="0" w:line="1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6" w:name="page17"/>
    <w:bookmarkEnd w:id="16"/>
    <w:p>
      <w:pPr>
        <w:jc w:val="both"/>
        <w:ind w:right="140" w:firstLine="509"/>
        <w:spacing w:after="0" w:line="235" w:lineRule="auto"/>
        <w:rPr>
          <w:sz w:val="20"/>
          <w:szCs w:val="20"/>
          <w:color w:val="auto"/>
        </w:rPr>
      </w:pPr>
      <w:r>
        <w:rPr>
          <w:rFonts w:ascii="Calibri" w:cs="Calibri" w:eastAsia="Calibri" w:hAnsi="Calibri"/>
          <w:sz w:val="18"/>
          <w:szCs w:val="18"/>
          <w:color w:val="auto"/>
        </w:rPr>
        <w:t>At March 31, 2023 and September 30, 2022, the fair value of guaranteed investment contracts included in Other assets on the Consolidated Balance Sheets was $9 million and $8 million, respectvely. Guaranteed investment contracts were classifed as Level 2 instruments within the fair value hierarchy as the fair value determinaton was based on other observable inputs.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carrying value and fair value of the long-term fxed rate debt were $1.08 billion and $1.09 billion, respectvely, as of March 31, 2023 and $1.08 billion and $1.06 billion, respectvely, as of September 30, 2022. The fair values of Cabot’s fxed rate long-term debt are estmated based on comparable quoted market prices at the respectve period ends. The carrying amounts of Cabot’s foatng rate long-term debt and fnance and operatng lease obligatons approximate their fair values. All such measurements are based on observable inputs and are classifed as Level 2 within the fair value hierarchy. The valuaton technique used is the discounted cash fow model.</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 Financial Informaton by Segment</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identfes a product line as an operatng segment if: i) it engages in business actvites from which it may earn revenues and incur expenses; ii) its operatng results are regularly reviewed by the Chief Operatng Decision Maker (“CODM”), who is Cabot’s President and Chief Executve Ofcer, to make decisions about resources to be allocated to the segment and assess its performance; and iii) it has available discrete fnancial informaton. The CODM reviews fnancial informaton at the operatng segment level to allocate resources and to assess the operatng results and fnancial performance for each operatng segment. Operatng segments are aggregated into a reportable segment if the operatng segments are determined to have similar economic characteristcs and if the operatng segments are similar in the following areas: i) nature of products and services; ii) nature of producton processes; iii) type or class of customer for their products and services; iv) methods used to distribute the products or provide services; and v) if applicable, the nature of the regulatory environment.</w:t>
      </w:r>
    </w:p>
    <w:p>
      <w:pPr>
        <w:spacing w:after="0" w:line="88"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Company has two reportable segments consistng of Reinforcement Materials and Performance Chemicals. The Company’s former Purifcaton Solutons business was a separate reportng segment prior to divestture in the second quarter of fscal 2022.</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Reinforcement Materials segment combines the reinforcing carbons and engineered elastomer composites product lines.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Performance Chemicals segment aggregates the specialty carbons, specialty compounds, fumed metal oxides, batery materials, inkjet colorants, and aerogel product lines. These businesses are similar in terms of economic characteristcs, nature of products, processes, customer class and product distributon methods, and therefore have been aggregated into one reportable segment.</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Purifcaton Solutons segment consisted of the Company’s actvated carbon business.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representatve of on-going operatng segment results. In additon, Segment EBIT includes Equity in earnings of afliated companies, net of tax, royaltes, Net income atributable to noncontrolling interests, net of tax, and discountng charges for certain Notes receivable.</w:t>
      </w:r>
    </w:p>
    <w:p>
      <w:pPr>
        <w:spacing w:after="0" w:line="174"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sectPr>
      </w:pPr>
    </w:p>
    <w:bookmarkStart w:id="17" w:name="page18"/>
    <w:bookmarkEnd w:id="17"/>
    <w:p>
      <w:pPr>
        <w:ind w:left="520"/>
        <w:spacing w:after="0"/>
        <w:rPr>
          <w:sz w:val="20"/>
          <w:szCs w:val="20"/>
          <w:color w:val="auto"/>
        </w:rPr>
      </w:pPr>
      <w:r>
        <w:rPr>
          <w:rFonts w:ascii="Calibri" w:cs="Calibri" w:eastAsia="Calibri" w:hAnsi="Calibri"/>
          <w:sz w:val="18"/>
          <w:szCs w:val="18"/>
          <w:color w:val="auto"/>
        </w:rPr>
        <w:t>Financial informaton by reportable segment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060" w:type="dxa"/>
            <w:vAlign w:val="bottom"/>
            <w:gridSpan w:val="2"/>
          </w:tcPr>
          <w:p>
            <w:pPr>
              <w:jc w:val="right"/>
              <w:ind w:right="12"/>
              <w:spacing w:after="0"/>
              <w:rPr>
                <w:sz w:val="20"/>
                <w:szCs w:val="20"/>
                <w:color w:val="auto"/>
              </w:rPr>
            </w:pPr>
            <w:r>
              <w:rPr>
                <w:rFonts w:ascii="Calibri" w:cs="Calibri" w:eastAsia="Calibri" w:hAnsi="Calibri"/>
                <w:sz w:val="14"/>
                <w:szCs w:val="14"/>
                <w:b w:val="1"/>
                <w:bCs w:val="1"/>
                <w:color w:val="auto"/>
              </w:rPr>
              <w:t>Reinforcement</w:t>
            </w: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880" w:type="dxa"/>
            <w:vAlign w:val="bottom"/>
            <w:gridSpan w:val="2"/>
          </w:tcPr>
          <w:p>
            <w:pPr>
              <w:jc w:val="right"/>
              <w:ind w:right="14"/>
              <w:spacing w:after="0"/>
              <w:rPr>
                <w:sz w:val="20"/>
                <w:szCs w:val="20"/>
                <w:color w:val="auto"/>
              </w:rPr>
            </w:pPr>
            <w:r>
              <w:rPr>
                <w:rFonts w:ascii="Calibri" w:cs="Calibri" w:eastAsia="Calibri" w:hAnsi="Calibri"/>
                <w:sz w:val="14"/>
                <w:szCs w:val="14"/>
                <w:b w:val="1"/>
                <w:bCs w:val="1"/>
                <w:color w:val="auto"/>
              </w:rPr>
              <w:t>Purifcaton</w:t>
            </w: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Segment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Calibri" w:cs="Calibri" w:eastAsia="Calibri" w:hAnsi="Calibri"/>
                <w:sz w:val="14"/>
                <w:szCs w:val="14"/>
                <w:b w:val="1"/>
                <w:bCs w:val="1"/>
                <w:color w:val="auto"/>
                <w:w w:val="99"/>
              </w:rPr>
              <w:t>Unallocated</w:t>
            </w:r>
          </w:p>
        </w:tc>
        <w:tc>
          <w:tcPr>
            <w:tcW w:w="980" w:type="dxa"/>
            <w:vAlign w:val="bottom"/>
            <w:gridSpan w:val="2"/>
          </w:tcPr>
          <w:p>
            <w:pPr>
              <w:jc w:val="right"/>
              <w:ind w:right="12"/>
              <w:spacing w:after="0"/>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r>
      <w:tr>
        <w:trPr>
          <w:trHeight w:val="224"/>
        </w:trPr>
        <w:tc>
          <w:tcPr>
            <w:tcW w:w="4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2"/>
              <w:spacing w:after="0"/>
              <w:rPr>
                <w:sz w:val="20"/>
                <w:szCs w:val="20"/>
                <w:color w:val="auto"/>
              </w:rPr>
            </w:pPr>
            <w:r>
              <w:rPr>
                <w:rFonts w:ascii="Calibri" w:cs="Calibri" w:eastAsia="Calibri" w:hAnsi="Calibri"/>
                <w:sz w:val="14"/>
                <w:szCs w:val="14"/>
                <w:b w:val="1"/>
                <w:bCs w:val="1"/>
                <w:color w:val="auto"/>
              </w:rPr>
              <w:t>Materials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2"/>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4"/>
              <w:spacing w:after="0"/>
              <w:rPr>
                <w:sz w:val="20"/>
                <w:szCs w:val="20"/>
                <w:color w:val="auto"/>
              </w:rPr>
            </w:pPr>
            <w:r>
              <w:rPr>
                <w:rFonts w:ascii="Calibri" w:cs="Calibri" w:eastAsia="Calibri" w:hAnsi="Calibri"/>
                <w:sz w:val="14"/>
                <w:szCs w:val="14"/>
                <w:b w:val="1"/>
                <w:bCs w:val="1"/>
                <w:color w:val="auto"/>
              </w:rPr>
              <w:t>Solutons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2"/>
              <w:spacing w:after="0"/>
              <w:rPr>
                <w:sz w:val="20"/>
                <w:szCs w:val="20"/>
                <w:color w:val="auto"/>
              </w:rPr>
            </w:pPr>
            <w:r>
              <w:rPr>
                <w:rFonts w:ascii="Calibri" w:cs="Calibri" w:eastAsia="Calibri" w:hAnsi="Calibri"/>
                <w:sz w:val="14"/>
                <w:szCs w:val="14"/>
                <w:b w:val="1"/>
                <w:bCs w:val="1"/>
                <w:color w:val="auto"/>
              </w:rPr>
              <w:t>Total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line="223" w:lineRule="exact"/>
              <w:rPr>
                <w:sz w:val="20"/>
                <w:szCs w:val="20"/>
                <w:color w:val="auto"/>
              </w:rPr>
            </w:pPr>
            <w:r>
              <w:rPr>
                <w:rFonts w:ascii="Calibri" w:cs="Calibri" w:eastAsia="Calibri" w:hAnsi="Calibri"/>
                <w:sz w:val="14"/>
                <w:szCs w:val="14"/>
                <w:b w:val="1"/>
                <w:bCs w:val="1"/>
                <w:color w:val="auto"/>
                <w:w w:val="95"/>
              </w:rPr>
              <w:t>and Other</w:t>
            </w:r>
            <w:r>
              <w:rPr>
                <w:rFonts w:ascii="Calibri" w:cs="Calibri" w:eastAsia="Calibri" w:hAnsi="Calibri"/>
                <w:sz w:val="19"/>
                <w:szCs w:val="19"/>
                <w:b w:val="1"/>
                <w:bCs w:val="1"/>
                <w:color w:val="auto"/>
                <w:w w:val="95"/>
                <w:vertAlign w:val="superscript"/>
              </w:rPr>
              <w:t>(1)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9"/>
                <w:szCs w:val="19"/>
                <w:color w:val="auto"/>
              </w:rPr>
            </w:pPr>
          </w:p>
        </w:tc>
      </w:tr>
      <w:tr>
        <w:trPr>
          <w:trHeight w:val="165"/>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spacing w:after="0" w:line="165" w:lineRule="exact"/>
              <w:rPr>
                <w:sz w:val="20"/>
                <w:szCs w:val="20"/>
                <w:color w:val="auto"/>
              </w:rPr>
            </w:pPr>
            <w:r>
              <w:rPr>
                <w:rFonts w:ascii="Calibri" w:cs="Calibri" w:eastAsia="Calibri" w:hAnsi="Calibri"/>
                <w:sz w:val="14"/>
                <w:szCs w:val="14"/>
                <w:b w:val="1"/>
                <w:bCs w:val="1"/>
                <w:color w:val="auto"/>
              </w:rPr>
              <w:t>(In millions)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Three Months Ended March 31, 2023</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458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(3)</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672</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326</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998</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220" w:type="dxa"/>
            <w:vAlign w:val="bottom"/>
          </w:tcPr>
          <w:p>
            <w:pPr>
              <w:spacing w:after="0"/>
              <w:rPr>
                <w:sz w:val="21"/>
                <w:szCs w:val="21"/>
                <w:color w:val="auto"/>
              </w:rPr>
            </w:pPr>
          </w:p>
        </w:tc>
        <w:tc>
          <w:tcPr>
            <w:tcW w:w="22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1,033</w:t>
            </w:r>
          </w:p>
        </w:tc>
        <w:tc>
          <w:tcPr>
            <w:tcW w:w="100" w:type="dxa"/>
            <w:vAlign w:val="bottom"/>
          </w:tcPr>
          <w:p>
            <w:pPr>
              <w:spacing w:after="0"/>
              <w:rPr>
                <w:sz w:val="21"/>
                <w:szCs w:val="21"/>
                <w:color w:val="auto"/>
              </w:rPr>
            </w:pPr>
          </w:p>
        </w:tc>
      </w:tr>
      <w:tr>
        <w:trPr>
          <w:trHeight w:val="243"/>
        </w:trPr>
        <w:tc>
          <w:tcPr>
            <w:tcW w:w="458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(4)</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150</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(40 )</w:t>
            </w:r>
          </w:p>
        </w:tc>
        <w:tc>
          <w:tcPr>
            <w:tcW w:w="220" w:type="dxa"/>
            <w:vAlign w:val="bottom"/>
            <w:shd w:val="clear" w:color="auto" w:fill="CFF0FC"/>
          </w:tcPr>
          <w:p>
            <w:pPr>
              <w:jc w:val="right"/>
              <w:ind w:right="32"/>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w:t>
            </w:r>
          </w:p>
        </w:tc>
        <w:tc>
          <w:tcPr>
            <w:tcW w:w="100" w:type="dxa"/>
            <w:vAlign w:val="bottom"/>
            <w:shd w:val="clear" w:color="auto" w:fill="CFF0FC"/>
          </w:tcPr>
          <w:p>
            <w:pPr>
              <w:spacing w:after="0"/>
              <w:rPr>
                <w:sz w:val="21"/>
                <w:szCs w:val="21"/>
                <w:color w:val="auto"/>
              </w:rPr>
            </w:pPr>
          </w:p>
        </w:tc>
      </w:tr>
      <w:tr>
        <w:trPr>
          <w:trHeight w:val="243"/>
        </w:trPr>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Three Months Ended March 31, 2022</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458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(2)(3)</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654</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363</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1,053</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220" w:type="dxa"/>
            <w:vAlign w:val="bottom"/>
          </w:tcPr>
          <w:p>
            <w:pPr>
              <w:spacing w:after="0"/>
              <w:rPr>
                <w:sz w:val="21"/>
                <w:szCs w:val="21"/>
                <w:color w:val="auto"/>
              </w:rPr>
            </w:pPr>
          </w:p>
        </w:tc>
        <w:tc>
          <w:tcPr>
            <w:tcW w:w="22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1,092</w:t>
            </w:r>
          </w:p>
        </w:tc>
        <w:tc>
          <w:tcPr>
            <w:tcW w:w="100" w:type="dxa"/>
            <w:vAlign w:val="bottom"/>
          </w:tcPr>
          <w:p>
            <w:pPr>
              <w:spacing w:after="0"/>
              <w:rPr>
                <w:sz w:val="21"/>
                <w:szCs w:val="21"/>
                <w:color w:val="auto"/>
              </w:rPr>
            </w:pPr>
          </w:p>
        </w:tc>
      </w:tr>
      <w:tr>
        <w:trPr>
          <w:trHeight w:val="243"/>
        </w:trPr>
        <w:tc>
          <w:tcPr>
            <w:tcW w:w="458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(4)</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171</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(24 )</w:t>
            </w:r>
          </w:p>
        </w:tc>
        <w:tc>
          <w:tcPr>
            <w:tcW w:w="220" w:type="dxa"/>
            <w:vAlign w:val="bottom"/>
            <w:shd w:val="clear" w:color="auto" w:fill="CFF0FC"/>
          </w:tcPr>
          <w:p>
            <w:pPr>
              <w:jc w:val="right"/>
              <w:ind w:right="32"/>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147</w:t>
            </w:r>
          </w:p>
        </w:tc>
        <w:tc>
          <w:tcPr>
            <w:tcW w:w="100" w:type="dxa"/>
            <w:vAlign w:val="bottom"/>
            <w:shd w:val="clear" w:color="auto" w:fill="CFF0FC"/>
          </w:tcPr>
          <w:p>
            <w:pPr>
              <w:spacing w:after="0"/>
              <w:rPr>
                <w:sz w:val="21"/>
                <w:szCs w:val="21"/>
                <w:color w:val="auto"/>
              </w:rPr>
            </w:pPr>
          </w:p>
        </w:tc>
      </w:tr>
      <w:tr>
        <w:trPr>
          <w:trHeight w:val="243"/>
        </w:trPr>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Six Months Ended March 31, 2023</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458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(3)</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1,315</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612</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1,927</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71</w:t>
            </w:r>
          </w:p>
        </w:tc>
        <w:tc>
          <w:tcPr>
            <w:tcW w:w="220" w:type="dxa"/>
            <w:vAlign w:val="bottom"/>
          </w:tcPr>
          <w:p>
            <w:pPr>
              <w:spacing w:after="0"/>
              <w:rPr>
                <w:sz w:val="21"/>
                <w:szCs w:val="21"/>
                <w:color w:val="auto"/>
              </w:rPr>
            </w:pPr>
          </w:p>
        </w:tc>
        <w:tc>
          <w:tcPr>
            <w:tcW w:w="22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1,998</w:t>
            </w:r>
          </w:p>
        </w:tc>
        <w:tc>
          <w:tcPr>
            <w:tcW w:w="100" w:type="dxa"/>
            <w:vAlign w:val="bottom"/>
          </w:tcPr>
          <w:p>
            <w:pPr>
              <w:spacing w:after="0"/>
              <w:rPr>
                <w:sz w:val="21"/>
                <w:szCs w:val="21"/>
                <w:color w:val="auto"/>
              </w:rPr>
            </w:pPr>
          </w:p>
        </w:tc>
      </w:tr>
      <w:tr>
        <w:trPr>
          <w:trHeight w:val="243"/>
        </w:trPr>
        <w:tc>
          <w:tcPr>
            <w:tcW w:w="458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(4)</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216</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273</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(79 )</w:t>
            </w:r>
          </w:p>
        </w:tc>
        <w:tc>
          <w:tcPr>
            <w:tcW w:w="220" w:type="dxa"/>
            <w:vAlign w:val="bottom"/>
            <w:shd w:val="clear" w:color="auto" w:fill="CFF0FC"/>
          </w:tcPr>
          <w:p>
            <w:pPr>
              <w:jc w:val="right"/>
              <w:ind w:right="32"/>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194</w:t>
            </w:r>
          </w:p>
        </w:tc>
        <w:tc>
          <w:tcPr>
            <w:tcW w:w="100" w:type="dxa"/>
            <w:vAlign w:val="bottom"/>
            <w:shd w:val="clear" w:color="auto" w:fill="CFF0FC"/>
          </w:tcPr>
          <w:p>
            <w:pPr>
              <w:spacing w:after="0"/>
              <w:rPr>
                <w:sz w:val="21"/>
                <w:szCs w:val="21"/>
                <w:color w:val="auto"/>
              </w:rPr>
            </w:pPr>
          </w:p>
        </w:tc>
      </w:tr>
      <w:tr>
        <w:trPr>
          <w:trHeight w:val="243"/>
        </w:trPr>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Six Months Ended March 31, 2022</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4580" w:type="dxa"/>
            <w:vAlign w:val="bottom"/>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(2)(3)</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1,217</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669</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97</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1,983</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77</w:t>
            </w:r>
          </w:p>
        </w:tc>
        <w:tc>
          <w:tcPr>
            <w:tcW w:w="220" w:type="dxa"/>
            <w:vAlign w:val="bottom"/>
          </w:tcPr>
          <w:p>
            <w:pPr>
              <w:spacing w:after="0"/>
              <w:rPr>
                <w:sz w:val="21"/>
                <w:szCs w:val="21"/>
                <w:color w:val="auto"/>
              </w:rPr>
            </w:pPr>
          </w:p>
        </w:tc>
        <w:tc>
          <w:tcPr>
            <w:tcW w:w="22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2,060</w:t>
            </w:r>
          </w:p>
        </w:tc>
        <w:tc>
          <w:tcPr>
            <w:tcW w:w="100" w:type="dxa"/>
            <w:vAlign w:val="bottom"/>
          </w:tcPr>
          <w:p>
            <w:pPr>
              <w:spacing w:after="0"/>
              <w:rPr>
                <w:sz w:val="21"/>
                <w:szCs w:val="21"/>
                <w:color w:val="auto"/>
              </w:rPr>
            </w:pPr>
          </w:p>
        </w:tc>
      </w:tr>
      <w:tr>
        <w:trPr>
          <w:trHeight w:val="243"/>
        </w:trPr>
        <w:tc>
          <w:tcPr>
            <w:tcW w:w="458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(4)</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186</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308</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(254 )</w:t>
            </w:r>
          </w:p>
        </w:tc>
        <w:tc>
          <w:tcPr>
            <w:tcW w:w="220" w:type="dxa"/>
            <w:vAlign w:val="bottom"/>
            <w:shd w:val="clear" w:color="auto" w:fill="CFF0FC"/>
          </w:tcPr>
          <w:p>
            <w:pPr>
              <w:jc w:val="right"/>
              <w:ind w:right="32"/>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shd w:val="clear" w:color="auto" w:fill="CFF0FC"/>
          </w:tcPr>
          <w:p>
            <w:pPr>
              <w:spacing w:after="0"/>
              <w:rPr>
                <w:sz w:val="21"/>
                <w:szCs w:val="21"/>
                <w:color w:val="auto"/>
              </w:rPr>
            </w:pPr>
          </w:p>
        </w:tc>
      </w:tr>
    </w:tbl>
    <w:p>
      <w:pPr>
        <w:spacing w:after="0" w:line="126" w:lineRule="exact"/>
        <w:rPr>
          <w:sz w:val="20"/>
          <w:szCs w:val="20"/>
          <w:color w:val="auto"/>
        </w:rPr>
      </w:pPr>
    </w:p>
    <w:p>
      <w:pPr>
        <w:ind w:left="520" w:right="40" w:hanging="512"/>
        <w:spacing w:after="0" w:line="201"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includes certain items and eliminatons necessary to refect management’s reportng of operatng segment results. These items are refectve of the segment reportng presented to the CODM.</w:t>
      </w:r>
    </w:p>
    <w:p>
      <w:pPr>
        <w:spacing w:after="0" w:line="29" w:lineRule="exact"/>
        <w:rPr>
          <w:rFonts w:ascii="Calibri" w:cs="Calibri" w:eastAsia="Calibri" w:hAnsi="Calibri"/>
          <w:sz w:val="24"/>
          <w:szCs w:val="24"/>
          <w:color w:val="auto"/>
          <w:vertAlign w:val="superscript"/>
        </w:rPr>
      </w:pPr>
    </w:p>
    <w:p>
      <w:pPr>
        <w:ind w:left="520" w:hanging="512"/>
        <w:spacing w:after="0" w:line="225"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Beginning in the fscal year 2023, the Company began allocatng energy center by-product revenue within the applicable segment’s Revenue from external customers. The Company recast prior period fnancial informaton to conform to the new presentaton. The allocaton of such revenue resulted in an increase of $27 million in the Reinforcement Materials segment and $3 million in the Performance Chemicals segment, respectvely, with an ofsetng decrease in Unallocated and Other revenue for the three months ended March 31, 2022. The allocaton of such revenue resulted in an increase of $49 million in the Reinforcement Materials segment and $7 million in the Performance Chemicals segment, respectvely, with an ofsetng decrease in Unallocated and Other revenue for the six months ended March 31, 2022. There was no impact to the Consolidated Total Revenues from external customers.</w:t>
      </w:r>
    </w:p>
    <w:p>
      <w:pPr>
        <w:spacing w:after="0" w:line="41" w:lineRule="exact"/>
        <w:rPr>
          <w:rFonts w:ascii="Calibri" w:cs="Calibri" w:eastAsia="Calibri" w:hAnsi="Calibri"/>
          <w:sz w:val="24"/>
          <w:szCs w:val="24"/>
          <w:color w:val="auto"/>
          <w:vertAlign w:val="superscript"/>
        </w:rPr>
      </w:pPr>
    </w:p>
    <w:p>
      <w:pPr>
        <w:ind w:left="520" w:right="220" w:hanging="512"/>
        <w:spacing w:after="0" w:line="217"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Revenues from external customers reconciles to Net sales and other operatng revenues on the Consolidated Statements of Operatons. Revenues from external customers that are categorized as Unallocated and Other refects royaltes, external shipping and handling fees, the impact of unearned revenue, discountng charges for certain Notes receivable, and other by-product revenue. Details are provided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20" w:type="dxa"/>
            <w:vAlign w:val="bottom"/>
            <w:gridSpan w:val="6"/>
          </w:tcPr>
          <w:p>
            <w:pPr>
              <w:jc w:val="right"/>
              <w:ind w:right="388"/>
              <w:spacing w:after="0"/>
              <w:rPr>
                <w:sz w:val="20"/>
                <w:szCs w:val="20"/>
                <w:color w:val="auto"/>
              </w:rPr>
            </w:pPr>
            <w:r>
              <w:rPr>
                <w:rFonts w:ascii="Calibri" w:cs="Calibri" w:eastAsia="Calibri" w:hAnsi="Calibri"/>
                <w:sz w:val="14"/>
                <w:szCs w:val="14"/>
                <w:b w:val="1"/>
                <w:bCs w:val="1"/>
                <w:color w:val="auto"/>
              </w:rPr>
              <w:t>Three Months Ended March 31</w:t>
            </w:r>
          </w:p>
        </w:tc>
        <w:tc>
          <w:tcPr>
            <w:tcW w:w="240" w:type="dxa"/>
            <w:vAlign w:val="bottom"/>
          </w:tcPr>
          <w:p>
            <w:pPr>
              <w:spacing w:after="0"/>
              <w:rPr>
                <w:sz w:val="14"/>
                <w:szCs w:val="14"/>
                <w:color w:val="auto"/>
              </w:rPr>
            </w:pPr>
          </w:p>
        </w:tc>
        <w:tc>
          <w:tcPr>
            <w:tcW w:w="2100" w:type="dxa"/>
            <w:vAlign w:val="bottom"/>
            <w:gridSpan w:val="5"/>
          </w:tcPr>
          <w:p>
            <w:pPr>
              <w:jc w:val="right"/>
              <w:ind w:right="380"/>
              <w:spacing w:after="0"/>
              <w:rPr>
                <w:sz w:val="20"/>
                <w:szCs w:val="20"/>
                <w:color w:val="auto"/>
              </w:rPr>
            </w:pPr>
            <w:r>
              <w:rPr>
                <w:rFonts w:ascii="Calibri" w:cs="Calibri" w:eastAsia="Calibri" w:hAnsi="Calibri"/>
                <w:sz w:val="14"/>
                <w:szCs w:val="14"/>
                <w:b w:val="1"/>
                <w:bCs w:val="1"/>
                <w:color w:val="auto"/>
              </w:rPr>
              <w:t>Six Months Ended March 31</w:t>
            </w: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Borders>
              <w:top w:val="single" w:sz="8" w:color="auto"/>
            </w:tcBorders>
          </w:tcPr>
          <w:p>
            <w:pPr>
              <w:jc w:val="right"/>
              <w:ind w:right="2"/>
              <w:spacing w:after="0" w:line="164" w:lineRule="exact"/>
              <w:rPr>
                <w:sz w:val="20"/>
                <w:szCs w:val="20"/>
                <w:color w:val="auto"/>
              </w:rPr>
            </w:pPr>
            <w:r>
              <w:rPr>
                <w:rFonts w:ascii="Calibri" w:cs="Calibri" w:eastAsia="Calibri" w:hAnsi="Calibri"/>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7"/>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7"/>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5"/>
              <w:spacing w:after="0" w:line="164"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7"/>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Shipping and handling fees</w:t>
            </w:r>
          </w:p>
        </w:tc>
        <w:tc>
          <w:tcPr>
            <w:tcW w:w="2540" w:type="dxa"/>
            <w:vAlign w:val="bottom"/>
            <w:tcBorders>
              <w:bottom w:val="single" w:sz="8" w:color="CFF0FC"/>
            </w:tcBorders>
            <w:gridSpan w:val="2"/>
            <w:shd w:val="clear" w:color="auto" w:fill="CFF0FC"/>
          </w:tcPr>
          <w:p>
            <w:pPr>
              <w:jc w:val="right"/>
              <w:ind w:right="562"/>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w:t>
            </w:r>
          </w:p>
        </w:tc>
        <w:tc>
          <w:tcPr>
            <w:tcW w:w="46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0"/>
        </w:trPr>
        <w:tc>
          <w:tcPr>
            <w:tcW w:w="5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Calibri" w:cs="Calibri" w:eastAsia="Calibri" w:hAnsi="Calibri"/>
                <w:sz w:val="18"/>
                <w:szCs w:val="18"/>
                <w:color w:val="auto"/>
              </w:rPr>
              <w:t>Other</w:t>
            </w:r>
          </w:p>
        </w:tc>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9"/>
                <w:szCs w:val="19"/>
                <w:color w:val="auto"/>
              </w:rPr>
            </w:pPr>
          </w:p>
        </w:tc>
        <w:tc>
          <w:tcPr>
            <w:tcW w:w="100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(2 )</w:t>
            </w:r>
          </w:p>
        </w:tc>
        <w:tc>
          <w:tcPr>
            <w:tcW w:w="24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c>
          <w:tcPr>
            <w:tcW w:w="560" w:type="dxa"/>
            <w:vAlign w:val="bottom"/>
          </w:tcPr>
          <w:p>
            <w:pPr>
              <w:spacing w:after="0"/>
              <w:rPr>
                <w:sz w:val="19"/>
                <w:szCs w:val="19"/>
                <w:color w:val="auto"/>
              </w:rPr>
            </w:pPr>
          </w:p>
        </w:tc>
      </w:tr>
      <w:tr>
        <w:trPr>
          <w:trHeight w:val="23"/>
        </w:trPr>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6"/>
        </w:trPr>
        <w:tc>
          <w:tcPr>
            <w:tcW w:w="580" w:type="dxa"/>
            <w:vAlign w:val="bottom"/>
          </w:tcPr>
          <w:p>
            <w:pPr>
              <w:spacing w:after="0"/>
              <w:rPr>
                <w:sz w:val="24"/>
                <w:szCs w:val="24"/>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Total</w:t>
            </w:r>
          </w:p>
        </w:tc>
        <w:tc>
          <w:tcPr>
            <w:tcW w:w="18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ind w:right="562"/>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65"/>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0" w:type="dxa"/>
            <w:vAlign w:val="bottom"/>
          </w:tcPr>
          <w:p>
            <w:pPr>
              <w:jc w:val="right"/>
              <w:ind w:right="10"/>
              <w:spacing w:after="0"/>
              <w:rPr>
                <w:sz w:val="20"/>
                <w:szCs w:val="20"/>
                <w:color w:val="auto"/>
              </w:rPr>
            </w:pPr>
            <w:r>
              <w:rPr>
                <w:rFonts w:ascii="Calibri" w:cs="Calibri" w:eastAsia="Calibri" w:hAnsi="Calibri"/>
                <w:sz w:val="18"/>
                <w:szCs w:val="18"/>
                <w:color w:val="auto"/>
              </w:rPr>
              <w:t>18</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2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-488315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-471170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-488315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-471170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-488315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-471170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8" w:name="page19"/>
    <w:bookmarkEnd w:id="18"/>
    <w:p>
      <w:pPr>
        <w:ind w:left="520" w:right="40" w:hanging="512"/>
        <w:spacing w:after="0" w:line="211" w:lineRule="auto"/>
        <w:tabs>
          <w:tab w:leader="none" w:pos="520" w:val="left"/>
        </w:tabs>
        <w:numPr>
          <w:ilvl w:val="0"/>
          <w:numId w:val="6"/>
        </w:numPr>
        <w:rPr>
          <w:rFonts w:ascii="Calibri" w:cs="Calibri" w:eastAsia="Calibri" w:hAnsi="Calibri"/>
          <w:sz w:val="23"/>
          <w:szCs w:val="23"/>
          <w:color w:val="auto"/>
          <w:vertAlign w:val="superscript"/>
        </w:rPr>
      </w:pPr>
      <w:r>
        <w:rPr>
          <w:rFonts w:ascii="Calibri" w:cs="Calibri" w:eastAsia="Calibri" w:hAnsi="Calibri"/>
          <w:sz w:val="17"/>
          <w:szCs w:val="17"/>
          <w:color w:val="auto"/>
        </w:rPr>
        <w:t>Consolidated Total Income (loss) before income taxes reconciles to Income (loss) before income taxes and equity in earnings of afliated companies on the Consolidated Statements of Operatons. Income (loss) before income taxes that are categorized as Unallocated and Other includes: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520" w:type="dxa"/>
            <w:vAlign w:val="bottom"/>
            <w:gridSpan w:val="6"/>
          </w:tcPr>
          <w:p>
            <w:pPr>
              <w:jc w:val="right"/>
              <w:ind w:right="379"/>
              <w:spacing w:after="0"/>
              <w:rPr>
                <w:sz w:val="20"/>
                <w:szCs w:val="20"/>
                <w:color w:val="auto"/>
              </w:rPr>
            </w:pPr>
            <w:r>
              <w:rPr>
                <w:rFonts w:ascii="Calibri" w:cs="Calibri" w:eastAsia="Calibri" w:hAnsi="Calibri"/>
                <w:sz w:val="14"/>
                <w:szCs w:val="14"/>
                <w:b w:val="1"/>
                <w:bCs w:val="1"/>
                <w:color w:val="auto"/>
              </w:rPr>
              <w:t>Three Months Ended March 31</w:t>
            </w:r>
          </w:p>
        </w:tc>
        <w:tc>
          <w:tcPr>
            <w:tcW w:w="240" w:type="dxa"/>
            <w:vAlign w:val="bottom"/>
          </w:tcPr>
          <w:p>
            <w:pPr>
              <w:spacing w:after="0"/>
              <w:rPr>
                <w:sz w:val="14"/>
                <w:szCs w:val="14"/>
                <w:color w:val="auto"/>
              </w:rPr>
            </w:pPr>
          </w:p>
        </w:tc>
        <w:tc>
          <w:tcPr>
            <w:tcW w:w="2100" w:type="dxa"/>
            <w:vAlign w:val="bottom"/>
            <w:gridSpan w:val="5"/>
          </w:tcPr>
          <w:p>
            <w:pPr>
              <w:jc w:val="right"/>
              <w:ind w:right="290"/>
              <w:spacing w:after="0"/>
              <w:rPr>
                <w:sz w:val="20"/>
                <w:szCs w:val="20"/>
                <w:color w:val="auto"/>
              </w:rPr>
            </w:pPr>
            <w:r>
              <w:rPr>
                <w:rFonts w:ascii="Calibri" w:cs="Calibri" w:eastAsia="Calibri" w:hAnsi="Calibri"/>
                <w:sz w:val="14"/>
                <w:szCs w:val="14"/>
                <w:b w:val="1"/>
                <w:bCs w:val="1"/>
                <w:color w:val="auto"/>
              </w:rPr>
              <w:t>Six Months Ended March 31</w:t>
            </w:r>
          </w:p>
        </w:tc>
      </w:tr>
      <w:tr>
        <w:trPr>
          <w:trHeight w:val="33"/>
        </w:trPr>
        <w:tc>
          <w:tcPr>
            <w:tcW w:w="5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24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2"/>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72"/>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1"/>
              <w:spacing w:after="0" w:line="164"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r>
      <w:tr>
        <w:trPr>
          <w:trHeight w:val="33"/>
        </w:trPr>
        <w:tc>
          <w:tcPr>
            <w:tcW w:w="5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2"/>
              <w:spacing w:after="0" w:line="164" w:lineRule="exact"/>
              <w:rPr>
                <w:sz w:val="20"/>
                <w:szCs w:val="20"/>
                <w:color w:val="auto"/>
              </w:rPr>
            </w:pPr>
            <w:r>
              <w:rPr>
                <w:rFonts w:ascii="Calibri" w:cs="Calibri" w:eastAsia="Calibri" w:hAnsi="Calibri"/>
                <w:sz w:val="14"/>
                <w:szCs w:val="14"/>
                <w:b w:val="1"/>
                <w:bCs w:val="1"/>
                <w:color w:val="auto"/>
              </w:rPr>
              <w:t>(In</w:t>
            </w:r>
          </w:p>
        </w:tc>
        <w:tc>
          <w:tcPr>
            <w:tcW w:w="46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23"/>
        </w:trPr>
        <w:tc>
          <w:tcPr>
            <w:tcW w:w="52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expense</w:t>
            </w:r>
          </w:p>
        </w:tc>
        <w:tc>
          <w:tcPr>
            <w:tcW w:w="720" w:type="dxa"/>
            <w:vAlign w:val="bottom"/>
            <w:tcBorders>
              <w:bottom w:val="single" w:sz="8" w:color="CFF0FC"/>
            </w:tcBorders>
            <w:shd w:val="clear" w:color="auto" w:fill="CFF0FC"/>
          </w:tcPr>
          <w:p>
            <w:pPr>
              <w:jc w:val="right"/>
              <w:ind w:right="539"/>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(23 )</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CFF0FC"/>
            </w:tcBorders>
            <w:gridSpan w:val="2"/>
            <w:shd w:val="clear" w:color="auto" w:fill="CFF0FC"/>
          </w:tcPr>
          <w:p>
            <w:pPr>
              <w:jc w:val="right"/>
              <w:ind w:right="79"/>
              <w:spacing w:after="0" w:line="215" w:lineRule="exact"/>
              <w:rPr>
                <w:sz w:val="20"/>
                <w:szCs w:val="20"/>
                <w:color w:val="auto"/>
              </w:rPr>
            </w:pPr>
            <w:r>
              <w:rPr>
                <w:rFonts w:ascii="Calibri" w:cs="Calibri" w:eastAsia="Calibri" w:hAnsi="Calibri"/>
                <w:sz w:val="18"/>
                <w:szCs w:val="18"/>
                <w:color w:val="auto"/>
              </w:rPr>
              <w:t>(11 )</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(45 )</w:t>
            </w:r>
          </w:p>
        </w:tc>
        <w:tc>
          <w:tcPr>
            <w:tcW w:w="2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(23 )</w:t>
            </w:r>
          </w:p>
        </w:tc>
      </w:tr>
      <w:tr>
        <w:trPr>
          <w:trHeight w:val="243"/>
        </w:trPr>
        <w:tc>
          <w:tcPr>
            <w:tcW w:w="5240" w:type="dxa"/>
            <w:vAlign w:val="bottom"/>
          </w:tcPr>
          <w:p>
            <w:pPr>
              <w:spacing w:after="0" w:line="243" w:lineRule="exact"/>
              <w:rPr>
                <w:sz w:val="20"/>
                <w:szCs w:val="20"/>
                <w:color w:val="auto"/>
              </w:rPr>
            </w:pPr>
            <w:r>
              <w:rPr>
                <w:rFonts w:ascii="Calibri" w:cs="Calibri" w:eastAsia="Calibri" w:hAnsi="Calibri"/>
                <w:sz w:val="18"/>
                <w:szCs w:val="18"/>
                <w:color w:val="auto"/>
              </w:rPr>
              <w:t>Certain items</w:t>
            </w:r>
            <w:r>
              <w:rPr>
                <w:rFonts w:ascii="Calibri" w:cs="Calibri" w:eastAsia="Calibri" w:hAnsi="Calibri"/>
                <w:sz w:val="24"/>
                <w:szCs w:val="24"/>
                <w:color w:val="auto"/>
                <w:vertAlign w:val="superscript"/>
              </w:rPr>
              <w:t>(a)</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Gain on bargain purchase of a business (Note C)</w:t>
            </w:r>
          </w:p>
        </w:tc>
        <w:tc>
          <w:tcPr>
            <w:tcW w:w="7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240" w:type="dxa"/>
            <w:vAlign w:val="bottom"/>
          </w:tcPr>
          <w:p>
            <w:pPr>
              <w:ind w:left="100"/>
              <w:spacing w:after="0" w:line="215" w:lineRule="exact"/>
              <w:rPr>
                <w:sz w:val="20"/>
                <w:szCs w:val="20"/>
                <w:color w:val="auto"/>
              </w:rPr>
            </w:pPr>
            <w:r>
              <w:rPr>
                <w:rFonts w:ascii="Calibri" w:cs="Calibri" w:eastAsia="Calibri" w:hAnsi="Calibri"/>
                <w:sz w:val="18"/>
                <w:szCs w:val="18"/>
                <w:color w:val="auto"/>
              </w:rPr>
              <w:t>Gain on sale of land</w:t>
            </w:r>
          </w:p>
        </w:tc>
        <w:tc>
          <w:tcPr>
            <w:tcW w:w="720" w:type="dxa"/>
            <w:vAlign w:val="bottom"/>
          </w:tcPr>
          <w:p>
            <w:pPr>
              <w:spacing w:after="0"/>
              <w:rPr>
                <w:sz w:val="18"/>
                <w:szCs w:val="18"/>
                <w:color w:val="auto"/>
              </w:rPr>
            </w:pPr>
          </w:p>
        </w:tc>
        <w:tc>
          <w:tcPr>
            <w:tcW w:w="5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39"/>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23"/>
        </w:trPr>
        <w:tc>
          <w:tcPr>
            <w:tcW w:w="52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7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79"/>
              <w:spacing w:after="0" w:line="215" w:lineRule="exact"/>
              <w:rPr>
                <w:sz w:val="20"/>
                <w:szCs w:val="20"/>
                <w:color w:val="auto"/>
              </w:rPr>
            </w:pPr>
            <w:r>
              <w:rPr>
                <w:rFonts w:ascii="Calibri" w:cs="Calibri" w:eastAsia="Calibri" w:hAnsi="Calibri"/>
                <w:sz w:val="18"/>
                <w:szCs w:val="18"/>
                <w:color w:val="auto"/>
              </w:rPr>
              <w:t>(7 )</w:t>
            </w: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(3 )</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(204 )</w:t>
            </w:r>
          </w:p>
        </w:tc>
      </w:tr>
      <w:tr>
        <w:trPr>
          <w:trHeight w:val="215"/>
        </w:trPr>
        <w:tc>
          <w:tcPr>
            <w:tcW w:w="5240" w:type="dxa"/>
            <w:vAlign w:val="bottom"/>
          </w:tcPr>
          <w:p>
            <w:pPr>
              <w:ind w:left="10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720" w:type="dxa"/>
            <w:vAlign w:val="bottom"/>
          </w:tcPr>
          <w:p>
            <w:pPr>
              <w:spacing w:after="0"/>
              <w:rPr>
                <w:sz w:val="18"/>
                <w:szCs w:val="18"/>
                <w:color w:val="auto"/>
              </w:rPr>
            </w:pPr>
          </w:p>
        </w:tc>
        <w:tc>
          <w:tcPr>
            <w:tcW w:w="5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8"/>
                <w:szCs w:val="18"/>
                <w:color w:val="auto"/>
              </w:rPr>
            </w:pPr>
          </w:p>
        </w:tc>
        <w:tc>
          <w:tcPr>
            <w:tcW w:w="1000" w:type="dxa"/>
            <w:vAlign w:val="bottom"/>
            <w:gridSpan w:val="2"/>
          </w:tcPr>
          <w:p>
            <w:pPr>
              <w:jc w:val="right"/>
              <w:ind w:right="79"/>
              <w:spacing w:after="0" w:line="215" w:lineRule="exact"/>
              <w:rPr>
                <w:sz w:val="20"/>
                <w:szCs w:val="20"/>
                <w:color w:val="auto"/>
              </w:rPr>
            </w:pPr>
            <w:r>
              <w:rPr>
                <w:rFonts w:ascii="Calibri" w:cs="Calibri" w:eastAsia="Calibri" w:hAnsi="Calibri"/>
                <w:sz w:val="18"/>
                <w:szCs w:val="18"/>
                <w:color w:val="auto"/>
              </w:rPr>
              <w:t>(7 )</w:t>
            </w:r>
          </w:p>
        </w:tc>
        <w:tc>
          <w:tcPr>
            <w:tcW w:w="240" w:type="dxa"/>
            <w:vAlign w:val="bottom"/>
          </w:tcPr>
          <w:p>
            <w:pPr>
              <w:spacing w:after="0"/>
              <w:rPr>
                <w:sz w:val="18"/>
                <w:szCs w:val="18"/>
                <w:color w:val="auto"/>
              </w:rPr>
            </w:pPr>
          </w:p>
        </w:tc>
        <w:tc>
          <w:tcPr>
            <w:tcW w:w="98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(2 )</w:t>
            </w:r>
          </w:p>
        </w:tc>
        <w:tc>
          <w:tcPr>
            <w:tcW w:w="240" w:type="dxa"/>
            <w:vAlign w:val="bottom"/>
          </w:tcPr>
          <w:p>
            <w:pPr>
              <w:spacing w:after="0"/>
              <w:rPr>
                <w:sz w:val="18"/>
                <w:szCs w:val="18"/>
                <w:color w:val="auto"/>
              </w:rPr>
            </w:pPr>
          </w:p>
        </w:tc>
        <w:tc>
          <w:tcPr>
            <w:tcW w:w="8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(8 )</w:t>
            </w:r>
          </w:p>
        </w:tc>
      </w:tr>
      <w:tr>
        <w:trPr>
          <w:trHeight w:val="28"/>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23"/>
        </w:trPr>
        <w:tc>
          <w:tcPr>
            <w:tcW w:w="52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Acquisiton and integraton-related charges</w:t>
            </w:r>
          </w:p>
        </w:tc>
        <w:tc>
          <w:tcPr>
            <w:tcW w:w="7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79"/>
              <w:spacing w:after="0" w:line="215" w:lineRule="exact"/>
              <w:rPr>
                <w:sz w:val="20"/>
                <w:szCs w:val="20"/>
                <w:color w:val="auto"/>
              </w:rPr>
            </w:pPr>
            <w:r>
              <w:rPr>
                <w:rFonts w:ascii="Calibri" w:cs="Calibri" w:eastAsia="Calibri" w:hAnsi="Calibri"/>
                <w:sz w:val="18"/>
                <w:szCs w:val="18"/>
                <w:color w:val="auto"/>
              </w:rPr>
              <w:t>(2 )</w:t>
            </w: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(3 )</w:t>
            </w:r>
          </w:p>
        </w:tc>
      </w:tr>
      <w:tr>
        <w:trPr>
          <w:trHeight w:val="215"/>
        </w:trPr>
        <w:tc>
          <w:tcPr>
            <w:tcW w:w="5240" w:type="dxa"/>
            <w:vAlign w:val="bottom"/>
          </w:tcPr>
          <w:p>
            <w:pPr>
              <w:ind w:left="100"/>
              <w:spacing w:after="0" w:line="215" w:lineRule="exact"/>
              <w:rPr>
                <w:sz w:val="20"/>
                <w:szCs w:val="20"/>
                <w:color w:val="auto"/>
              </w:rPr>
            </w:pPr>
            <w:r>
              <w:rPr>
                <w:rFonts w:ascii="Calibri" w:cs="Calibri" w:eastAsia="Calibri" w:hAnsi="Calibri"/>
                <w:sz w:val="18"/>
                <w:szCs w:val="18"/>
                <w:color w:val="auto"/>
              </w:rPr>
              <w:t>Divestture related charges</w:t>
            </w:r>
          </w:p>
        </w:tc>
        <w:tc>
          <w:tcPr>
            <w:tcW w:w="720" w:type="dxa"/>
            <w:vAlign w:val="bottom"/>
          </w:tcPr>
          <w:p>
            <w:pPr>
              <w:spacing w:after="0"/>
              <w:rPr>
                <w:sz w:val="18"/>
                <w:szCs w:val="18"/>
                <w:color w:val="auto"/>
              </w:rPr>
            </w:pPr>
          </w:p>
        </w:tc>
        <w:tc>
          <w:tcPr>
            <w:tcW w:w="5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79"/>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8"/>
                <w:szCs w:val="18"/>
                <w:color w:val="auto"/>
              </w:rPr>
            </w:pPr>
          </w:p>
        </w:tc>
        <w:tc>
          <w:tcPr>
            <w:tcW w:w="98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(5 )</w:t>
            </w:r>
          </w:p>
        </w:tc>
      </w:tr>
      <w:tr>
        <w:trPr>
          <w:trHeight w:val="28"/>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23"/>
        </w:trPr>
        <w:tc>
          <w:tcPr>
            <w:tcW w:w="52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Global restructuring actvites</w:t>
            </w:r>
          </w:p>
        </w:tc>
        <w:tc>
          <w:tcPr>
            <w:tcW w:w="7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139"/>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(2 )</w:t>
            </w:r>
          </w:p>
        </w:tc>
      </w:tr>
      <w:tr>
        <w:trPr>
          <w:trHeight w:val="219"/>
        </w:trPr>
        <w:tc>
          <w:tcPr>
            <w:tcW w:w="5240" w:type="dxa"/>
            <w:vAlign w:val="bottom"/>
          </w:tcPr>
          <w:p>
            <w:pPr>
              <w:ind w:left="100"/>
              <w:spacing w:after="0"/>
              <w:rPr>
                <w:sz w:val="20"/>
                <w:szCs w:val="20"/>
                <w:color w:val="auto"/>
              </w:rPr>
            </w:pPr>
            <w:r>
              <w:rPr>
                <w:rFonts w:ascii="Calibri" w:cs="Calibri" w:eastAsia="Calibri" w:hAnsi="Calibri"/>
                <w:sz w:val="18"/>
                <w:szCs w:val="18"/>
                <w:color w:val="auto"/>
              </w:rPr>
              <w:t>Other</w:t>
            </w:r>
          </w:p>
        </w:tc>
        <w:tc>
          <w:tcPr>
            <w:tcW w:w="720" w:type="dxa"/>
            <w:vAlign w:val="bottom"/>
          </w:tcPr>
          <w:p>
            <w:pPr>
              <w:spacing w:after="0"/>
              <w:rPr>
                <w:sz w:val="19"/>
                <w:szCs w:val="19"/>
                <w:color w:val="auto"/>
              </w:rPr>
            </w:pPr>
          </w:p>
        </w:tc>
        <w:tc>
          <w:tcPr>
            <w:tcW w:w="5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9"/>
                <w:szCs w:val="19"/>
                <w:color w:val="auto"/>
              </w:rPr>
            </w:pPr>
          </w:p>
        </w:tc>
        <w:tc>
          <w:tcPr>
            <w:tcW w:w="1000" w:type="dxa"/>
            <w:vAlign w:val="bottom"/>
            <w:gridSpan w:val="2"/>
          </w:tcPr>
          <w:p>
            <w:pPr>
              <w:jc w:val="right"/>
              <w:ind w:right="139"/>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17"/>
        </w:trPr>
        <w:tc>
          <w:tcPr>
            <w:tcW w:w="5240" w:type="dxa"/>
            <w:vAlign w:val="bottom"/>
            <w:tcBorders>
              <w:bottom w:val="single" w:sz="8" w:color="CFF0FC"/>
            </w:tcBorders>
            <w:shd w:val="clear" w:color="auto" w:fill="CFF0FC"/>
          </w:tcPr>
          <w:p>
            <w:pPr>
              <w:ind w:left="360"/>
              <w:spacing w:after="0" w:line="213" w:lineRule="exact"/>
              <w:rPr>
                <w:sz w:val="20"/>
                <w:szCs w:val="20"/>
                <w:color w:val="auto"/>
              </w:rPr>
            </w:pPr>
            <w:r>
              <w:rPr>
                <w:rFonts w:ascii="Calibri" w:cs="Calibri" w:eastAsia="Calibri" w:hAnsi="Calibri"/>
                <w:sz w:val="18"/>
                <w:szCs w:val="18"/>
                <w:color w:val="auto"/>
              </w:rPr>
              <w:t>Total certain items, pre-tax</w:t>
            </w:r>
          </w:p>
        </w:tc>
        <w:tc>
          <w:tcPr>
            <w:tcW w:w="720" w:type="dxa"/>
            <w:vAlign w:val="bottom"/>
            <w:tcBorders>
              <w:top w:val="single" w:sz="8" w:color="auto"/>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jc w:val="right"/>
              <w:ind w:right="90"/>
              <w:spacing w:after="0" w:line="213" w:lineRule="exact"/>
              <w:rPr>
                <w:sz w:val="20"/>
                <w:szCs w:val="20"/>
                <w:color w:val="auto"/>
              </w:rPr>
            </w:pPr>
            <w:r>
              <w:rPr>
                <w:rFonts w:ascii="Calibri" w:cs="Calibri" w:eastAsia="Calibri" w:hAnsi="Calibri"/>
                <w:sz w:val="18"/>
                <w:szCs w:val="18"/>
                <w:color w:val="auto"/>
                <w:w w:val="72"/>
              </w:rPr>
              <w:t>)</w:t>
            </w: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jc w:val="right"/>
              <w:ind w:right="50"/>
              <w:spacing w:after="0" w:line="213"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(197</w:t>
            </w:r>
          </w:p>
        </w:tc>
        <w:tc>
          <w:tcPr>
            <w:tcW w:w="1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72"/>
              </w:rPr>
              <w:t>)</w:t>
            </w:r>
          </w:p>
        </w:tc>
      </w:tr>
      <w:tr>
        <w:trPr>
          <w:trHeight w:val="20"/>
        </w:trPr>
        <w:tc>
          <w:tcPr>
            <w:tcW w:w="5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240" w:type="dxa"/>
            <w:vAlign w:val="bottom"/>
          </w:tcPr>
          <w:p>
            <w:pPr>
              <w:spacing w:after="0" w:line="236" w:lineRule="exact"/>
              <w:rPr>
                <w:sz w:val="20"/>
                <w:szCs w:val="20"/>
                <w:color w:val="auto"/>
              </w:rPr>
            </w:pPr>
            <w:r>
              <w:rPr>
                <w:rFonts w:ascii="Calibri" w:cs="Calibri" w:eastAsia="Calibri" w:hAnsi="Calibri"/>
                <w:sz w:val="18"/>
                <w:szCs w:val="18"/>
                <w:color w:val="auto"/>
              </w:rPr>
              <w:t>Unallocated corporate costs</w:t>
            </w:r>
            <w:r>
              <w:rPr>
                <w:rFonts w:ascii="Calibri" w:cs="Calibri" w:eastAsia="Calibri" w:hAnsi="Calibri"/>
                <w:sz w:val="24"/>
                <w:szCs w:val="24"/>
                <w:color w:val="auto"/>
                <w:vertAlign w:val="superscript"/>
              </w:rPr>
              <w:t>(b)</w:t>
            </w:r>
          </w:p>
        </w:tc>
        <w:tc>
          <w:tcPr>
            <w:tcW w:w="720" w:type="dxa"/>
            <w:vAlign w:val="bottom"/>
          </w:tcPr>
          <w:p>
            <w:pPr>
              <w:spacing w:after="0"/>
              <w:rPr>
                <w:sz w:val="20"/>
                <w:szCs w:val="20"/>
                <w:color w:val="auto"/>
              </w:rPr>
            </w:pPr>
          </w:p>
        </w:tc>
        <w:tc>
          <w:tcPr>
            <w:tcW w:w="5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(16 )</w:t>
            </w:r>
          </w:p>
        </w:tc>
        <w:tc>
          <w:tcPr>
            <w:tcW w:w="240" w:type="dxa"/>
            <w:vAlign w:val="bottom"/>
          </w:tcPr>
          <w:p>
            <w:pPr>
              <w:spacing w:after="0"/>
              <w:rPr>
                <w:sz w:val="20"/>
                <w:szCs w:val="20"/>
                <w:color w:val="auto"/>
              </w:rPr>
            </w:pPr>
          </w:p>
        </w:tc>
        <w:tc>
          <w:tcPr>
            <w:tcW w:w="1000" w:type="dxa"/>
            <w:vAlign w:val="bottom"/>
            <w:gridSpan w:val="2"/>
          </w:tcPr>
          <w:p>
            <w:pPr>
              <w:jc w:val="right"/>
              <w:ind w:right="79"/>
              <w:spacing w:after="0" w:line="215" w:lineRule="exact"/>
              <w:rPr>
                <w:sz w:val="20"/>
                <w:szCs w:val="20"/>
                <w:color w:val="auto"/>
              </w:rPr>
            </w:pPr>
            <w:r>
              <w:rPr>
                <w:rFonts w:ascii="Calibri" w:cs="Calibri" w:eastAsia="Calibri" w:hAnsi="Calibri"/>
                <w:sz w:val="18"/>
                <w:szCs w:val="18"/>
                <w:color w:val="auto"/>
              </w:rPr>
              <w:t>(16 )</w:t>
            </w:r>
          </w:p>
        </w:tc>
        <w:tc>
          <w:tcPr>
            <w:tcW w:w="240" w:type="dxa"/>
            <w:vAlign w:val="bottom"/>
          </w:tcPr>
          <w:p>
            <w:pPr>
              <w:spacing w:after="0"/>
              <w:rPr>
                <w:sz w:val="20"/>
                <w:szCs w:val="20"/>
                <w:color w:val="auto"/>
              </w:rPr>
            </w:pPr>
          </w:p>
        </w:tc>
        <w:tc>
          <w:tcPr>
            <w:tcW w:w="98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(31 )</w:t>
            </w:r>
          </w:p>
        </w:tc>
        <w:tc>
          <w:tcPr>
            <w:tcW w:w="240" w:type="dxa"/>
            <w:vAlign w:val="bottom"/>
          </w:tcPr>
          <w:p>
            <w:pPr>
              <w:spacing w:after="0"/>
              <w:rPr>
                <w:sz w:val="20"/>
                <w:szCs w:val="20"/>
                <w:color w:val="auto"/>
              </w:rPr>
            </w:pPr>
          </w:p>
        </w:tc>
        <w:tc>
          <w:tcPr>
            <w:tcW w:w="8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(30 )</w:t>
            </w:r>
          </w:p>
        </w:tc>
      </w:tr>
      <w:tr>
        <w:trPr>
          <w:trHeight w:val="243"/>
        </w:trPr>
        <w:tc>
          <w:tcPr>
            <w:tcW w:w="5240" w:type="dxa"/>
            <w:vAlign w:val="bottom"/>
            <w:shd w:val="clear" w:color="auto" w:fill="CFF0FC"/>
          </w:tcPr>
          <w:p>
            <w:pPr>
              <w:spacing w:after="0" w:line="243" w:lineRule="exact"/>
              <w:rPr>
                <w:sz w:val="20"/>
                <w:szCs w:val="20"/>
                <w:color w:val="auto"/>
              </w:rPr>
            </w:pPr>
            <w:r>
              <w:rPr>
                <w:rFonts w:ascii="Calibri" w:cs="Calibri" w:eastAsia="Calibri" w:hAnsi="Calibri"/>
                <w:sz w:val="18"/>
                <w:szCs w:val="18"/>
                <w:color w:val="auto"/>
              </w:rPr>
              <w:t>General unallocated income (expense)</w:t>
            </w:r>
            <w:r>
              <w:rPr>
                <w:rFonts w:ascii="Calibri" w:cs="Calibri" w:eastAsia="Calibri" w:hAnsi="Calibri"/>
                <w:sz w:val="24"/>
                <w:szCs w:val="24"/>
                <w:color w:val="auto"/>
                <w:vertAlign w:val="superscript"/>
              </w:rPr>
              <w:t>(c)</w:t>
            </w: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9"/>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183"/>
        </w:trPr>
        <w:tc>
          <w:tcPr>
            <w:tcW w:w="5240" w:type="dxa"/>
            <w:vAlign w:val="bottom"/>
          </w:tcPr>
          <w:p>
            <w:pPr>
              <w:spacing w:after="0" w:line="183" w:lineRule="exact"/>
              <w:rPr>
                <w:sz w:val="20"/>
                <w:szCs w:val="20"/>
                <w:color w:val="auto"/>
              </w:rPr>
            </w:pPr>
            <w:r>
              <w:rPr>
                <w:rFonts w:ascii="Calibri" w:cs="Calibri" w:eastAsia="Calibri" w:hAnsi="Calibri"/>
                <w:sz w:val="18"/>
                <w:szCs w:val="18"/>
                <w:color w:val="auto"/>
              </w:rPr>
              <w:t>Less: Equity in earnings of afliated companies, net</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3"/>
        </w:trPr>
        <w:tc>
          <w:tcPr>
            <w:tcW w:w="5240" w:type="dxa"/>
            <w:vAlign w:val="bottom"/>
          </w:tcPr>
          <w:p>
            <w:pPr>
              <w:ind w:left="120"/>
              <w:spacing w:after="0" w:line="263" w:lineRule="exact"/>
              <w:rPr>
                <w:sz w:val="20"/>
                <w:szCs w:val="20"/>
                <w:color w:val="auto"/>
              </w:rPr>
            </w:pPr>
            <w:r>
              <w:rPr>
                <w:rFonts w:ascii="Calibri" w:cs="Calibri" w:eastAsia="Calibri" w:hAnsi="Calibri"/>
                <w:sz w:val="18"/>
                <w:szCs w:val="18"/>
                <w:color w:val="auto"/>
              </w:rPr>
              <w:t>of tax</w:t>
            </w:r>
            <w:r>
              <w:rPr>
                <w:rFonts w:ascii="Calibri" w:cs="Calibri" w:eastAsia="Calibri" w:hAnsi="Calibri"/>
                <w:sz w:val="24"/>
                <w:szCs w:val="24"/>
                <w:color w:val="auto"/>
                <w:vertAlign w:val="superscript"/>
              </w:rPr>
              <w:t>(d)</w:t>
            </w:r>
          </w:p>
        </w:tc>
        <w:tc>
          <w:tcPr>
            <w:tcW w:w="7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22"/>
                <w:szCs w:val="22"/>
                <w:color w:val="auto"/>
              </w:rPr>
            </w:pPr>
          </w:p>
        </w:tc>
      </w:tr>
      <w:tr>
        <w:trPr>
          <w:trHeight w:val="277"/>
        </w:trPr>
        <w:tc>
          <w:tcPr>
            <w:tcW w:w="52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Total</w:t>
            </w:r>
          </w:p>
        </w:tc>
        <w:tc>
          <w:tcPr>
            <w:tcW w:w="720" w:type="dxa"/>
            <w:vAlign w:val="bottom"/>
            <w:tcBorders>
              <w:bottom w:val="single" w:sz="8" w:color="auto"/>
            </w:tcBorders>
            <w:shd w:val="clear" w:color="auto" w:fill="CFF0FC"/>
          </w:tcPr>
          <w:p>
            <w:pPr>
              <w:jc w:val="right"/>
              <w:ind w:right="539"/>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24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72"/>
              </w:rPr>
              <w:t>)</w:t>
            </w:r>
          </w:p>
        </w:tc>
        <w:tc>
          <w:tcPr>
            <w:tcW w:w="24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220" w:type="dxa"/>
            <w:vAlign w:val="bottom"/>
            <w:tcBorders>
              <w:bottom w:val="single" w:sz="8" w:color="CFF0FC"/>
            </w:tcBorders>
            <w:shd w:val="clear" w:color="auto" w:fill="CFF0FC"/>
          </w:tcPr>
          <w:p>
            <w:pPr>
              <w:jc w:val="right"/>
              <w:ind w:right="79"/>
              <w:spacing w:after="0" w:line="215" w:lineRule="exact"/>
              <w:rPr>
                <w:sz w:val="20"/>
                <w:szCs w:val="20"/>
                <w:color w:val="auto"/>
              </w:rPr>
            </w:pPr>
            <w:r>
              <w:rPr>
                <w:rFonts w:ascii="Calibri" w:cs="Calibri" w:eastAsia="Calibri" w:hAnsi="Calibri"/>
                <w:sz w:val="18"/>
                <w:szCs w:val="18"/>
                <w:color w:val="auto"/>
                <w:w w:val="72"/>
              </w:rPr>
              <w:t>)</w:t>
            </w:r>
          </w:p>
        </w:tc>
        <w:tc>
          <w:tcPr>
            <w:tcW w:w="24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w:t>
            </w:r>
          </w:p>
        </w:tc>
        <w:tc>
          <w:tcPr>
            <w:tcW w:w="22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(254</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7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-788035</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-788035</wp:posOffset>
            </wp:positionV>
            <wp:extent cx="60325"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-788035</wp:posOffset>
            </wp:positionV>
            <wp:extent cx="60325"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-788035</wp:posOffset>
            </wp:positionV>
            <wp:extent cx="60325"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06" w:lineRule="exact"/>
        <w:rPr>
          <w:sz w:val="20"/>
          <w:szCs w:val="20"/>
          <w:color w:val="auto"/>
        </w:rPr>
      </w:pPr>
    </w:p>
    <w:p>
      <w:pPr>
        <w:ind w:left="1020" w:right="280" w:hanging="499"/>
        <w:spacing w:after="0" w:line="201"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Certain items are items of expense and income that management does not consider representatve of the Company’s fundamental on-going segment results and they are, therefore, excluded from Segment EBIT.</w:t>
      </w:r>
    </w:p>
    <w:p>
      <w:pPr>
        <w:spacing w:after="0" w:line="1" w:lineRule="exact"/>
        <w:rPr>
          <w:rFonts w:ascii="Calibri" w:cs="Calibri" w:eastAsia="Calibri" w:hAnsi="Calibri"/>
          <w:sz w:val="24"/>
          <w:szCs w:val="24"/>
          <w:color w:val="auto"/>
          <w:vertAlign w:val="superscript"/>
        </w:rPr>
      </w:pPr>
    </w:p>
    <w:p>
      <w:pPr>
        <w:ind w:left="1020" w:hanging="499"/>
        <w:spacing w:after="0" w:line="199"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corporate costs are costs that are not controlled by the segments and primarily beneft corporate interests.</w:t>
      </w:r>
    </w:p>
    <w:p>
      <w:pPr>
        <w:spacing w:after="0" w:line="72" w:lineRule="exact"/>
        <w:rPr>
          <w:rFonts w:ascii="Calibri" w:cs="Calibri" w:eastAsia="Calibri" w:hAnsi="Calibri"/>
          <w:sz w:val="24"/>
          <w:szCs w:val="24"/>
          <w:color w:val="auto"/>
          <w:vertAlign w:val="superscript"/>
        </w:rPr>
      </w:pPr>
    </w:p>
    <w:p>
      <w:pPr>
        <w:ind w:left="1020" w:right="280" w:hanging="499"/>
        <w:spacing w:after="0" w:line="201"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General unallocated income (expense) consists of gains (losses) arising from foreign currency transactons, net of other foreign currency risk management actvites, Interest and dividend income, the proft or loss related to the corporate adjustment for unearned revenue and unrealized holding gains (losses) for investments.</w:t>
      </w:r>
    </w:p>
    <w:p>
      <w:pPr>
        <w:spacing w:after="0" w:line="43" w:lineRule="exact"/>
        <w:rPr>
          <w:rFonts w:ascii="Calibri" w:cs="Calibri" w:eastAsia="Calibri" w:hAnsi="Calibri"/>
          <w:sz w:val="24"/>
          <w:szCs w:val="24"/>
          <w:color w:val="auto"/>
          <w:vertAlign w:val="superscript"/>
        </w:rPr>
      </w:pPr>
    </w:p>
    <w:p>
      <w:pPr>
        <w:ind w:left="1020" w:right="500" w:hanging="499"/>
        <w:spacing w:after="0" w:line="201" w:lineRule="auto"/>
        <w:tabs>
          <w:tab w:leader="none" w:pos="10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Equity in earnings of afliated companies, net of tax, is included in Segment EBIT and is removed in Unallocated and other to reconcile to Income (loss) from operatons before income taxes and equity in earnings from afliated companies.</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Company’s segments operate globally. In additon to presentng Revenue from external customers by reportable segment, the following tables further disaggregate Revenues from external customers by geographic region.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gridSpan w:val="6"/>
          </w:tcPr>
          <w:p>
            <w:pPr>
              <w:ind w:left="920"/>
              <w:spacing w:after="0"/>
              <w:rPr>
                <w:sz w:val="20"/>
                <w:szCs w:val="20"/>
                <w:color w:val="auto"/>
              </w:rPr>
            </w:pPr>
            <w:r>
              <w:rPr>
                <w:rFonts w:ascii="Calibri" w:cs="Calibri" w:eastAsia="Calibri" w:hAnsi="Calibri"/>
                <w:sz w:val="14"/>
                <w:szCs w:val="14"/>
                <w:b w:val="1"/>
                <w:bCs w:val="1"/>
                <w:color w:val="auto"/>
              </w:rPr>
              <w:t>Three Months Ended March 31, 2023</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38"/>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38"/>
              <w:spacing w:after="0" w:line="164" w:lineRule="exact"/>
              <w:rPr>
                <w:sz w:val="20"/>
                <w:szCs w:val="20"/>
                <w:color w:val="auto"/>
              </w:rPr>
            </w:pPr>
            <w:r>
              <w:rPr>
                <w:rFonts w:ascii="Calibri" w:cs="Calibri" w:eastAsia="Calibri" w:hAnsi="Calibri"/>
                <w:sz w:val="14"/>
                <w:szCs w:val="14"/>
                <w:b w:val="1"/>
                <w:bCs w:val="1"/>
                <w:color w:val="auto"/>
              </w:rPr>
              <w:t>Performance</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298"/>
              <w:spacing w:after="0"/>
              <w:rPr>
                <w:sz w:val="20"/>
                <w:szCs w:val="20"/>
                <w:color w:val="auto"/>
              </w:rPr>
            </w:pPr>
            <w:r>
              <w:rPr>
                <w:rFonts w:ascii="Calibri" w:cs="Calibri" w:eastAsia="Calibri" w:hAnsi="Calibri"/>
                <w:sz w:val="14"/>
                <w:szCs w:val="14"/>
                <w:b w:val="1"/>
                <w:bCs w:val="1"/>
                <w:color w:val="auto"/>
              </w:rPr>
              <w:t>Materials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38"/>
              <w:spacing w:after="0"/>
              <w:rPr>
                <w:sz w:val="20"/>
                <w:szCs w:val="20"/>
                <w:color w:val="auto"/>
              </w:rPr>
            </w:pPr>
            <w:r>
              <w:rPr>
                <w:rFonts w:ascii="Calibri" w:cs="Calibri" w:eastAsia="Calibri" w:hAnsi="Calibri"/>
                <w:sz w:val="14"/>
                <w:szCs w:val="14"/>
                <w:b w:val="1"/>
                <w:bCs w:val="1"/>
                <w:color w:val="auto"/>
              </w:rPr>
              <w:t>Chemicals</w:t>
            </w:r>
          </w:p>
        </w:tc>
        <w:tc>
          <w:tcPr>
            <w:tcW w:w="22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Consolidated 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398"/>
              <w:spacing w:after="0" w:line="164"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260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280</w:t>
            </w:r>
          </w:p>
        </w:tc>
        <w:tc>
          <w:tcPr>
            <w:tcW w:w="44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640" w:type="dxa"/>
            <w:vAlign w:val="bottom"/>
            <w:tcBorders>
              <w:bottom w:val="single" w:sz="8" w:color="CFF0FC"/>
            </w:tcBorders>
            <w:gridSpan w:val="2"/>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24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103</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24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672</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326</w:t>
            </w: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998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24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24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1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1,033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40" w:type="dxa"/>
            <w:vAlign w:val="bottom"/>
            <w:vMerge w:val="restart"/>
          </w:tcPr>
          <w:p>
            <w:pPr>
              <w:jc w:val="right"/>
              <w:ind w:right="950"/>
              <w:spacing w:after="0"/>
              <w:rPr>
                <w:sz w:val="20"/>
                <w:szCs w:val="20"/>
                <w:color w:val="auto"/>
              </w:rPr>
            </w:pPr>
            <w:r>
              <w:rPr>
                <w:rFonts w:ascii="Calibri" w:cs="Calibri" w:eastAsia="Calibri" w:hAnsi="Calibri"/>
                <w:sz w:val="18"/>
                <w:szCs w:val="18"/>
                <w:color w:val="auto"/>
              </w:rPr>
              <w:t>19</w:t>
            </w: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3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3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-967740</wp:posOffset>
            </wp:positionV>
            <wp:extent cx="76835"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-967740</wp:posOffset>
            </wp:positionV>
            <wp:extent cx="6858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center"/>
              <w:ind w:right="56"/>
              <w:spacing w:after="0"/>
              <w:rPr>
                <w:sz w:val="20"/>
                <w:szCs w:val="20"/>
                <w:color w:val="auto"/>
              </w:rPr>
            </w:pPr>
            <w:r>
              <w:rPr>
                <w:rFonts w:ascii="Calibri" w:cs="Calibri" w:eastAsia="Calibri" w:hAnsi="Calibri"/>
                <w:sz w:val="14"/>
                <w:szCs w:val="14"/>
                <w:b w:val="1"/>
                <w:bCs w:val="1"/>
                <w:color w:val="auto"/>
              </w:rPr>
              <w:t>Three Months Ended March 31, 2022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6"/>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9"/>
              <w:spacing w:after="0" w:line="164"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16"/>
              <w:spacing w:after="0" w:line="164" w:lineRule="exact"/>
              <w:rPr>
                <w:sz w:val="20"/>
                <w:szCs w:val="20"/>
                <w:color w:val="auto"/>
              </w:rPr>
            </w:pPr>
            <w:r>
              <w:rPr>
                <w:rFonts w:ascii="Calibri" w:cs="Calibri" w:eastAsia="Calibri" w:hAnsi="Calibri"/>
                <w:sz w:val="14"/>
                <w:szCs w:val="14"/>
                <w:b w:val="1"/>
                <w:bCs w:val="1"/>
                <w:color w:val="auto"/>
              </w:rPr>
              <w:t>Purifcaton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5"/>
              <w:spacing w:after="0" w:line="164"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Calibri" w:cs="Calibri" w:eastAsia="Calibri" w:hAnsi="Calibri"/>
                <w:sz w:val="14"/>
                <w:szCs w:val="14"/>
                <w:b w:val="1"/>
                <w:bCs w:val="1"/>
                <w:color w:val="auto"/>
              </w:rPr>
              <w:t>Materials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Calibri" w:cs="Calibri" w:eastAsia="Calibri" w:hAnsi="Calibri"/>
                <w:sz w:val="14"/>
                <w:szCs w:val="14"/>
                <w:b w:val="1"/>
                <w:bCs w:val="1"/>
                <w:color w:val="auto"/>
              </w:rPr>
              <w:t>Solutons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5"/>
              <w:spacing w:after="0"/>
              <w:rPr>
                <w:sz w:val="20"/>
                <w:szCs w:val="20"/>
                <w:color w:val="auto"/>
              </w:rPr>
            </w:pPr>
            <w:r>
              <w:rPr>
                <w:rFonts w:ascii="Calibri" w:cs="Calibri" w:eastAsia="Calibri" w:hAnsi="Calibri"/>
                <w:sz w:val="14"/>
                <w:szCs w:val="14"/>
                <w:b w:val="1"/>
                <w:bCs w:val="1"/>
                <w:color w:val="auto"/>
                <w:w w:val="94"/>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760"/>
              <w:spacing w:after="0" w:line="164" w:lineRule="exact"/>
              <w:rPr>
                <w:sz w:val="20"/>
                <w:szCs w:val="20"/>
                <w:color w:val="auto"/>
              </w:rPr>
            </w:pPr>
            <w:r>
              <w:rPr>
                <w:rFonts w:ascii="Calibri" w:cs="Calibri" w:eastAsia="Calibri" w:hAnsi="Calibri"/>
                <w:sz w:val="14"/>
                <w:szCs w:val="14"/>
                <w:b w:val="1"/>
                <w:bCs w:val="1"/>
                <w:color w:val="auto"/>
              </w:rPr>
              <w:t>(In</w:t>
            </w:r>
          </w:p>
        </w:tc>
        <w:tc>
          <w:tcPr>
            <w:tcW w:w="440" w:type="dxa"/>
            <w:vAlign w:val="bottom"/>
            <w:gridSpan w:val="2"/>
          </w:tcPr>
          <w:p>
            <w:pPr>
              <w:jc w:val="right"/>
              <w:ind w:right="2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16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256</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ind w:left="760"/>
              <w:spacing w:after="0" w:line="215" w:lineRule="exact"/>
              <w:rPr>
                <w:sz w:val="20"/>
                <w:szCs w:val="20"/>
                <w:color w:val="auto"/>
              </w:rPr>
            </w:pPr>
            <w:r>
              <w:rPr>
                <w:rFonts w:ascii="Calibri" w:cs="Calibri" w:eastAsia="Calibri" w:hAnsi="Calibri"/>
                <w:sz w:val="18"/>
                <w:szCs w:val="18"/>
                <w:color w:val="auto"/>
                <w:w w:val="94"/>
              </w:rPr>
              <w:t>110</w:t>
            </w:r>
          </w:p>
        </w:tc>
        <w:tc>
          <w:tcPr>
            <w:tcW w:w="4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760"/>
              <w:spacing w:after="0" w:line="215" w:lineRule="exact"/>
              <w:rPr>
                <w:sz w:val="20"/>
                <w:szCs w:val="20"/>
                <w:color w:val="auto"/>
              </w:rPr>
            </w:pPr>
            <w:r>
              <w:rPr>
                <w:rFonts w:ascii="Calibri" w:cs="Calibri" w:eastAsia="Calibri" w:hAnsi="Calibri"/>
                <w:sz w:val="18"/>
                <w:szCs w:val="18"/>
                <w:color w:val="auto"/>
                <w:w w:val="94"/>
              </w:rPr>
              <w:t>138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1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140</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ind w:left="760"/>
              <w:spacing w:after="0" w:line="215" w:lineRule="exact"/>
              <w:rPr>
                <w:sz w:val="20"/>
                <w:szCs w:val="20"/>
                <w:color w:val="auto"/>
              </w:rPr>
            </w:pPr>
            <w:r>
              <w:rPr>
                <w:rFonts w:ascii="Calibri" w:cs="Calibri" w:eastAsia="Calibri" w:hAnsi="Calibri"/>
                <w:sz w:val="18"/>
                <w:szCs w:val="18"/>
                <w:color w:val="auto"/>
                <w:w w:val="94"/>
              </w:rPr>
              <w:t>115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15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654</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60"/>
              <w:spacing w:after="0" w:line="208" w:lineRule="exact"/>
              <w:rPr>
                <w:sz w:val="20"/>
                <w:szCs w:val="20"/>
                <w:color w:val="auto"/>
              </w:rPr>
            </w:pPr>
            <w:r>
              <w:rPr>
                <w:rFonts w:ascii="Calibri" w:cs="Calibri" w:eastAsia="Calibri" w:hAnsi="Calibri"/>
                <w:sz w:val="18"/>
                <w:szCs w:val="18"/>
                <w:color w:val="auto"/>
                <w:w w:val="94"/>
              </w:rPr>
              <w:t>363</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36</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1,053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1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15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1,092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4"/>
            <w:vMerge w:val="restart"/>
          </w:tcPr>
          <w:p>
            <w:pPr>
              <w:jc w:val="center"/>
              <w:ind w:right="76"/>
              <w:spacing w:after="0"/>
              <w:rPr>
                <w:sz w:val="20"/>
                <w:szCs w:val="20"/>
                <w:color w:val="auto"/>
              </w:rPr>
            </w:pPr>
            <w:r>
              <w:rPr>
                <w:rFonts w:ascii="Calibri" w:cs="Calibri" w:eastAsia="Calibri" w:hAnsi="Calibri"/>
                <w:sz w:val="14"/>
                <w:szCs w:val="14"/>
                <w:b w:val="1"/>
                <w:bCs w:val="1"/>
                <w:color w:val="auto"/>
              </w:rPr>
              <w:t>Six Months Ended March 31, 2023</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6"/>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9"/>
              <w:spacing w:after="0" w:line="164"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16"/>
              <w:spacing w:after="0" w:line="164" w:lineRule="exact"/>
              <w:rPr>
                <w:sz w:val="20"/>
                <w:szCs w:val="20"/>
                <w:color w:val="auto"/>
              </w:rPr>
            </w:pPr>
            <w:r>
              <w:rPr>
                <w:rFonts w:ascii="Calibri" w:cs="Calibri" w:eastAsia="Calibri" w:hAnsi="Calibri"/>
                <w:sz w:val="14"/>
                <w:szCs w:val="14"/>
                <w:b w:val="1"/>
                <w:bCs w:val="1"/>
                <w:color w:val="auto"/>
              </w:rPr>
              <w:t>Purifcaton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5"/>
              <w:spacing w:after="0" w:line="164"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Calibri" w:cs="Calibri" w:eastAsia="Calibri" w:hAnsi="Calibri"/>
                <w:sz w:val="14"/>
                <w:szCs w:val="14"/>
                <w:b w:val="1"/>
                <w:bCs w:val="1"/>
                <w:color w:val="auto"/>
              </w:rPr>
              <w:t>Materials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Calibri" w:cs="Calibri" w:eastAsia="Calibri" w:hAnsi="Calibri"/>
                <w:sz w:val="14"/>
                <w:szCs w:val="14"/>
                <w:b w:val="1"/>
                <w:bCs w:val="1"/>
                <w:color w:val="auto"/>
              </w:rPr>
              <w:t>Solutons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5"/>
              <w:spacing w:after="0"/>
              <w:rPr>
                <w:sz w:val="20"/>
                <w:szCs w:val="20"/>
                <w:color w:val="auto"/>
              </w:rPr>
            </w:pPr>
            <w:r>
              <w:rPr>
                <w:rFonts w:ascii="Calibri" w:cs="Calibri" w:eastAsia="Calibri" w:hAnsi="Calibri"/>
                <w:sz w:val="14"/>
                <w:szCs w:val="14"/>
                <w:b w:val="1"/>
                <w:bCs w:val="1"/>
                <w:color w:val="auto"/>
                <w:w w:val="94"/>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760"/>
              <w:spacing w:after="0" w:line="164" w:lineRule="exact"/>
              <w:rPr>
                <w:sz w:val="20"/>
                <w:szCs w:val="20"/>
                <w:color w:val="auto"/>
              </w:rPr>
            </w:pPr>
            <w:r>
              <w:rPr>
                <w:rFonts w:ascii="Calibri" w:cs="Calibri" w:eastAsia="Calibri" w:hAnsi="Calibri"/>
                <w:sz w:val="14"/>
                <w:szCs w:val="14"/>
                <w:b w:val="1"/>
                <w:bCs w:val="1"/>
                <w:color w:val="auto"/>
              </w:rPr>
              <w:t>(In</w:t>
            </w:r>
          </w:p>
        </w:tc>
        <w:tc>
          <w:tcPr>
            <w:tcW w:w="440" w:type="dxa"/>
            <w:vAlign w:val="bottom"/>
            <w:gridSpan w:val="2"/>
          </w:tcPr>
          <w:p>
            <w:pPr>
              <w:jc w:val="right"/>
              <w:ind w:right="2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16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521</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ind w:left="760"/>
              <w:spacing w:after="0" w:line="215" w:lineRule="exact"/>
              <w:rPr>
                <w:sz w:val="20"/>
                <w:szCs w:val="20"/>
                <w:color w:val="auto"/>
              </w:rPr>
            </w:pPr>
            <w:r>
              <w:rPr>
                <w:rFonts w:ascii="Calibri" w:cs="Calibri" w:eastAsia="Calibri" w:hAnsi="Calibri"/>
                <w:sz w:val="18"/>
                <w:szCs w:val="18"/>
                <w:color w:val="auto"/>
                <w:w w:val="94"/>
              </w:rPr>
              <w:t>189</w:t>
            </w:r>
          </w:p>
        </w:tc>
        <w:tc>
          <w:tcPr>
            <w:tcW w:w="4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760"/>
              <w:spacing w:after="0" w:line="215" w:lineRule="exact"/>
              <w:rPr>
                <w:sz w:val="20"/>
                <w:szCs w:val="20"/>
                <w:color w:val="auto"/>
              </w:rPr>
            </w:pPr>
            <w:r>
              <w:rPr>
                <w:rFonts w:ascii="Calibri" w:cs="Calibri" w:eastAsia="Calibri" w:hAnsi="Calibri"/>
                <w:sz w:val="18"/>
                <w:szCs w:val="18"/>
                <w:color w:val="auto"/>
                <w:w w:val="94"/>
              </w:rPr>
              <w:t>249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1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276</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ind w:left="760"/>
              <w:spacing w:after="0" w:line="215" w:lineRule="exact"/>
              <w:rPr>
                <w:sz w:val="20"/>
                <w:szCs w:val="20"/>
                <w:color w:val="auto"/>
              </w:rPr>
            </w:pPr>
            <w:r>
              <w:rPr>
                <w:rFonts w:ascii="Calibri" w:cs="Calibri" w:eastAsia="Calibri" w:hAnsi="Calibri"/>
                <w:sz w:val="18"/>
                <w:szCs w:val="18"/>
                <w:color w:val="auto"/>
                <w:w w:val="94"/>
              </w:rPr>
              <w:t>174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15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1,315</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60"/>
              <w:spacing w:after="0" w:line="208" w:lineRule="exact"/>
              <w:rPr>
                <w:sz w:val="20"/>
                <w:szCs w:val="20"/>
                <w:color w:val="auto"/>
              </w:rPr>
            </w:pPr>
            <w:r>
              <w:rPr>
                <w:rFonts w:ascii="Calibri" w:cs="Calibri" w:eastAsia="Calibri" w:hAnsi="Calibri"/>
                <w:sz w:val="18"/>
                <w:szCs w:val="18"/>
                <w:color w:val="auto"/>
                <w:w w:val="94"/>
              </w:rPr>
              <w:t>612</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1,927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1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15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1,998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4"/>
            <w:vMerge w:val="restart"/>
          </w:tcPr>
          <w:p>
            <w:pPr>
              <w:jc w:val="center"/>
              <w:ind w:right="76"/>
              <w:spacing w:after="0"/>
              <w:rPr>
                <w:sz w:val="20"/>
                <w:szCs w:val="20"/>
                <w:color w:val="auto"/>
              </w:rPr>
            </w:pPr>
            <w:r>
              <w:rPr>
                <w:rFonts w:ascii="Calibri" w:cs="Calibri" w:eastAsia="Calibri" w:hAnsi="Calibri"/>
                <w:sz w:val="14"/>
                <w:szCs w:val="14"/>
                <w:b w:val="1"/>
                <w:bCs w:val="1"/>
                <w:color w:val="auto"/>
              </w:rPr>
              <w:t>Six Months Ended March 31, 2022</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6"/>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9"/>
              <w:spacing w:after="0" w:line="164"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16"/>
              <w:spacing w:after="0" w:line="164" w:lineRule="exact"/>
              <w:rPr>
                <w:sz w:val="20"/>
                <w:szCs w:val="20"/>
                <w:color w:val="auto"/>
              </w:rPr>
            </w:pPr>
            <w:r>
              <w:rPr>
                <w:rFonts w:ascii="Calibri" w:cs="Calibri" w:eastAsia="Calibri" w:hAnsi="Calibri"/>
                <w:sz w:val="14"/>
                <w:szCs w:val="14"/>
                <w:b w:val="1"/>
                <w:bCs w:val="1"/>
                <w:color w:val="auto"/>
              </w:rPr>
              <w:t>Purifcaton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5"/>
              <w:spacing w:after="0" w:line="164"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Calibri" w:cs="Calibri" w:eastAsia="Calibri" w:hAnsi="Calibri"/>
                <w:sz w:val="14"/>
                <w:szCs w:val="14"/>
                <w:b w:val="1"/>
                <w:bCs w:val="1"/>
                <w:color w:val="auto"/>
              </w:rPr>
              <w:t>Materials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9"/>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116"/>
              <w:spacing w:after="0"/>
              <w:rPr>
                <w:sz w:val="20"/>
                <w:szCs w:val="20"/>
                <w:color w:val="auto"/>
              </w:rPr>
            </w:pPr>
            <w:r>
              <w:rPr>
                <w:rFonts w:ascii="Calibri" w:cs="Calibri" w:eastAsia="Calibri" w:hAnsi="Calibri"/>
                <w:sz w:val="14"/>
                <w:szCs w:val="14"/>
                <w:b w:val="1"/>
                <w:bCs w:val="1"/>
                <w:color w:val="auto"/>
              </w:rPr>
              <w:t>Solutons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5"/>
              <w:spacing w:after="0"/>
              <w:rPr>
                <w:sz w:val="20"/>
                <w:szCs w:val="20"/>
                <w:color w:val="auto"/>
              </w:rPr>
            </w:pPr>
            <w:r>
              <w:rPr>
                <w:rFonts w:ascii="Calibri" w:cs="Calibri" w:eastAsia="Calibri" w:hAnsi="Calibri"/>
                <w:sz w:val="14"/>
                <w:szCs w:val="14"/>
                <w:b w:val="1"/>
                <w:bCs w:val="1"/>
                <w:color w:val="auto"/>
                <w:w w:val="94"/>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760"/>
              <w:spacing w:after="0" w:line="164" w:lineRule="exact"/>
              <w:rPr>
                <w:sz w:val="20"/>
                <w:szCs w:val="20"/>
                <w:color w:val="auto"/>
              </w:rPr>
            </w:pPr>
            <w:r>
              <w:rPr>
                <w:rFonts w:ascii="Calibri" w:cs="Calibri" w:eastAsia="Calibri" w:hAnsi="Calibri"/>
                <w:sz w:val="14"/>
                <w:szCs w:val="14"/>
                <w:b w:val="1"/>
                <w:bCs w:val="1"/>
                <w:color w:val="auto"/>
              </w:rPr>
              <w:t>(In</w:t>
            </w:r>
          </w:p>
        </w:tc>
        <w:tc>
          <w:tcPr>
            <w:tcW w:w="440" w:type="dxa"/>
            <w:vAlign w:val="bottom"/>
            <w:gridSpan w:val="2"/>
          </w:tcPr>
          <w:p>
            <w:pPr>
              <w:jc w:val="right"/>
              <w:ind w:right="2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16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465</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ind w:left="760"/>
              <w:spacing w:after="0" w:line="215" w:lineRule="exact"/>
              <w:rPr>
                <w:sz w:val="20"/>
                <w:szCs w:val="20"/>
                <w:color w:val="auto"/>
              </w:rPr>
            </w:pPr>
            <w:r>
              <w:rPr>
                <w:rFonts w:ascii="Calibri" w:cs="Calibri" w:eastAsia="Calibri" w:hAnsi="Calibri"/>
                <w:sz w:val="18"/>
                <w:szCs w:val="18"/>
                <w:color w:val="auto"/>
                <w:w w:val="94"/>
              </w:rPr>
              <w:t>200</w:t>
            </w:r>
          </w:p>
        </w:tc>
        <w:tc>
          <w:tcPr>
            <w:tcW w:w="4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760"/>
              <w:spacing w:after="0" w:line="215" w:lineRule="exact"/>
              <w:rPr>
                <w:sz w:val="20"/>
                <w:szCs w:val="20"/>
                <w:color w:val="auto"/>
              </w:rPr>
            </w:pPr>
            <w:r>
              <w:rPr>
                <w:rFonts w:ascii="Calibri" w:cs="Calibri" w:eastAsia="Calibri" w:hAnsi="Calibri"/>
                <w:sz w:val="18"/>
                <w:szCs w:val="18"/>
                <w:color w:val="auto"/>
                <w:w w:val="94"/>
              </w:rPr>
              <w:t>275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1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ind w:left="760"/>
              <w:spacing w:after="0" w:line="215" w:lineRule="exact"/>
              <w:rPr>
                <w:sz w:val="20"/>
                <w:szCs w:val="20"/>
                <w:color w:val="auto"/>
              </w:rPr>
            </w:pPr>
            <w:r>
              <w:rPr>
                <w:rFonts w:ascii="Calibri" w:cs="Calibri" w:eastAsia="Calibri" w:hAnsi="Calibri"/>
                <w:sz w:val="18"/>
                <w:szCs w:val="18"/>
                <w:color w:val="auto"/>
                <w:w w:val="94"/>
              </w:rPr>
              <w:t>194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15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1,217</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60"/>
              <w:spacing w:after="0" w:line="208" w:lineRule="exact"/>
              <w:rPr>
                <w:sz w:val="20"/>
                <w:szCs w:val="20"/>
                <w:color w:val="auto"/>
              </w:rPr>
            </w:pPr>
            <w:r>
              <w:rPr>
                <w:rFonts w:ascii="Calibri" w:cs="Calibri" w:eastAsia="Calibri" w:hAnsi="Calibri"/>
                <w:sz w:val="18"/>
                <w:szCs w:val="18"/>
                <w:color w:val="auto"/>
                <w:w w:val="94"/>
              </w:rPr>
              <w:t>669</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97</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1,983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1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15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2,060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80" w:type="dxa"/>
            <w:vAlign w:val="bottom"/>
            <w:vMerge w:val="restart"/>
          </w:tcPr>
          <w:p>
            <w:pPr>
              <w:jc w:val="right"/>
              <w:ind w:right="90"/>
              <w:spacing w:after="0"/>
              <w:rPr>
                <w:sz w:val="20"/>
                <w:szCs w:val="20"/>
                <w:color w:val="auto"/>
              </w:rPr>
            </w:pPr>
            <w:r>
              <w:rPr>
                <w:rFonts w:ascii="Calibri" w:cs="Calibri" w:eastAsia="Calibri" w:hAnsi="Calibri"/>
                <w:sz w:val="18"/>
                <w:szCs w:val="18"/>
                <w:color w:val="auto"/>
              </w:rPr>
              <w:t>20</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3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3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-4268470</wp:posOffset>
            </wp:positionV>
            <wp:extent cx="7683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-4268470</wp:posOffset>
            </wp:positionV>
            <wp:extent cx="6858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-4268470</wp:posOffset>
            </wp:positionV>
            <wp:extent cx="6858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-2613660</wp:posOffset>
            </wp:positionV>
            <wp:extent cx="7683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-2613660</wp:posOffset>
            </wp:positionV>
            <wp:extent cx="6858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-2613660</wp:posOffset>
            </wp:positionV>
            <wp:extent cx="6858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-976630</wp:posOffset>
            </wp:positionV>
            <wp:extent cx="76835"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-976630</wp:posOffset>
            </wp:positionV>
            <wp:extent cx="6858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-976630</wp:posOffset>
            </wp:positionV>
            <wp:extent cx="6858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i w:val="1"/>
          <w:iCs w:val="1"/>
          <w:color w:val="auto"/>
        </w:rPr>
        <w:t>Item 2.  Management’s Discussion and Analysis of Financial Conditon and Results of Operatons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critcal accountng policies have not substantally changed from those described in the 2022 10-K.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Refer to the discussion under the heading “Recent Accountng Pronouncements” in Note B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The Company’s former Purifcaton Solutons business was a separate reportng segment prior to divestture in the second quarter of fscal 2022. Cabot is also organized for operatonal purposes into three geographic regions: the Americas; Europe, Middle East and Africa (“EMEA”); and Asia Pacifc. The discussion of our results of operatons for the periods presented refects these structures.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analysis of our fnancial conditon and operatng results should be read with our consolidated fnancial statements and accompanying notes.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of Terms and Non-GAAP Financial Measures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When discussing our results of operatons, we use several terms as described below.</w:t>
      </w:r>
    </w:p>
    <w:p>
      <w:pPr>
        <w:spacing w:after="0" w:line="8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The term “product mix” refers to the mix of types and grades of products sold or the mix of geographic regions where products are sold, and the positve or negatve impact this has on the revenue or proftability of the business and/or segment.</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discussion under the heading “(Provision) Beneft for Income Taxes and Reconciliaton of Efectve Tax Rate to Operatng Tax Rate” includes a discussion and reconciliaton of our “efectve tax rate” and our “operatng tax rate” for the periods presented, as well as management’s projecton of our operatng tax rate range for the full fscal year. Our operatng tax rate is a non-GAAP fnancial measure and should not be considered as an alternatve to our efectve tax rate, the most comparable GAAP fnancial measure. The operatng tax rate is calculated based upon management's forecast of the annual operatng tax rate for the fscal year applied to adjusted pre-tax earnings. The operatng tax rate excludes income tax (expense) beneft on certain items, discrete tax items and, on a quarterly basis the tming of losses in certain jurisdictons. The income tax (expense) beneft on certain items is determined using the applicable rates in the taxing jurisdictons in which the certain items occurred and includes both current and deferred income tax (expense) beneft based on the nature of the certain items. Discrete tax items include, but are not limited to, changes in valuaton allowance, uncertain tax positons, and other tax items, such as the tax impact of legislatve changes and tax accruals on historic earnings due to changes in indefnite reinvestment assertons. Our defniton of the operatng tax rate may not be comparable to the defniton used by other companies. Management believes that this non-GAAP fnancial measure is useful supplemental informaton because it helps our investors compare our tax rate year to year on a consistent basis and to understand what our tax rate on current operatons would be without the impact of these items.</w:t>
      </w:r>
    </w:p>
    <w:p>
      <w:pPr>
        <w:spacing w:after="0" w:line="9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Our discussion under the heading “Second Quarter of Fiscal 2023 versus Second Quarter of Fiscal 2022—By Business Segment” includes a discussion of Total segment EBIT, which is a non-GAAP fnancial measure defned as Income (loss) before income taxes and equity in earnings from afliated companies less certain items and other unallocated items. Our Chief Operatng Decision Maker, who is our President and Chief Executve Ofcer, uses segment EBIT to evaluate the operatng results of each segment and to allocate resources to the segments. We believe Total segment EBIT, which refects the sum of EBIT from our reportable segments, provides useful supplemental informaton for our investors as it is an important indicator of our operatonal strength and performance, allows investors to see our results through the eyes of management, and provides context for our discussion of individual business segment performance. Our defniton of Total segment EBIT may not be comparable to the defniton used by other companies and it should not be considered an alternatve for Income (loss) before income taxes and equity in earnings of afliated companies, which is the most directly comparable GAAP fnancial measure. A reconciliaton of Total segment EBIT to Income (loss) before income taxes and equity in earnings of afliated companies is provided under the heading “Second quarter of Fiscal 2023 versus Second quarter of Fiscal 2022—By Business Segment”. Investors should consider the limitatons associated with this non-GAAP measure, including the potental lack of comparability of this measure from one company to another.</w:t>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ind w:firstLine="509"/>
        <w:spacing w:after="0" w:line="250" w:lineRule="auto"/>
        <w:rPr>
          <w:sz w:val="20"/>
          <w:szCs w:val="20"/>
          <w:color w:val="auto"/>
        </w:rPr>
      </w:pPr>
      <w:r>
        <w:rPr>
          <w:rFonts w:ascii="Calibri" w:cs="Calibri" w:eastAsia="Calibri" w:hAnsi="Calibri"/>
          <w:sz w:val="17"/>
          <w:szCs w:val="17"/>
          <w:color w:val="auto"/>
        </w:rPr>
        <w:t>In calculatng Total segment EBIT, we exclude from our Income (loss) before income taxes and equity in earnings of afliated companies (i) items of expense and income that management does not consider representatve of our fundamental on-going segment results, which we refer to as “certain items”, and (ii) items that, because they are not controlled by the business segments and primarily beneft corporate objectves, are not allocated to our business segments, such as interest expense and other corporate costs, which include unallocated corporate overhead expenses such as certain corporate salaries and headquarter expenses, plus costs related to special projects and initatves, which we refer to as “other unallocated items”. Management believes excluding the items identfed as certain items facilitates operatng performance comparisons from period to period by eliminatng diferences that would not otherwise be apparent on a GAAP basis and also facilitates an evaluaton of our operatng performance without the impact of these costs or benefts. The items of income and expense that we exclude from Total segment EBIT but that are included in our GAAP Income (loss) before income taxes and equity in earnings of afliated companies, as applicable in a partcular reportng period, include, but are not limited to, the following:</w:t>
      </w:r>
    </w:p>
    <w:p>
      <w:pPr>
        <w:spacing w:after="0" w:line="93" w:lineRule="exact"/>
        <w:rPr>
          <w:sz w:val="20"/>
          <w:szCs w:val="20"/>
          <w:color w:val="auto"/>
        </w:rPr>
      </w:pPr>
    </w:p>
    <w:p>
      <w:pPr>
        <w:ind w:left="10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Asset impairment charges, which primarily include charges associated with an impairment of goodwill, other long-lived assets or assets held for sale.</w:t>
      </w:r>
    </w:p>
    <w:p>
      <w:pPr>
        <w:spacing w:after="0" w:line="96"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Charges related to the divestture of our Purifcaton Solutons business, which include accelerated costs associated with the change in control and employee incentve compensaton.</w:t>
      </w:r>
    </w:p>
    <w:p>
      <w:pPr>
        <w:spacing w:after="0" w:line="96"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Legal and environmental reserves and maters, which consist of costs or benefts for maters typically related to former businesses or that are otherwise incurred outside of the ordinary course of business.</w:t>
      </w:r>
    </w:p>
    <w:p>
      <w:pPr>
        <w:spacing w:after="0" w:line="96" w:lineRule="exact"/>
        <w:rPr>
          <w:rFonts w:ascii="Times New Roman" w:cs="Times New Roman" w:eastAsia="Times New Roman" w:hAnsi="Times New Roman"/>
          <w:sz w:val="18"/>
          <w:szCs w:val="18"/>
          <w:color w:val="auto"/>
        </w:rPr>
      </w:pPr>
    </w:p>
    <w:p>
      <w:pPr>
        <w:ind w:left="1020" w:right="4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Global restructuring actvites, which include costs or benefts associated with cost reducton initatves or plant closures and are primarily related to (i) employee terminaton costs, (ii) asset impairment charges associated with restructuring actons, (iii) costs to close facilites, including environmental costs and contract terminaton penaltes, and (iv) gains realized on the sale of land or equipment associated with restructured plants or locatons.</w:t>
      </w:r>
    </w:p>
    <w:p>
      <w:pPr>
        <w:spacing w:after="0" w:line="97" w:lineRule="exact"/>
        <w:rPr>
          <w:rFonts w:ascii="Times New Roman" w:cs="Times New Roman" w:eastAsia="Times New Roman" w:hAnsi="Times New Roman"/>
          <w:sz w:val="18"/>
          <w:szCs w:val="18"/>
          <w:color w:val="auto"/>
        </w:rPr>
      </w:pPr>
    </w:p>
    <w:p>
      <w:pPr>
        <w:ind w:left="1020" w:right="30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 and integraton-related charges, which include transacton costs, redundant costs incurred during the period of integraton, and costs associated with transitoning certain management and business processes to Cabot’s processes.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Gains (losses) on sale of a business.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associated with the bargain purchase of a business.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realized on the sale of land.</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80" w:firstLine="494"/>
        <w:spacing w:after="0" w:line="235" w:lineRule="auto"/>
        <w:rPr>
          <w:sz w:val="20"/>
          <w:szCs w:val="20"/>
          <w:color w:val="auto"/>
        </w:rPr>
      </w:pPr>
      <w:r>
        <w:rPr>
          <w:rFonts w:ascii="Calibri" w:cs="Calibri" w:eastAsia="Calibri" w:hAnsi="Calibri"/>
          <w:sz w:val="18"/>
          <w:szCs w:val="18"/>
          <w:color w:val="auto"/>
        </w:rPr>
        <w:t>During the second quarter of fscal 2023, Income (loss) before income taxes and equity in earnings of afliated companies decreased compared to the second quarter of fscal 2022 due to a reducton in earnings in our Performance Chemicals segment partally ofset by stronger results in our Reinforcement Materials segment.</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Second quarter of Fiscal 2023 versus Second quarter of Fiscal 2022—Consolidated</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Sales and Other Operatng Revenues and Gross Proft</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199"/>
              <w:spacing w:after="0"/>
              <w:rPr>
                <w:sz w:val="20"/>
                <w:szCs w:val="20"/>
                <w:color w:val="auto"/>
              </w:rPr>
            </w:pPr>
            <w:r>
              <w:rPr>
                <w:rFonts w:ascii="Calibri" w:cs="Calibri" w:eastAsia="Calibri" w:hAnsi="Calibri"/>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256"/>
              <w:spacing w:after="0"/>
              <w:rPr>
                <w:sz w:val="20"/>
                <w:szCs w:val="20"/>
                <w:color w:val="auto"/>
              </w:rPr>
            </w:pPr>
            <w:r>
              <w:rPr>
                <w:rFonts w:ascii="Calibri" w:cs="Calibri" w:eastAsia="Calibri" w:hAnsi="Calibri"/>
                <w:sz w:val="14"/>
                <w:szCs w:val="14"/>
                <w:b w:val="1"/>
                <w:bCs w:val="1"/>
                <w:color w:val="auto"/>
              </w:rPr>
              <w:t>Six Months Ended March 31</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1,033</w:t>
            </w:r>
          </w:p>
        </w:tc>
        <w:tc>
          <w:tcPr>
            <w:tcW w:w="4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1,092</w:t>
            </w:r>
          </w:p>
        </w:tc>
        <w:tc>
          <w:tcPr>
            <w:tcW w:w="4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1,998</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3940" w:type="dxa"/>
            <w:vAlign w:val="bottom"/>
          </w:tcPr>
          <w:p>
            <w:pPr>
              <w:spacing w:after="0" w:line="215" w:lineRule="exact"/>
              <w:rPr>
                <w:sz w:val="20"/>
                <w:szCs w:val="20"/>
                <w:color w:val="auto"/>
              </w:rPr>
            </w:pPr>
            <w:r>
              <w:rPr>
                <w:rFonts w:ascii="Calibri" w:cs="Calibri" w:eastAsia="Calibri" w:hAnsi="Calibri"/>
                <w:sz w:val="18"/>
                <w:szCs w:val="18"/>
                <w:color w:val="auto"/>
              </w:rPr>
              <w:t>Gross proft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210</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232</w:t>
            </w: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391</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430</w:t>
            </w:r>
          </w:p>
        </w:tc>
        <w:tc>
          <w:tcPr>
            <w:tcW w:w="80" w:type="dxa"/>
            <w:vAlign w:val="bottom"/>
          </w:tcPr>
          <w:p>
            <w:pPr>
              <w:spacing w:after="0"/>
              <w:rPr>
                <w:sz w:val="18"/>
                <w:szCs w:val="18"/>
                <w:color w:val="auto"/>
              </w:rPr>
            </w:pPr>
          </w:p>
        </w:tc>
      </w:tr>
    </w:tbl>
    <w:p>
      <w:pPr>
        <w:spacing w:after="0" w:line="19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$59 million decrease in net sales and other operatng revenues in the second quarter of fscal 2023 compared to the second quarter of fscal 2022 was driven by lower volumes in both segments ($64 million), the unfavorable impact from foreign currency translaton ($38 million), the impact of the divestture of our Purifcaton Solutons business in fscal 2022 ($36 million) and lower by-product revenue ($11 million). These decreases were partally ofset by favorable price and product mix (combined $93 million), primarily in our Reinforcement Materials segment.</w:t>
      </w:r>
    </w:p>
    <w:p>
      <w:pPr>
        <w:spacing w:after="0" w:line="84"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The $62 million decrease in net sales and other operatng revenues in the frst six months of fscal 2023 compared to the frst six months of fscal 2022 was primarily driven by lower volumes ($106 million) the unfavorable impact from foreign currency translaton ($111 million), the impact of the divestture of our Purifcaton Solutons business in fscal 2022 ($97 million) and lower by-product revenue ($14 million). These decreases were partally ofset by favorable price and product mix (combined $270 million) primarily in our Reinforcement Materials segment.</w:t>
      </w:r>
    </w:p>
    <w:p>
      <w:pPr>
        <w:spacing w:after="0" w:line="1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2" w:name="page23"/>
    <w:bookmarkEnd w:id="22"/>
    <w:p>
      <w:pPr>
        <w:ind w:right="200" w:firstLine="509"/>
        <w:spacing w:after="0" w:line="235" w:lineRule="auto"/>
        <w:rPr>
          <w:sz w:val="20"/>
          <w:szCs w:val="20"/>
          <w:color w:val="auto"/>
        </w:rPr>
      </w:pPr>
      <w:r>
        <w:rPr>
          <w:rFonts w:ascii="Calibri" w:cs="Calibri" w:eastAsia="Calibri" w:hAnsi="Calibri"/>
          <w:sz w:val="18"/>
          <w:szCs w:val="18"/>
          <w:color w:val="auto"/>
        </w:rPr>
        <w:t>For the three and six months ended March 31, 2023, gross proft decreased by $22 million and $39 million, respectvely, compared to the same periods of fscal 2022. The decrease was primarily due to lower volumes and higher fxed costs, partally ofset by higher unit margins in our Reinforcement Materials segment.</w:t>
      </w:r>
    </w:p>
    <w:p>
      <w:pPr>
        <w:spacing w:after="0" w:line="79"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Selling and Administratve Expenses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12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259"/>
              <w:spacing w:after="0"/>
              <w:rPr>
                <w:sz w:val="20"/>
                <w:szCs w:val="20"/>
                <w:color w:val="auto"/>
              </w:rPr>
            </w:pPr>
            <w:r>
              <w:rPr>
                <w:rFonts w:ascii="Calibri" w:cs="Calibri" w:eastAsia="Calibri" w:hAnsi="Calibri"/>
                <w:sz w:val="14"/>
                <w:szCs w:val="14"/>
                <w:b w:val="1"/>
                <w:bCs w:val="1"/>
                <w:color w:val="auto"/>
              </w:rPr>
              <w:t>Six Months Ended March 31</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780" w:type="dxa"/>
            <w:vAlign w:val="bottom"/>
          </w:tcPr>
          <w:p>
            <w:pPr>
              <w:jc w:val="right"/>
              <w:ind w:right="22"/>
              <w:spacing w:after="0" w:line="164" w:lineRule="exact"/>
              <w:rPr>
                <w:sz w:val="20"/>
                <w:szCs w:val="20"/>
                <w:color w:val="auto"/>
              </w:rPr>
            </w:pPr>
            <w:r>
              <w:rPr>
                <w:rFonts w:ascii="Calibri" w:cs="Calibri" w:eastAsia="Calibri" w:hAnsi="Calibri"/>
                <w:sz w:val="14"/>
                <w:szCs w:val="14"/>
                <w:b w:val="1"/>
                <w:bCs w:val="1"/>
                <w:color w:val="auto"/>
              </w:rPr>
              <w:t>2023</w:t>
            </w:r>
          </w:p>
        </w:tc>
        <w:tc>
          <w:tcPr>
            <w:tcW w:w="300" w:type="dxa"/>
            <w:vAlign w:val="bottom"/>
          </w:tcPr>
          <w:p>
            <w:pPr>
              <w:spacing w:after="0"/>
              <w:rPr>
                <w:sz w:val="14"/>
                <w:szCs w:val="14"/>
                <w:color w:val="auto"/>
              </w:rPr>
            </w:pPr>
          </w:p>
        </w:tc>
        <w:tc>
          <w:tcPr>
            <w:tcW w:w="1040" w:type="dxa"/>
            <w:vAlign w:val="bottom"/>
            <w:gridSpan w:val="2"/>
          </w:tcPr>
          <w:p>
            <w:pPr>
              <w:jc w:val="right"/>
              <w:ind w:right="120"/>
              <w:spacing w:after="0" w:line="164" w:lineRule="exact"/>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2"/>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w w:val="89"/>
              </w:rPr>
              <w:t>(In</w:t>
            </w:r>
          </w:p>
        </w:tc>
        <w:tc>
          <w:tcPr>
            <w:tcW w:w="48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9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780" w:type="dxa"/>
            <w:vAlign w:val="bottom"/>
            <w:shd w:val="clear" w:color="auto" w:fill="CFF0FC"/>
          </w:tcPr>
          <w:p>
            <w:pPr>
              <w:jc w:val="right"/>
              <w:ind w:right="602"/>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w:t>
            </w:r>
          </w:p>
        </w:tc>
        <w:tc>
          <w:tcPr>
            <w:tcW w:w="1040" w:type="dxa"/>
            <w:vAlign w:val="bottom"/>
            <w:gridSpan w:val="2"/>
            <w:shd w:val="clear" w:color="auto" w:fill="CFF0FC"/>
          </w:tcPr>
          <w:p>
            <w:pPr>
              <w:jc w:val="right"/>
              <w:ind w:right="70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w:t>
            </w:r>
          </w:p>
        </w:tc>
        <w:tc>
          <w:tcPr>
            <w:tcW w:w="48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126</w:t>
            </w:r>
          </w:p>
        </w:tc>
        <w:tc>
          <w:tcPr>
            <w:tcW w:w="4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145</w:t>
            </w:r>
          </w:p>
        </w:tc>
        <w:tc>
          <w:tcPr>
            <w:tcW w:w="80" w:type="dxa"/>
            <w:vAlign w:val="bottom"/>
            <w:shd w:val="clear" w:color="auto" w:fill="CFF0FC"/>
          </w:tcPr>
          <w:p>
            <w:pPr>
              <w:spacing w:after="0"/>
              <w:rPr>
                <w:sz w:val="18"/>
                <w:szCs w:val="18"/>
                <w:color w:val="auto"/>
              </w:rPr>
            </w:pPr>
          </w:p>
        </w:tc>
      </w:tr>
      <w:tr>
        <w:trPr>
          <w:trHeight w:val="28"/>
        </w:trPr>
        <w:tc>
          <w:tcPr>
            <w:tcW w:w="39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Selling and administratve expenses decreased by $8 million and $19 million in the second quarter of fscal 2023 and for the six months ended March 31, 2023, respectvely, compared to the same periods of fscal 2022, primarily due to a decrease in the accrual for incentve compensaton in fscal 2023 and costs associated with the Purifcaton Solutons business in fscal 2022 that did not reoccur in fscal 2023.</w:t>
      </w:r>
    </w:p>
    <w:p>
      <w:pPr>
        <w:spacing w:after="0" w:line="79"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Research and Technical Expenses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202"/>
              <w:spacing w:after="0"/>
              <w:rPr>
                <w:sz w:val="20"/>
                <w:szCs w:val="20"/>
                <w:color w:val="auto"/>
              </w:rPr>
            </w:pPr>
            <w:r>
              <w:rPr>
                <w:rFonts w:ascii="Calibri" w:cs="Calibri" w:eastAsia="Calibri" w:hAnsi="Calibri"/>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259"/>
              <w:spacing w:after="0"/>
              <w:rPr>
                <w:sz w:val="20"/>
                <w:szCs w:val="20"/>
                <w:color w:val="auto"/>
              </w:rPr>
            </w:pPr>
            <w:r>
              <w:rPr>
                <w:rFonts w:ascii="Calibri" w:cs="Calibri" w:eastAsia="Calibri" w:hAnsi="Calibri"/>
                <w:sz w:val="14"/>
                <w:szCs w:val="14"/>
                <w:b w:val="1"/>
                <w:bCs w:val="1"/>
                <w:color w:val="auto"/>
              </w:rPr>
              <w:t>Six Months Ended March 31</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2"/>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2"/>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2"/>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42"/>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9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Research and technical expenses</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48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48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44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w:t>
            </w:r>
          </w:p>
        </w:tc>
        <w:tc>
          <w:tcPr>
            <w:tcW w:w="80" w:type="dxa"/>
            <w:vAlign w:val="bottom"/>
            <w:shd w:val="clear" w:color="auto" w:fill="CFF0FC"/>
          </w:tcPr>
          <w:p>
            <w:pPr>
              <w:spacing w:after="0"/>
              <w:rPr>
                <w:sz w:val="18"/>
                <w:szCs w:val="18"/>
                <w:color w:val="auto"/>
              </w:rPr>
            </w:pPr>
          </w:p>
        </w:tc>
      </w:tr>
      <w:tr>
        <w:trPr>
          <w:trHeight w:val="28"/>
        </w:trPr>
        <w:tc>
          <w:tcPr>
            <w:tcW w:w="39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firstLine="464"/>
        <w:spacing w:after="0" w:line="235" w:lineRule="auto"/>
        <w:rPr>
          <w:sz w:val="20"/>
          <w:szCs w:val="20"/>
          <w:color w:val="auto"/>
        </w:rPr>
      </w:pPr>
      <w:r>
        <w:rPr>
          <w:rFonts w:ascii="Calibri" w:cs="Calibri" w:eastAsia="Calibri" w:hAnsi="Calibri"/>
          <w:sz w:val="18"/>
          <w:szCs w:val="18"/>
          <w:color w:val="auto"/>
        </w:rPr>
        <w:t>Research and technical expenses increased by $1 million in the second quarter and the frst six months of fscal 2023, compared to the same periods of fscal 2022.</w:t>
      </w:r>
    </w:p>
    <w:p>
      <w:pPr>
        <w:spacing w:after="0" w:line="78"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Interest and Dividend Income, Interest Expense and Other Income (Expense)</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March 31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jc w:val="right"/>
              <w:ind w:right="420"/>
              <w:spacing w:after="0"/>
              <w:rPr>
                <w:sz w:val="20"/>
                <w:szCs w:val="20"/>
                <w:color w:val="auto"/>
              </w:rPr>
            </w:pPr>
            <w:r>
              <w:rPr>
                <w:rFonts w:ascii="Calibri" w:cs="Calibri" w:eastAsia="Calibri" w:hAnsi="Calibri"/>
                <w:sz w:val="14"/>
                <w:szCs w:val="14"/>
                <w:b w:val="1"/>
                <w:bCs w:val="1"/>
                <w:color w:val="auto"/>
              </w:rPr>
              <w:t>Six Months Ended March 31</w:t>
            </w:r>
          </w:p>
        </w:tc>
      </w:tr>
      <w:tr>
        <w:trPr>
          <w:trHeight w:val="33"/>
        </w:trPr>
        <w:tc>
          <w:tcPr>
            <w:tcW w:w="39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740" w:type="dxa"/>
            <w:vAlign w:val="bottom"/>
          </w:tcPr>
          <w:p>
            <w:pPr>
              <w:jc w:val="right"/>
              <w:ind w:right="4"/>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5"/>
              <w:spacing w:after="0" w:line="164" w:lineRule="exact"/>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97"/>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5"/>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jc w:val="right"/>
              <w:ind w:right="35"/>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and dividend income</w:t>
            </w:r>
          </w:p>
        </w:tc>
        <w:tc>
          <w:tcPr>
            <w:tcW w:w="740" w:type="dxa"/>
            <w:vAlign w:val="bottom"/>
            <w:tcBorders>
              <w:bottom w:val="single" w:sz="8" w:color="CFF0FC"/>
            </w:tcBorders>
            <w:shd w:val="clear" w:color="auto" w:fill="CFF0FC"/>
          </w:tcPr>
          <w:p>
            <w:pPr>
              <w:jc w:val="right"/>
              <w:ind w:right="584"/>
              <w:spacing w:after="0"/>
              <w:rPr>
                <w:sz w:val="20"/>
                <w:szCs w:val="20"/>
                <w:color w:val="auto"/>
              </w:rPr>
            </w:pPr>
            <w:r>
              <w:rPr>
                <w:rFonts w:ascii="Calibri" w:cs="Calibri" w:eastAsia="Calibri" w:hAnsi="Calibri"/>
                <w:sz w:val="16"/>
                <w:szCs w:val="16"/>
                <w:color w:val="auto"/>
                <w:w w:val="73"/>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615"/>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3940" w:type="dxa"/>
            <w:vAlign w:val="bottom"/>
          </w:tcPr>
          <w:p>
            <w:pPr>
              <w:spacing w:after="0" w:line="215" w:lineRule="exact"/>
              <w:rPr>
                <w:sz w:val="20"/>
                <w:szCs w:val="20"/>
                <w:color w:val="auto"/>
              </w:rPr>
            </w:pPr>
            <w:r>
              <w:rPr>
                <w:rFonts w:ascii="Calibri" w:cs="Calibri" w:eastAsia="Calibri" w:hAnsi="Calibri"/>
                <w:sz w:val="18"/>
                <w:szCs w:val="18"/>
                <w:color w:val="auto"/>
              </w:rPr>
              <w:t>Interest expense</w:t>
            </w:r>
          </w:p>
        </w:tc>
        <w:tc>
          <w:tcPr>
            <w:tcW w:w="740" w:type="dxa"/>
            <w:vAlign w:val="bottom"/>
          </w:tcPr>
          <w:p>
            <w:pPr>
              <w:jc w:val="right"/>
              <w:ind w:right="584"/>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(23 )</w:t>
            </w:r>
          </w:p>
        </w:tc>
        <w:tc>
          <w:tcPr>
            <w:tcW w:w="800" w:type="dxa"/>
            <w:vAlign w:val="bottom"/>
          </w:tcPr>
          <w:p>
            <w:pPr>
              <w:jc w:val="right"/>
              <w:ind w:right="615"/>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(11 )</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(45 )</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(23 )</w:t>
            </w:r>
          </w:p>
        </w:tc>
      </w:tr>
      <w:tr>
        <w:trPr>
          <w:trHeight w:val="28"/>
        </w:trPr>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215"/>
        </w:trPr>
        <w:tc>
          <w:tcPr>
            <w:tcW w:w="39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Other income (expense)</w:t>
            </w:r>
          </w:p>
        </w:tc>
        <w:tc>
          <w:tcPr>
            <w:tcW w:w="740" w:type="dxa"/>
            <w:vAlign w:val="bottom"/>
            <w:shd w:val="clear" w:color="auto" w:fill="CFF0FC"/>
          </w:tcPr>
          <w:p>
            <w:pPr>
              <w:jc w:val="right"/>
              <w:ind w:right="584"/>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(5 )</w:t>
            </w:r>
          </w:p>
        </w:tc>
        <w:tc>
          <w:tcPr>
            <w:tcW w:w="800" w:type="dxa"/>
            <w:vAlign w:val="bottom"/>
            <w:shd w:val="clear" w:color="auto" w:fill="CFF0FC"/>
          </w:tcPr>
          <w:p>
            <w:pPr>
              <w:jc w:val="right"/>
              <w:ind w:right="615"/>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(7 )</w:t>
            </w: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(10 )</w:t>
            </w: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(8 )</w:t>
            </w:r>
          </w:p>
        </w:tc>
      </w:tr>
      <w:tr>
        <w:trPr>
          <w:trHeight w:val="28"/>
        </w:trPr>
        <w:tc>
          <w:tcPr>
            <w:tcW w:w="394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firstLine="549"/>
        <w:spacing w:after="0" w:line="235" w:lineRule="auto"/>
        <w:rPr>
          <w:sz w:val="20"/>
          <w:szCs w:val="20"/>
          <w:color w:val="auto"/>
        </w:rPr>
      </w:pPr>
      <w:r>
        <w:rPr>
          <w:rFonts w:ascii="Calibri" w:cs="Calibri" w:eastAsia="Calibri" w:hAnsi="Calibri"/>
          <w:sz w:val="18"/>
          <w:szCs w:val="18"/>
          <w:color w:val="auto"/>
        </w:rPr>
        <w:t>Interest and dividend income increased by $5 million and $8 million in the three and six months ended March 31, 2023, respectvely, compared to the same periods of fscal 2022, primarily due to higher interest rates.</w:t>
      </w:r>
    </w:p>
    <w:p>
      <w:pPr>
        <w:spacing w:after="0" w:line="8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Interest expense increased by $12 million and $22 million in the three and six months ended March 31, 2023, respectvely, compared to the same periods of fscal 2022, primarily due to higher interest rates on borrowings under our commercial paper program and on the unsecured notes issued in June 2022.</w:t>
      </w:r>
    </w:p>
    <w:p>
      <w:pPr>
        <w:spacing w:after="0" w:line="8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Other expense decreased by $2 million in the second quarter of fscal 2023 compared to the same period of fscal 2022 primarily due to higher income on our invested cash in Argentna. Other expense increased by $2 million for the six months ended March 31, 2023, as compared to the same period of fscal 2022, primarily due to higher foreign currency losses, primarily in Argentna.</w:t>
      </w:r>
    </w:p>
    <w:p>
      <w:pPr>
        <w:spacing w:after="0" w:line="38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23" w:name="page24"/>
    <w:bookmarkEnd w:id="23"/>
    <w:p>
      <w:pPr>
        <w:ind w:left="480"/>
        <w:spacing w:after="0"/>
        <w:rPr>
          <w:sz w:val="20"/>
          <w:szCs w:val="20"/>
          <w:color w:val="auto"/>
        </w:rPr>
      </w:pPr>
      <w:r>
        <w:rPr>
          <w:rFonts w:ascii="Calibri" w:cs="Calibri" w:eastAsia="Calibri" w:hAnsi="Calibri"/>
          <w:sz w:val="17"/>
          <w:szCs w:val="17"/>
          <w:i w:val="1"/>
          <w:iCs w:val="1"/>
          <w:color w:val="auto"/>
        </w:rPr>
        <w:t>(Provision) Beneft for Income Taxes and Reconciliaton of Efectve Tax Rate to Operatng Tax Rate</w:t>
      </w:r>
    </w:p>
    <w:p>
      <w:pPr>
        <w:sectPr>
          <w:pgSz w:w="11900" w:h="16838" w:orient="portrait"/>
          <w:cols w:equalWidth="0" w:num="1">
            <w:col w:w="11220"/>
          </w:cols>
          <w:pgMar w:left="320" w:top="3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40"/>
        <w:spacing w:after="0"/>
        <w:rPr>
          <w:sz w:val="20"/>
          <w:szCs w:val="20"/>
          <w:color w:val="auto"/>
        </w:rPr>
      </w:pPr>
      <w:r>
        <w:rPr>
          <w:rFonts w:ascii="Calibri" w:cs="Calibri" w:eastAsia="Calibri" w:hAnsi="Calibri"/>
          <w:sz w:val="14"/>
          <w:szCs w:val="14"/>
          <w:b w:val="1"/>
          <w:bCs w:val="1"/>
          <w:color w:val="auto"/>
        </w:rPr>
        <w:t>Dollars in millions</w:t>
      </w:r>
    </w:p>
    <w:p>
      <w:pPr>
        <w:spacing w:after="0" w:line="20"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Efectve tax rate</w:t>
      </w:r>
    </w:p>
    <w:p>
      <w:pPr>
        <w:spacing w:after="0" w:line="16"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Less: Non-GAAP tax adjustments</w:t>
      </w:r>
      <w:r>
        <w:rPr>
          <w:rFonts w:ascii="Calibri" w:cs="Calibri" w:eastAsia="Calibri" w:hAnsi="Calibri"/>
          <w:sz w:val="23"/>
          <w:szCs w:val="23"/>
          <w:color w:val="auto"/>
          <w:vertAlign w:val="superscript"/>
        </w:rPr>
        <w:t>(1)</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Operatng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Calibri" w:cs="Calibri" w:eastAsia="Calibri" w:hAnsi="Calibri"/>
          <w:sz w:val="14"/>
          <w:szCs w:val="14"/>
          <w:b w:val="1"/>
          <w:bCs w:val="1"/>
          <w:color w:val="auto"/>
        </w:rPr>
        <w:t>Dollars in millions</w:t>
      </w:r>
    </w:p>
    <w:p>
      <w:pPr>
        <w:spacing w:after="0" w:line="20"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Efectve tax rate</w:t>
      </w:r>
    </w:p>
    <w:p>
      <w:pPr>
        <w:spacing w:after="0" w:line="16"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Less: Non-GAAP tax adjustments</w:t>
      </w:r>
      <w:r>
        <w:rPr>
          <w:rFonts w:ascii="Calibri" w:cs="Calibri" w:eastAsia="Calibri" w:hAnsi="Calibri"/>
          <w:sz w:val="23"/>
          <w:szCs w:val="23"/>
          <w:color w:val="auto"/>
          <w:vertAlign w:val="superscript"/>
        </w:rPr>
        <w:t>(1)</w:t>
      </w:r>
    </w:p>
    <w:p>
      <w:pPr>
        <w:spacing w:after="0" w:line="2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Operatng tax rate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1240"/>
        <w:spacing w:after="0"/>
        <w:rPr>
          <w:sz w:val="20"/>
          <w:szCs w:val="20"/>
          <w:color w:val="auto"/>
        </w:rPr>
      </w:pPr>
      <w:r>
        <w:rPr>
          <w:rFonts w:ascii="Calibri" w:cs="Calibri" w:eastAsia="Calibri" w:hAnsi="Calibri"/>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03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1160" w:type="dxa"/>
            <w:vAlign w:val="bottom"/>
            <w:gridSpan w:val="2"/>
          </w:tcPr>
          <w:p>
            <w:pPr>
              <w:jc w:val="right"/>
              <w:ind w:right="30"/>
              <w:spacing w:after="0"/>
              <w:rPr>
                <w:sz w:val="20"/>
                <w:szCs w:val="20"/>
                <w:color w:val="auto"/>
              </w:rPr>
            </w:pPr>
            <w:r>
              <w:rPr>
                <w:rFonts w:ascii="Calibri" w:cs="Calibri" w:eastAsia="Calibri" w:hAnsi="Calibri"/>
                <w:sz w:val="14"/>
                <w:szCs w:val="14"/>
                <w:b w:val="1"/>
                <w:bCs w:val="1"/>
                <w:color w:val="auto"/>
              </w:rPr>
              <w:t>2023</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700"/>
              <w:spacing w:after="0"/>
              <w:rPr>
                <w:sz w:val="20"/>
                <w:szCs w:val="20"/>
                <w:color w:val="auto"/>
              </w:rPr>
            </w:pPr>
            <w:r>
              <w:rPr>
                <w:rFonts w:ascii="Calibri" w:cs="Calibri" w:eastAsia="Calibri" w:hAnsi="Calibri"/>
                <w:sz w:val="14"/>
                <w:szCs w:val="14"/>
                <w:b w:val="1"/>
                <w:bCs w:val="1"/>
                <w:color w:val="auto"/>
              </w:rPr>
              <w:t>2022</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63"/>
        </w:trPr>
        <w:tc>
          <w:tcPr>
            <w:tcW w:w="100" w:type="dxa"/>
            <w:vAlign w:val="bottom"/>
          </w:tcPr>
          <w:p>
            <w:pPr>
              <w:spacing w:after="0"/>
              <w:rPr>
                <w:sz w:val="14"/>
                <w:szCs w:val="14"/>
                <w:color w:val="auto"/>
              </w:rPr>
            </w:pPr>
          </w:p>
        </w:tc>
        <w:tc>
          <w:tcPr>
            <w:tcW w:w="1160" w:type="dxa"/>
            <w:vAlign w:val="bottom"/>
            <w:gridSpan w:val="2"/>
          </w:tcPr>
          <w:p>
            <w:pPr>
              <w:jc w:val="center"/>
              <w:ind w:right="290"/>
              <w:spacing w:after="0" w:line="164" w:lineRule="exact"/>
              <w:rPr>
                <w:sz w:val="20"/>
                <w:szCs w:val="20"/>
                <w:color w:val="auto"/>
              </w:rPr>
            </w:pPr>
            <w:r>
              <w:rPr>
                <w:rFonts w:ascii="Calibri" w:cs="Calibri" w:eastAsia="Calibri" w:hAnsi="Calibri"/>
                <w:sz w:val="14"/>
                <w:szCs w:val="14"/>
                <w:b w:val="1"/>
                <w:bCs w:val="1"/>
                <w:color w:val="auto"/>
              </w:rPr>
              <w:t>(Provision) /</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50"/>
              <w:spacing w:after="0" w:line="164" w:lineRule="exact"/>
              <w:rPr>
                <w:sz w:val="20"/>
                <w:szCs w:val="20"/>
                <w:color w:val="auto"/>
              </w:rPr>
            </w:pPr>
            <w:r>
              <w:rPr>
                <w:rFonts w:ascii="Calibri" w:cs="Calibri" w:eastAsia="Calibri" w:hAnsi="Calibri"/>
                <w:sz w:val="14"/>
                <w:szCs w:val="14"/>
                <w:b w:val="1"/>
                <w:bCs w:val="1"/>
                <w:color w:val="auto"/>
              </w:rPr>
              <w:t>(Provision) /</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100" w:type="dxa"/>
            <w:vAlign w:val="bottom"/>
          </w:tcPr>
          <w:p>
            <w:pPr>
              <w:spacing w:after="0"/>
              <w:rPr>
                <w:sz w:val="15"/>
                <w:szCs w:val="15"/>
                <w:color w:val="auto"/>
              </w:rPr>
            </w:pPr>
          </w:p>
        </w:tc>
        <w:tc>
          <w:tcPr>
            <w:tcW w:w="1160" w:type="dxa"/>
            <w:vAlign w:val="bottom"/>
            <w:gridSpan w:val="2"/>
          </w:tcPr>
          <w:p>
            <w:pPr>
              <w:jc w:val="center"/>
              <w:ind w:right="270"/>
              <w:spacing w:after="0"/>
              <w:rPr>
                <w:sz w:val="20"/>
                <w:szCs w:val="20"/>
                <w:color w:val="auto"/>
              </w:rPr>
            </w:pPr>
            <w:r>
              <w:rPr>
                <w:rFonts w:ascii="Calibri" w:cs="Calibri" w:eastAsia="Calibri" w:hAnsi="Calibri"/>
                <w:sz w:val="14"/>
                <w:szCs w:val="14"/>
                <w:b w:val="1"/>
                <w:bCs w:val="1"/>
                <w:color w:val="auto"/>
              </w:rPr>
              <w:t>Beneft for</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30"/>
              <w:spacing w:after="0"/>
              <w:rPr>
                <w:sz w:val="20"/>
                <w:szCs w:val="20"/>
                <w:color w:val="auto"/>
              </w:rPr>
            </w:pPr>
            <w:r>
              <w:rPr>
                <w:rFonts w:ascii="Calibri" w:cs="Calibri" w:eastAsia="Calibri" w:hAnsi="Calibri"/>
                <w:sz w:val="14"/>
                <w:szCs w:val="14"/>
                <w:b w:val="1"/>
                <w:bCs w:val="1"/>
                <w:color w:val="auto"/>
              </w:rPr>
              <w:t>Beneft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1160" w:type="dxa"/>
            <w:vAlign w:val="bottom"/>
            <w:gridSpan w:val="2"/>
          </w:tcPr>
          <w:p>
            <w:pPr>
              <w:jc w:val="center"/>
              <w:ind w:right="250"/>
              <w:spacing w:after="0"/>
              <w:rPr>
                <w:sz w:val="20"/>
                <w:szCs w:val="20"/>
                <w:color w:val="auto"/>
              </w:rPr>
            </w:pPr>
            <w:r>
              <w:rPr>
                <w:rFonts w:ascii="Calibri" w:cs="Calibri" w:eastAsia="Calibri" w:hAnsi="Calibri"/>
                <w:sz w:val="14"/>
                <w:szCs w:val="14"/>
                <w:b w:val="1"/>
                <w:bCs w:val="1"/>
                <w:color w:val="auto"/>
                <w:w w:val="98"/>
              </w:rPr>
              <w:t>Income Taxes</w:t>
            </w:r>
          </w:p>
        </w:tc>
        <w:tc>
          <w:tcPr>
            <w:tcW w:w="1060" w:type="dxa"/>
            <w:vAlign w:val="bottom"/>
            <w:gridSpan w:val="3"/>
          </w:tcPr>
          <w:p>
            <w:pPr>
              <w:jc w:val="right"/>
              <w:ind w:right="470"/>
              <w:spacing w:after="0"/>
              <w:rPr>
                <w:sz w:val="20"/>
                <w:szCs w:val="20"/>
                <w:color w:val="auto"/>
              </w:rPr>
            </w:pPr>
            <w:r>
              <w:rPr>
                <w:rFonts w:ascii="Calibri" w:cs="Calibri" w:eastAsia="Calibri" w:hAnsi="Calibri"/>
                <w:sz w:val="14"/>
                <w:szCs w:val="14"/>
                <w:b w:val="1"/>
                <w:bCs w:val="1"/>
                <w:color w:val="auto"/>
              </w:rPr>
              <w:t>Rate</w:t>
            </w:r>
          </w:p>
        </w:tc>
        <w:tc>
          <w:tcPr>
            <w:tcW w:w="1120" w:type="dxa"/>
            <w:vAlign w:val="bottom"/>
            <w:gridSpan w:val="2"/>
          </w:tcPr>
          <w:p>
            <w:pPr>
              <w:jc w:val="center"/>
              <w:ind w:right="190"/>
              <w:spacing w:after="0"/>
              <w:rPr>
                <w:sz w:val="20"/>
                <w:szCs w:val="20"/>
                <w:color w:val="auto"/>
              </w:rPr>
            </w:pPr>
            <w:r>
              <w:rPr>
                <w:rFonts w:ascii="Calibri" w:cs="Calibri" w:eastAsia="Calibri" w:hAnsi="Calibri"/>
                <w:sz w:val="14"/>
                <w:szCs w:val="14"/>
                <w:b w:val="1"/>
                <w:bCs w:val="1"/>
                <w:color w:val="auto"/>
              </w:rPr>
              <w:t>Income Taxes</w:t>
            </w:r>
          </w:p>
        </w:tc>
        <w:tc>
          <w:tcPr>
            <w:tcW w:w="1040" w:type="dxa"/>
            <w:vAlign w:val="bottom"/>
            <w:gridSpan w:val="2"/>
          </w:tcPr>
          <w:p>
            <w:pPr>
              <w:jc w:val="right"/>
              <w:ind w:right="370"/>
              <w:spacing w:after="0"/>
              <w:rPr>
                <w:sz w:val="20"/>
                <w:szCs w:val="20"/>
                <w:color w:val="auto"/>
              </w:rPr>
            </w:pPr>
            <w:r>
              <w:rPr>
                <w:rFonts w:ascii="Calibri" w:cs="Calibri" w:eastAsia="Calibri" w:hAnsi="Calibri"/>
                <w:sz w:val="14"/>
                <w:szCs w:val="14"/>
                <w:b w:val="1"/>
                <w:bCs w:val="1"/>
                <w:color w:val="auto"/>
              </w:rPr>
              <w:t>Rate</w:t>
            </w:r>
          </w:p>
        </w:tc>
      </w:tr>
      <w:tr>
        <w:trPr>
          <w:trHeight w:val="33"/>
        </w:trPr>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402"/>
        </w:trPr>
        <w:tc>
          <w:tcPr>
            <w:tcW w:w="10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160" w:type="dxa"/>
            <w:vAlign w:val="bottom"/>
            <w:gridSpan w:val="2"/>
          </w:tcPr>
          <w:p>
            <w:pPr>
              <w:jc w:val="right"/>
              <w:ind w:right="70"/>
              <w:spacing w:after="0"/>
              <w:rPr>
                <w:sz w:val="20"/>
                <w:szCs w:val="20"/>
                <w:color w:val="auto"/>
              </w:rPr>
            </w:pPr>
            <w:r>
              <w:rPr>
                <w:rFonts w:ascii="Calibri" w:cs="Calibri" w:eastAsia="Calibri" w:hAnsi="Calibri"/>
                <w:sz w:val="18"/>
                <w:szCs w:val="18"/>
                <w:color w:val="auto"/>
              </w:rPr>
              <w:t>(29 )</w:t>
            </w:r>
          </w:p>
        </w:tc>
        <w:tc>
          <w:tcPr>
            <w:tcW w:w="1060" w:type="dxa"/>
            <w:vAlign w:val="bottom"/>
            <w:gridSpan w:val="3"/>
          </w:tcPr>
          <w:p>
            <w:pPr>
              <w:jc w:val="right"/>
              <w:spacing w:after="0"/>
              <w:rPr>
                <w:sz w:val="20"/>
                <w:szCs w:val="20"/>
                <w:color w:val="auto"/>
              </w:rPr>
            </w:pPr>
            <w:r>
              <w:rPr>
                <w:rFonts w:ascii="Calibri" w:cs="Calibri" w:eastAsia="Calibri" w:hAnsi="Calibri"/>
                <w:sz w:val="18"/>
                <w:szCs w:val="18"/>
                <w:color w:val="auto"/>
              </w:rPr>
              <w:t>26 % $</w:t>
            </w:r>
          </w:p>
        </w:tc>
        <w:tc>
          <w:tcPr>
            <w:tcW w:w="1120" w:type="dxa"/>
            <w:vAlign w:val="bottom"/>
            <w:gridSpan w:val="2"/>
          </w:tcPr>
          <w:p>
            <w:pPr>
              <w:jc w:val="right"/>
              <w:ind w:right="30"/>
              <w:spacing w:after="0"/>
              <w:rPr>
                <w:sz w:val="20"/>
                <w:szCs w:val="20"/>
                <w:color w:val="auto"/>
              </w:rPr>
            </w:pPr>
            <w:r>
              <w:rPr>
                <w:rFonts w:ascii="Calibri" w:cs="Calibri" w:eastAsia="Calibri" w:hAnsi="Calibri"/>
                <w:sz w:val="18"/>
                <w:szCs w:val="18"/>
                <w:color w:val="auto"/>
              </w:rPr>
              <w:t>(36 )</w:t>
            </w:r>
          </w:p>
        </w:tc>
        <w:tc>
          <w:tcPr>
            <w:tcW w:w="1040" w:type="dxa"/>
            <w:vAlign w:val="bottom"/>
            <w:gridSpan w:val="2"/>
          </w:tcPr>
          <w:p>
            <w:pPr>
              <w:jc w:val="right"/>
              <w:spacing w:after="0"/>
              <w:rPr>
                <w:sz w:val="20"/>
                <w:szCs w:val="20"/>
                <w:color w:val="auto"/>
              </w:rPr>
            </w:pPr>
            <w:r>
              <w:rPr>
                <w:rFonts w:ascii="Calibri" w:cs="Calibri" w:eastAsia="Calibri" w:hAnsi="Calibri"/>
                <w:sz w:val="18"/>
                <w:szCs w:val="18"/>
                <w:color w:val="auto"/>
              </w:rPr>
              <w:t>24 %</w:t>
            </w:r>
          </w:p>
        </w:tc>
      </w:tr>
      <w:tr>
        <w:trPr>
          <w:trHeight w:val="243"/>
        </w:trPr>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7"/>
        </w:trPr>
        <w:tc>
          <w:tcPr>
            <w:tcW w:w="1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060" w:type="dxa"/>
            <w:vAlign w:val="bottom"/>
            <w:gridSpan w:val="3"/>
          </w:tcPr>
          <w:p>
            <w:pPr>
              <w:spacing w:after="0"/>
              <w:rPr>
                <w:sz w:val="3"/>
                <w:szCs w:val="3"/>
                <w:color w:val="auto"/>
              </w:rPr>
            </w:pPr>
          </w:p>
        </w:tc>
        <w:tc>
          <w:tcPr>
            <w:tcW w:w="112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r>
      <w:tr>
        <w:trPr>
          <w:trHeight w:val="208"/>
        </w:trPr>
        <w:tc>
          <w:tcPr>
            <w:tcW w:w="1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(29</w:t>
            </w:r>
          </w:p>
        </w:tc>
        <w:tc>
          <w:tcPr>
            <w:tcW w:w="220" w:type="dxa"/>
            <w:vAlign w:val="bottom"/>
          </w:tcPr>
          <w:p>
            <w:pPr>
              <w:jc w:val="right"/>
              <w:ind w:right="70"/>
              <w:spacing w:after="0" w:line="199" w:lineRule="exact"/>
              <w:rPr>
                <w:sz w:val="20"/>
                <w:szCs w:val="20"/>
                <w:color w:val="auto"/>
              </w:rPr>
            </w:pPr>
            <w:r>
              <w:rPr>
                <w:rFonts w:ascii="Calibri" w:cs="Calibri" w:eastAsia="Calibri" w:hAnsi="Calibri"/>
                <w:sz w:val="18"/>
                <w:szCs w:val="18"/>
                <w:color w:val="auto"/>
                <w:w w:val="72"/>
              </w:rPr>
              <w:t>)</w:t>
            </w: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w:t>
            </w:r>
          </w:p>
        </w:tc>
        <w:tc>
          <w:tcPr>
            <w:tcW w:w="220" w:type="dxa"/>
            <w:vAlign w:val="bottom"/>
          </w:tcPr>
          <w:p>
            <w:pPr>
              <w:jc w:val="right"/>
              <w:spacing w:after="0" w:line="199" w:lineRule="exact"/>
              <w:rPr>
                <w:sz w:val="20"/>
                <w:szCs w:val="20"/>
                <w:color w:val="auto"/>
              </w:rPr>
            </w:pPr>
            <w:r>
              <w:rPr>
                <w:rFonts w:ascii="Calibri" w:cs="Calibri" w:eastAsia="Calibri" w:hAnsi="Calibri"/>
                <w:sz w:val="18"/>
                <w:szCs w:val="18"/>
                <w:color w:val="auto"/>
                <w:w w:val="92"/>
              </w:rPr>
              <w:t>%</w:t>
            </w:r>
          </w:p>
        </w:tc>
        <w:tc>
          <w:tcPr>
            <w:tcW w:w="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(38</w:t>
            </w:r>
          </w:p>
        </w:tc>
        <w:tc>
          <w:tcPr>
            <w:tcW w:w="180" w:type="dxa"/>
            <w:vAlign w:val="bottom"/>
          </w:tcPr>
          <w:p>
            <w:pPr>
              <w:jc w:val="center"/>
              <w:ind w:right="30"/>
              <w:spacing w:after="0" w:line="199"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27</w:t>
            </w:r>
          </w:p>
        </w:tc>
        <w:tc>
          <w:tcPr>
            <w:tcW w:w="140" w:type="dxa"/>
            <w:vAlign w:val="bottom"/>
          </w:tcPr>
          <w:p>
            <w:pPr>
              <w:jc w:val="right"/>
              <w:spacing w:after="0" w:line="199" w:lineRule="exact"/>
              <w:rPr>
                <w:sz w:val="20"/>
                <w:szCs w:val="20"/>
                <w:color w:val="auto"/>
              </w:rPr>
            </w:pPr>
            <w:r>
              <w:rPr>
                <w:rFonts w:ascii="Calibri" w:cs="Calibri" w:eastAsia="Calibri" w:hAnsi="Calibri"/>
                <w:sz w:val="18"/>
                <w:szCs w:val="18"/>
                <w:color w:val="auto"/>
                <w:w w:val="92"/>
              </w:rPr>
              <w:t>%</w:t>
            </w:r>
          </w:p>
        </w:tc>
      </w:tr>
      <w:tr>
        <w:trPr>
          <w:trHeight w:val="28"/>
        </w:trPr>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3"/>
        </w:trPr>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right"/>
              <w:ind w:right="350"/>
              <w:spacing w:after="0"/>
              <w:rPr>
                <w:sz w:val="20"/>
                <w:szCs w:val="20"/>
                <w:color w:val="auto"/>
              </w:rPr>
            </w:pPr>
            <w:r>
              <w:rPr>
                <w:rFonts w:ascii="Calibri" w:cs="Calibri" w:eastAsia="Calibri" w:hAnsi="Calibri"/>
                <w:sz w:val="14"/>
                <w:szCs w:val="14"/>
                <w:b w:val="1"/>
                <w:bCs w:val="1"/>
                <w:color w:val="auto"/>
              </w:rPr>
              <w:t>Six Months Ended March 31</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63"/>
        </w:trPr>
        <w:tc>
          <w:tcPr>
            <w:tcW w:w="100" w:type="dxa"/>
            <w:vAlign w:val="bottom"/>
          </w:tcPr>
          <w:p>
            <w:pPr>
              <w:spacing w:after="0"/>
              <w:rPr>
                <w:sz w:val="14"/>
                <w:szCs w:val="14"/>
                <w:color w:val="auto"/>
              </w:rPr>
            </w:pPr>
          </w:p>
        </w:tc>
        <w:tc>
          <w:tcPr>
            <w:tcW w:w="1160" w:type="dxa"/>
            <w:vAlign w:val="bottom"/>
            <w:gridSpan w:val="2"/>
          </w:tcPr>
          <w:p>
            <w:pPr>
              <w:jc w:val="right"/>
              <w:ind w:right="30"/>
              <w:spacing w:after="0" w:line="164" w:lineRule="exact"/>
              <w:rPr>
                <w:sz w:val="20"/>
                <w:szCs w:val="20"/>
                <w:color w:val="auto"/>
              </w:rPr>
            </w:pPr>
            <w:r>
              <w:rPr>
                <w:rFonts w:ascii="Calibri" w:cs="Calibri" w:eastAsia="Calibri" w:hAnsi="Calibri"/>
                <w:sz w:val="14"/>
                <w:szCs w:val="14"/>
                <w:b w:val="1"/>
                <w:bCs w:val="1"/>
                <w:color w:val="auto"/>
              </w:rPr>
              <w:t>2023</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700"/>
              <w:spacing w:after="0" w:line="164" w:lineRule="exact"/>
              <w:rPr>
                <w:sz w:val="20"/>
                <w:szCs w:val="20"/>
                <w:color w:val="auto"/>
              </w:rPr>
            </w:pPr>
            <w:r>
              <w:rPr>
                <w:rFonts w:ascii="Calibri" w:cs="Calibri" w:eastAsia="Calibri" w:hAnsi="Calibri"/>
                <w:sz w:val="14"/>
                <w:szCs w:val="14"/>
                <w:b w:val="1"/>
                <w:bCs w:val="1"/>
                <w:color w:val="auto"/>
              </w:rPr>
              <w:t>2022</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63"/>
        </w:trPr>
        <w:tc>
          <w:tcPr>
            <w:tcW w:w="100" w:type="dxa"/>
            <w:vAlign w:val="bottom"/>
          </w:tcPr>
          <w:p>
            <w:pPr>
              <w:spacing w:after="0"/>
              <w:rPr>
                <w:sz w:val="14"/>
                <w:szCs w:val="14"/>
                <w:color w:val="auto"/>
              </w:rPr>
            </w:pPr>
          </w:p>
        </w:tc>
        <w:tc>
          <w:tcPr>
            <w:tcW w:w="1160" w:type="dxa"/>
            <w:vAlign w:val="bottom"/>
            <w:gridSpan w:val="2"/>
          </w:tcPr>
          <w:p>
            <w:pPr>
              <w:jc w:val="center"/>
              <w:ind w:right="290"/>
              <w:spacing w:after="0" w:line="164" w:lineRule="exact"/>
              <w:rPr>
                <w:sz w:val="20"/>
                <w:szCs w:val="20"/>
                <w:color w:val="auto"/>
              </w:rPr>
            </w:pPr>
            <w:r>
              <w:rPr>
                <w:rFonts w:ascii="Calibri" w:cs="Calibri" w:eastAsia="Calibri" w:hAnsi="Calibri"/>
                <w:sz w:val="14"/>
                <w:szCs w:val="14"/>
                <w:b w:val="1"/>
                <w:bCs w:val="1"/>
                <w:color w:val="auto"/>
              </w:rPr>
              <w:t>(Provision) /</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50"/>
              <w:spacing w:after="0" w:line="164" w:lineRule="exact"/>
              <w:rPr>
                <w:sz w:val="20"/>
                <w:szCs w:val="20"/>
                <w:color w:val="auto"/>
              </w:rPr>
            </w:pPr>
            <w:r>
              <w:rPr>
                <w:rFonts w:ascii="Calibri" w:cs="Calibri" w:eastAsia="Calibri" w:hAnsi="Calibri"/>
                <w:sz w:val="14"/>
                <w:szCs w:val="14"/>
                <w:b w:val="1"/>
                <w:bCs w:val="1"/>
                <w:color w:val="auto"/>
              </w:rPr>
              <w:t>(Provision) /</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100" w:type="dxa"/>
            <w:vAlign w:val="bottom"/>
          </w:tcPr>
          <w:p>
            <w:pPr>
              <w:spacing w:after="0"/>
              <w:rPr>
                <w:sz w:val="15"/>
                <w:szCs w:val="15"/>
                <w:color w:val="auto"/>
              </w:rPr>
            </w:pPr>
          </w:p>
        </w:tc>
        <w:tc>
          <w:tcPr>
            <w:tcW w:w="1160" w:type="dxa"/>
            <w:vAlign w:val="bottom"/>
            <w:gridSpan w:val="2"/>
          </w:tcPr>
          <w:p>
            <w:pPr>
              <w:jc w:val="center"/>
              <w:ind w:right="270"/>
              <w:spacing w:after="0"/>
              <w:rPr>
                <w:sz w:val="20"/>
                <w:szCs w:val="20"/>
                <w:color w:val="auto"/>
              </w:rPr>
            </w:pPr>
            <w:r>
              <w:rPr>
                <w:rFonts w:ascii="Calibri" w:cs="Calibri" w:eastAsia="Calibri" w:hAnsi="Calibri"/>
                <w:sz w:val="14"/>
                <w:szCs w:val="14"/>
                <w:b w:val="1"/>
                <w:bCs w:val="1"/>
                <w:color w:val="auto"/>
              </w:rPr>
              <w:t>Beneft for</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30"/>
              <w:spacing w:after="0"/>
              <w:rPr>
                <w:sz w:val="20"/>
                <w:szCs w:val="20"/>
                <w:color w:val="auto"/>
              </w:rPr>
            </w:pPr>
            <w:r>
              <w:rPr>
                <w:rFonts w:ascii="Calibri" w:cs="Calibri" w:eastAsia="Calibri" w:hAnsi="Calibri"/>
                <w:sz w:val="14"/>
                <w:szCs w:val="14"/>
                <w:b w:val="1"/>
                <w:bCs w:val="1"/>
                <w:color w:val="auto"/>
              </w:rPr>
              <w:t>Beneft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1160" w:type="dxa"/>
            <w:vAlign w:val="bottom"/>
            <w:gridSpan w:val="2"/>
          </w:tcPr>
          <w:p>
            <w:pPr>
              <w:jc w:val="center"/>
              <w:ind w:right="250"/>
              <w:spacing w:after="0"/>
              <w:rPr>
                <w:sz w:val="20"/>
                <w:szCs w:val="20"/>
                <w:color w:val="auto"/>
              </w:rPr>
            </w:pPr>
            <w:r>
              <w:rPr>
                <w:rFonts w:ascii="Calibri" w:cs="Calibri" w:eastAsia="Calibri" w:hAnsi="Calibri"/>
                <w:sz w:val="14"/>
                <w:szCs w:val="14"/>
                <w:b w:val="1"/>
                <w:bCs w:val="1"/>
                <w:color w:val="auto"/>
                <w:w w:val="98"/>
              </w:rPr>
              <w:t>Income Taxes</w:t>
            </w:r>
          </w:p>
        </w:tc>
        <w:tc>
          <w:tcPr>
            <w:tcW w:w="1060" w:type="dxa"/>
            <w:vAlign w:val="bottom"/>
            <w:gridSpan w:val="3"/>
          </w:tcPr>
          <w:p>
            <w:pPr>
              <w:jc w:val="right"/>
              <w:ind w:right="470"/>
              <w:spacing w:after="0"/>
              <w:rPr>
                <w:sz w:val="20"/>
                <w:szCs w:val="20"/>
                <w:color w:val="auto"/>
              </w:rPr>
            </w:pPr>
            <w:r>
              <w:rPr>
                <w:rFonts w:ascii="Calibri" w:cs="Calibri" w:eastAsia="Calibri" w:hAnsi="Calibri"/>
                <w:sz w:val="14"/>
                <w:szCs w:val="14"/>
                <w:b w:val="1"/>
                <w:bCs w:val="1"/>
                <w:color w:val="auto"/>
              </w:rPr>
              <w:t>Rate</w:t>
            </w:r>
          </w:p>
        </w:tc>
        <w:tc>
          <w:tcPr>
            <w:tcW w:w="1120" w:type="dxa"/>
            <w:vAlign w:val="bottom"/>
            <w:gridSpan w:val="2"/>
          </w:tcPr>
          <w:p>
            <w:pPr>
              <w:jc w:val="center"/>
              <w:ind w:right="190"/>
              <w:spacing w:after="0"/>
              <w:rPr>
                <w:sz w:val="20"/>
                <w:szCs w:val="20"/>
                <w:color w:val="auto"/>
              </w:rPr>
            </w:pPr>
            <w:r>
              <w:rPr>
                <w:rFonts w:ascii="Calibri" w:cs="Calibri" w:eastAsia="Calibri" w:hAnsi="Calibri"/>
                <w:sz w:val="14"/>
                <w:szCs w:val="14"/>
                <w:b w:val="1"/>
                <w:bCs w:val="1"/>
                <w:color w:val="auto"/>
              </w:rPr>
              <w:t>Income Taxes</w:t>
            </w:r>
          </w:p>
        </w:tc>
        <w:tc>
          <w:tcPr>
            <w:tcW w:w="1040" w:type="dxa"/>
            <w:vAlign w:val="bottom"/>
            <w:gridSpan w:val="2"/>
          </w:tcPr>
          <w:p>
            <w:pPr>
              <w:jc w:val="right"/>
              <w:ind w:right="370"/>
              <w:spacing w:after="0"/>
              <w:rPr>
                <w:sz w:val="20"/>
                <w:szCs w:val="20"/>
                <w:color w:val="auto"/>
              </w:rPr>
            </w:pPr>
            <w:r>
              <w:rPr>
                <w:rFonts w:ascii="Calibri" w:cs="Calibri" w:eastAsia="Calibri" w:hAnsi="Calibri"/>
                <w:sz w:val="14"/>
                <w:szCs w:val="14"/>
                <w:b w:val="1"/>
                <w:bCs w:val="1"/>
                <w:color w:val="auto"/>
              </w:rPr>
              <w:t>Rate</w:t>
            </w:r>
          </w:p>
        </w:tc>
      </w:tr>
      <w:tr>
        <w:trPr>
          <w:trHeight w:val="33"/>
        </w:trPr>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402"/>
        </w:trPr>
        <w:tc>
          <w:tcPr>
            <w:tcW w:w="10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160" w:type="dxa"/>
            <w:vAlign w:val="bottom"/>
            <w:gridSpan w:val="2"/>
          </w:tcPr>
          <w:p>
            <w:pPr>
              <w:jc w:val="right"/>
              <w:ind w:right="70"/>
              <w:spacing w:after="0"/>
              <w:rPr>
                <w:sz w:val="20"/>
                <w:szCs w:val="20"/>
                <w:color w:val="auto"/>
              </w:rPr>
            </w:pPr>
            <w:r>
              <w:rPr>
                <w:rFonts w:ascii="Calibri" w:cs="Calibri" w:eastAsia="Calibri" w:hAnsi="Calibri"/>
                <w:sz w:val="18"/>
                <w:szCs w:val="18"/>
                <w:color w:val="auto"/>
              </w:rPr>
              <w:t>(49 )</w:t>
            </w:r>
          </w:p>
        </w:tc>
        <w:tc>
          <w:tcPr>
            <w:tcW w:w="1060" w:type="dxa"/>
            <w:vAlign w:val="bottom"/>
            <w:gridSpan w:val="3"/>
          </w:tcPr>
          <w:p>
            <w:pPr>
              <w:jc w:val="right"/>
              <w:spacing w:after="0"/>
              <w:rPr>
                <w:sz w:val="20"/>
                <w:szCs w:val="20"/>
                <w:color w:val="auto"/>
              </w:rPr>
            </w:pPr>
            <w:r>
              <w:rPr>
                <w:rFonts w:ascii="Calibri" w:cs="Calibri" w:eastAsia="Calibri" w:hAnsi="Calibri"/>
                <w:sz w:val="18"/>
                <w:szCs w:val="18"/>
                <w:color w:val="auto"/>
              </w:rPr>
              <w:t>25 % $</w:t>
            </w:r>
          </w:p>
        </w:tc>
        <w:tc>
          <w:tcPr>
            <w:tcW w:w="1120" w:type="dxa"/>
            <w:vAlign w:val="bottom"/>
            <w:gridSpan w:val="2"/>
          </w:tcPr>
          <w:p>
            <w:pPr>
              <w:jc w:val="right"/>
              <w:ind w:right="30"/>
              <w:spacing w:after="0"/>
              <w:rPr>
                <w:sz w:val="20"/>
                <w:szCs w:val="20"/>
                <w:color w:val="auto"/>
              </w:rPr>
            </w:pPr>
            <w:r>
              <w:rPr>
                <w:rFonts w:ascii="Calibri" w:cs="Calibri" w:eastAsia="Calibri" w:hAnsi="Calibri"/>
                <w:sz w:val="18"/>
                <w:szCs w:val="18"/>
                <w:color w:val="auto"/>
              </w:rPr>
              <w:t>(24 )</w:t>
            </w:r>
          </w:p>
        </w:tc>
        <w:tc>
          <w:tcPr>
            <w:tcW w:w="1040" w:type="dxa"/>
            <w:vAlign w:val="bottom"/>
            <w:gridSpan w:val="2"/>
          </w:tcPr>
          <w:p>
            <w:pPr>
              <w:jc w:val="right"/>
              <w:spacing w:after="0"/>
              <w:rPr>
                <w:sz w:val="20"/>
                <w:szCs w:val="20"/>
                <w:color w:val="auto"/>
              </w:rPr>
            </w:pPr>
            <w:r>
              <w:rPr>
                <w:rFonts w:ascii="Calibri" w:cs="Calibri" w:eastAsia="Calibri" w:hAnsi="Calibri"/>
                <w:sz w:val="18"/>
                <w:szCs w:val="18"/>
                <w:color w:val="auto"/>
              </w:rPr>
              <w:t>44 %</w:t>
            </w:r>
          </w:p>
        </w:tc>
      </w:tr>
      <w:tr>
        <w:trPr>
          <w:trHeight w:val="243"/>
        </w:trPr>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44</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7"/>
        </w:trPr>
        <w:tc>
          <w:tcPr>
            <w:tcW w:w="1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060" w:type="dxa"/>
            <w:vAlign w:val="bottom"/>
            <w:gridSpan w:val="3"/>
          </w:tcPr>
          <w:p>
            <w:pPr>
              <w:spacing w:after="0"/>
              <w:rPr>
                <w:sz w:val="3"/>
                <w:szCs w:val="3"/>
                <w:color w:val="auto"/>
              </w:rPr>
            </w:pPr>
          </w:p>
        </w:tc>
        <w:tc>
          <w:tcPr>
            <w:tcW w:w="112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r>
      <w:tr>
        <w:trPr>
          <w:trHeight w:val="208"/>
        </w:trPr>
        <w:tc>
          <w:tcPr>
            <w:tcW w:w="1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(50</w:t>
            </w:r>
          </w:p>
        </w:tc>
        <w:tc>
          <w:tcPr>
            <w:tcW w:w="220" w:type="dxa"/>
            <w:vAlign w:val="bottom"/>
          </w:tcPr>
          <w:p>
            <w:pPr>
              <w:jc w:val="right"/>
              <w:ind w:right="70"/>
              <w:spacing w:after="0" w:line="199" w:lineRule="exact"/>
              <w:rPr>
                <w:sz w:val="20"/>
                <w:szCs w:val="20"/>
                <w:color w:val="auto"/>
              </w:rPr>
            </w:pPr>
            <w:r>
              <w:rPr>
                <w:rFonts w:ascii="Calibri" w:cs="Calibri" w:eastAsia="Calibri" w:hAnsi="Calibri"/>
                <w:sz w:val="18"/>
                <w:szCs w:val="18"/>
                <w:color w:val="auto"/>
                <w:w w:val="72"/>
              </w:rPr>
              <w:t>)</w:t>
            </w: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w:t>
            </w:r>
          </w:p>
        </w:tc>
        <w:tc>
          <w:tcPr>
            <w:tcW w:w="220" w:type="dxa"/>
            <w:vAlign w:val="bottom"/>
          </w:tcPr>
          <w:p>
            <w:pPr>
              <w:jc w:val="right"/>
              <w:spacing w:after="0" w:line="199" w:lineRule="exact"/>
              <w:rPr>
                <w:sz w:val="20"/>
                <w:szCs w:val="20"/>
                <w:color w:val="auto"/>
              </w:rPr>
            </w:pPr>
            <w:r>
              <w:rPr>
                <w:rFonts w:ascii="Calibri" w:cs="Calibri" w:eastAsia="Calibri" w:hAnsi="Calibri"/>
                <w:sz w:val="18"/>
                <w:szCs w:val="18"/>
                <w:color w:val="auto"/>
                <w:w w:val="92"/>
              </w:rPr>
              <w:t>%</w:t>
            </w:r>
          </w:p>
        </w:tc>
        <w:tc>
          <w:tcPr>
            <w:tcW w:w="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(68</w:t>
            </w:r>
          </w:p>
        </w:tc>
        <w:tc>
          <w:tcPr>
            <w:tcW w:w="180" w:type="dxa"/>
            <w:vAlign w:val="bottom"/>
          </w:tcPr>
          <w:p>
            <w:pPr>
              <w:jc w:val="center"/>
              <w:ind w:right="30"/>
              <w:spacing w:after="0" w:line="199"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27</w:t>
            </w:r>
          </w:p>
        </w:tc>
        <w:tc>
          <w:tcPr>
            <w:tcW w:w="140" w:type="dxa"/>
            <w:vAlign w:val="bottom"/>
          </w:tcPr>
          <w:p>
            <w:pPr>
              <w:jc w:val="right"/>
              <w:spacing w:after="0" w:line="199" w:lineRule="exact"/>
              <w:rPr>
                <w:sz w:val="20"/>
                <w:szCs w:val="20"/>
                <w:color w:val="auto"/>
              </w:rPr>
            </w:pPr>
            <w:r>
              <w:rPr>
                <w:rFonts w:ascii="Calibri" w:cs="Calibri" w:eastAsia="Calibri" w:hAnsi="Calibri"/>
                <w:sz w:val="18"/>
                <w:szCs w:val="18"/>
                <w:color w:val="auto"/>
                <w:w w:val="92"/>
              </w:rPr>
              <w:t>%</w:t>
            </w:r>
          </w:p>
        </w:tc>
      </w:tr>
      <w:tr>
        <w:trPr>
          <w:trHeight w:val="28"/>
        </w:trPr>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-1911350</wp:posOffset>
            </wp:positionV>
            <wp:extent cx="570039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-1593850</wp:posOffset>
            </wp:positionV>
            <wp:extent cx="5700395" cy="12515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00395" cy="125158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-179070</wp:posOffset>
            </wp:positionV>
            <wp:extent cx="5700395"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980" w:space="720"/>
            <w:col w:w="5520"/>
          </w:cols>
          <w:pgMar w:left="320" w:top="333" w:right="359" w:bottom="1440" w:gutter="0" w:footer="0" w:header="0"/>
          <w:type w:val="continuous"/>
        </w:sectPr>
      </w:pPr>
    </w:p>
    <w:p>
      <w:pPr>
        <w:ind w:left="520" w:right="40" w:hanging="512"/>
        <w:spacing w:after="0" w:line="211" w:lineRule="auto"/>
        <w:tabs>
          <w:tab w:leader="none" w:pos="520" w:val="left"/>
        </w:tabs>
        <w:numPr>
          <w:ilvl w:val="0"/>
          <w:numId w:val="9"/>
        </w:numPr>
        <w:rPr>
          <w:rFonts w:ascii="Calibri" w:cs="Calibri" w:eastAsia="Calibri" w:hAnsi="Calibri"/>
          <w:sz w:val="24"/>
          <w:szCs w:val="24"/>
          <w:color w:val="auto"/>
          <w:vertAlign w:val="superscript"/>
        </w:rPr>
      </w:pPr>
      <w:r>
        <w:rPr>
          <w:rFonts w:ascii="Calibri" w:cs="Calibri" w:eastAsia="Calibri" w:hAnsi="Calibri"/>
          <w:sz w:val="18"/>
          <w:szCs w:val="18"/>
          <w:color w:val="auto"/>
        </w:rPr>
        <w:t>Non-GAAP tax adjustments made to arrive at the operatng tax provision include the income tax (expense) beneft on certain items, discrete tax items, and, on a quarterly basis, the tming of losses in certain jurisdictons, as further described above under the heading “Defniton of Terms and Non-GAAP Financial Measures”.</w:t>
      </w:r>
    </w:p>
    <w:p>
      <w:pPr>
        <w:spacing w:after="0" w:line="85"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For the three months ended March 31, 2023, the (Provision) beneft for income taxes was a provision of $29 million compared to $36 million for the same period in 2022. For the six months ended March 31, 2023, the (Provision) beneft for income taxes was a provision of $49 million compared to $24 million for the same period in 2022. Included in the (Provision) beneft for income taxes in the six months ended March 31, 2022 is a discrete tax beneft of $36 million primarily related to the divestture of the Purifcaton Solutons business. Our income taxes are afected by the mix of earnings in the tax jurisdictons in which we operate, and by the presence of valuaton allowances in certain tax jurisdictons.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fscal 2023, the Operatng tax rate is expected to be in the range of 24% to 26%. We are not providing a forward-looking reconciliaton of the operatng tax rate range with an efectve tax rate range because, without unreasonable efort, we are unable to predict with reasonable certainty the maters we would allocate to “certain items,” including unusual gains and losses, costs associated with future restructurings, acquisiton-related expenses and litgaton outcomes. These items are uncertain, depend on various factors, and could have a material impact on the efectve tax rate in future periods.</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regularly evaluate the realizability of our net deferred tax assets. As of March 31, 2023, substantally all our U.S. deferred tax assets, net of deferred tax liabilites, were subject to valuaton allowances. There is a reasonable possibility that within the next twelve months, sufcient positve evidence may become available to reach a conclusion that all or a signifcant porton of the valuaton allowances will no longer be required. Such a release would result in a material non-cash income tax beneft in our Consolidated Statement of Operatons in the period of release and an increase of net deferred tax assets on our Consolidated Balance Sheet.</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Income (Loss) Atributable to Noncontrolling Interests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12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256"/>
              <w:spacing w:after="0"/>
              <w:rPr>
                <w:sz w:val="20"/>
                <w:szCs w:val="20"/>
                <w:color w:val="auto"/>
              </w:rPr>
            </w:pPr>
            <w:r>
              <w:rPr>
                <w:rFonts w:ascii="Calibri" w:cs="Calibri" w:eastAsia="Calibri" w:hAnsi="Calibri"/>
                <w:sz w:val="14"/>
                <w:szCs w:val="14"/>
                <w:b w:val="1"/>
                <w:bCs w:val="1"/>
                <w:color w:val="auto"/>
              </w:rPr>
              <w:t>Six Months Ended March 31</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820" w:type="dxa"/>
            <w:vAlign w:val="bottom"/>
          </w:tcPr>
          <w:p>
            <w:pPr>
              <w:jc w:val="right"/>
              <w:ind w:right="59"/>
              <w:spacing w:after="0" w:line="164" w:lineRule="exact"/>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4"/>
                <w:szCs w:val="14"/>
                <w:color w:val="auto"/>
              </w:rPr>
            </w:pPr>
          </w:p>
        </w:tc>
        <w:tc>
          <w:tcPr>
            <w:tcW w:w="1040" w:type="dxa"/>
            <w:vAlign w:val="bottom"/>
            <w:gridSpan w:val="2"/>
          </w:tcPr>
          <w:p>
            <w:pPr>
              <w:jc w:val="right"/>
              <w:ind w:right="120"/>
              <w:spacing w:after="0" w:line="164" w:lineRule="exact"/>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jc w:val="right"/>
              <w:ind w:right="36"/>
              <w:spacing w:after="0" w:line="164" w:lineRule="exact"/>
              <w:rPr>
                <w:sz w:val="20"/>
                <w:szCs w:val="20"/>
                <w:color w:val="auto"/>
              </w:rPr>
            </w:pPr>
            <w:r>
              <w:rPr>
                <w:rFonts w:ascii="Calibri" w:cs="Calibri" w:eastAsia="Calibri" w:hAnsi="Calibri"/>
                <w:sz w:val="14"/>
                <w:szCs w:val="14"/>
                <w:b w:val="1"/>
                <w:bCs w:val="1"/>
                <w:color w:val="auto"/>
                <w:w w:val="89"/>
              </w:rPr>
              <w:t>(In</w:t>
            </w:r>
          </w:p>
        </w:tc>
        <w:tc>
          <w:tcPr>
            <w:tcW w:w="48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7"/>
        </w:trPr>
        <w:tc>
          <w:tcPr>
            <w:tcW w:w="394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Equity in earnings of afliated companies,</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2"/>
        </w:trPr>
        <w:tc>
          <w:tcPr>
            <w:tcW w:w="39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of tax</w:t>
            </w:r>
          </w:p>
        </w:tc>
        <w:tc>
          <w:tcPr>
            <w:tcW w:w="820" w:type="dxa"/>
            <w:vAlign w:val="bottom"/>
            <w:tcBorders>
              <w:bottom w:val="single" w:sz="8" w:color="CFF0FC"/>
            </w:tcBorders>
            <w:shd w:val="clear" w:color="auto" w:fill="CFF0FC"/>
          </w:tcPr>
          <w:p>
            <w:pPr>
              <w:jc w:val="right"/>
              <w:ind w:right="639"/>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40" w:type="dxa"/>
            <w:vAlign w:val="bottom"/>
            <w:tcBorders>
              <w:bottom w:val="single" w:sz="8" w:color="CFF0FC"/>
            </w:tcBorders>
            <w:gridSpan w:val="2"/>
            <w:shd w:val="clear" w:color="auto" w:fill="CFF0FC"/>
          </w:tcPr>
          <w:p>
            <w:pPr>
              <w:jc w:val="right"/>
              <w:ind w:right="70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4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7"/>
        </w:trPr>
        <w:tc>
          <w:tcPr>
            <w:tcW w:w="3940" w:type="dxa"/>
            <w:vAlign w:val="bottom"/>
          </w:tcPr>
          <w:p>
            <w:pPr>
              <w:spacing w:after="0" w:line="207" w:lineRule="exact"/>
              <w:rPr>
                <w:sz w:val="20"/>
                <w:szCs w:val="20"/>
                <w:color w:val="auto"/>
              </w:rPr>
            </w:pPr>
            <w:r>
              <w:rPr>
                <w:rFonts w:ascii="Calibri" w:cs="Calibri" w:eastAsia="Calibri" w:hAnsi="Calibri"/>
                <w:sz w:val="18"/>
                <w:szCs w:val="18"/>
                <w:color w:val="auto"/>
              </w:rPr>
              <w:t>Net income (loss) atributable to</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3940" w:type="dxa"/>
            <w:vAlign w:val="bottom"/>
          </w:tcPr>
          <w:p>
            <w:pPr>
              <w:ind w:left="1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820" w:type="dxa"/>
            <w:vAlign w:val="bottom"/>
          </w:tcPr>
          <w:p>
            <w:pPr>
              <w:jc w:val="right"/>
              <w:ind w:right="639"/>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40" w:type="dxa"/>
            <w:vAlign w:val="bottom"/>
            <w:gridSpan w:val="2"/>
          </w:tcPr>
          <w:p>
            <w:pPr>
              <w:jc w:val="right"/>
              <w:ind w:right="70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80" w:type="dxa"/>
            <w:vAlign w:val="bottom"/>
          </w:tcPr>
          <w:p>
            <w:pPr>
              <w:spacing w:after="0"/>
              <w:rPr>
                <w:sz w:val="18"/>
                <w:szCs w:val="18"/>
                <w:color w:val="auto"/>
              </w:rPr>
            </w:pPr>
          </w:p>
        </w:tc>
      </w:tr>
    </w:tbl>
    <w:p>
      <w:pPr>
        <w:spacing w:after="0" w:line="204"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Equity in earnings of afliated companies, net of tax, decreased by $2 million and $1 million in the second quarter and the frst six months of fscal 2023, respectvely, compared to the same periods of fscal 2022 primarily due to lower proftability at our equity afliate in India.</w:t>
      </w:r>
    </w:p>
    <w:p>
      <w:pPr>
        <w:spacing w:after="0" w:line="17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24" w:name="page25"/>
    <w:bookmarkEnd w:id="24"/>
    <w:p>
      <w:pPr>
        <w:jc w:val="both"/>
        <w:ind w:right="560" w:firstLine="509"/>
        <w:spacing w:after="0" w:line="235" w:lineRule="auto"/>
        <w:rPr>
          <w:sz w:val="20"/>
          <w:szCs w:val="20"/>
          <w:color w:val="auto"/>
        </w:rPr>
      </w:pPr>
      <w:r>
        <w:rPr>
          <w:rFonts w:ascii="Calibri" w:cs="Calibri" w:eastAsia="Calibri" w:hAnsi="Calibri"/>
          <w:sz w:val="18"/>
          <w:szCs w:val="18"/>
          <w:color w:val="auto"/>
        </w:rPr>
        <w:t>Net income (loss) atributable to noncontrolling interests, net of tax, remained fat in the second quarter and increased by $3 million for the six months ended March 31, 2023, compared to the same periods of fscal 2022. The higher income for the six month period was primarily due to higher proftability of our joint venture in the Czech Republic.</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Income Atributable to Cabot Corporaton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second quarter and frst six months of fscal 2023, we reported Net income (loss) atributable to Cabot Corporaton of $75 million and $129 million, or $1.29 per diluted common share and $2.23 per diluted common share, respectvely. This compares to Net income (loss) atributable to Cabot Corporaton of $107 million and $18 million, or $1.84 per diluted common share and $0.30 per diluted common share, respectvely, in the second quarter and frst six months of fscal 2022. The lower net income in the second quarter of fscal 2023 compared with the same period in fscal 2022 is primarily due to lower volumes and higher fxed costs partally ofset by higher unit margins. The higher net income in the frst six months of fscal 2023 compared with the same period in fscal 2022 is primarily due to an impairment charge associated with the divestture of Purifcaton Solutons in fscal 2022 that did not reoccur in fscal 2023.</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Second quarter of Fiscal 2023 versus Second quarter of Fiscal 2022—By Business Segment</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Income (loss) before income taxes and equity in earnings of afliated companies, certain items, other unallocated items, and Total segment EBIT for the three and six months ended March 31, 2023 and 2022 are set forth in the table below. The details of certain items and other unallocated items are shown below and in Note L of our Notes to the Consolidated Financial Statements.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 March 31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jc w:val="right"/>
              <w:ind w:right="420"/>
              <w:spacing w:after="0"/>
              <w:rPr>
                <w:sz w:val="20"/>
                <w:szCs w:val="20"/>
                <w:color w:val="auto"/>
              </w:rPr>
            </w:pPr>
            <w:r>
              <w:rPr>
                <w:rFonts w:ascii="Calibri" w:cs="Calibri" w:eastAsia="Calibri" w:hAnsi="Calibri"/>
                <w:sz w:val="14"/>
                <w:szCs w:val="14"/>
                <w:b w:val="1"/>
                <w:bCs w:val="1"/>
                <w:color w:val="auto"/>
              </w:rPr>
              <w:t>Six Months Ended March 31</w:t>
            </w:r>
          </w:p>
        </w:tc>
      </w:tr>
      <w:tr>
        <w:trPr>
          <w:trHeight w:val="33"/>
        </w:trPr>
        <w:tc>
          <w:tcPr>
            <w:tcW w:w="3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line="164" w:lineRule="exact"/>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4"/>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jc w:val="right"/>
              <w:ind w:right="34"/>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7"/>
        </w:trPr>
        <w:tc>
          <w:tcPr>
            <w:tcW w:w="394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Income (loss) before income taxes and</w:t>
            </w: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2"/>
        </w:trPr>
        <w:tc>
          <w:tcPr>
            <w:tcW w:w="39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720" w:type="dxa"/>
            <w:vAlign w:val="bottom"/>
            <w:tcBorders>
              <w:bottom w:val="single" w:sz="8" w:color="CFF0FC"/>
            </w:tcBorders>
            <w:shd w:val="clear" w:color="auto" w:fill="CFF0FC"/>
          </w:tcPr>
          <w:p>
            <w:pPr>
              <w:jc w:val="right"/>
              <w:ind w:right="565"/>
              <w:spacing w:after="0"/>
              <w:rPr>
                <w:sz w:val="20"/>
                <w:szCs w:val="20"/>
                <w:color w:val="auto"/>
              </w:rPr>
            </w:pPr>
            <w:r>
              <w:rPr>
                <w:rFonts w:ascii="Calibri" w:cs="Calibri" w:eastAsia="Calibri" w:hAnsi="Calibri"/>
                <w:sz w:val="16"/>
                <w:szCs w:val="16"/>
                <w:color w:val="auto"/>
                <w:w w:val="73"/>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w:t>
            </w: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ind w:right="616"/>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4"/>
              </w:rPr>
              <w:t>147</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15"/>
        </w:trPr>
        <w:tc>
          <w:tcPr>
            <w:tcW w:w="3940" w:type="dxa"/>
            <w:vAlign w:val="bottom"/>
          </w:tcPr>
          <w:p>
            <w:pPr>
              <w:spacing w:after="0" w:line="215" w:lineRule="exact"/>
              <w:rPr>
                <w:sz w:val="20"/>
                <w:szCs w:val="20"/>
                <w:color w:val="auto"/>
              </w:rPr>
            </w:pPr>
            <w:r>
              <w:rPr>
                <w:rFonts w:ascii="Calibri" w:cs="Calibri" w:eastAsia="Calibri" w:hAnsi="Calibri"/>
                <w:sz w:val="18"/>
                <w:szCs w:val="18"/>
                <w:color w:val="auto"/>
              </w:rPr>
              <w:t>Less: Certain items</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800" w:type="dxa"/>
            <w:vAlign w:val="bottom"/>
          </w:tcPr>
          <w:p>
            <w:pPr>
              <w:spacing w:after="0"/>
              <w:rPr>
                <w:sz w:val="18"/>
                <w:szCs w:val="18"/>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(6 )</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(197 )</w:t>
            </w:r>
          </w:p>
        </w:tc>
      </w:tr>
      <w:tr>
        <w:trPr>
          <w:trHeight w:val="28"/>
        </w:trPr>
        <w:tc>
          <w:tcPr>
            <w:tcW w:w="3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248"/>
        </w:trPr>
        <w:tc>
          <w:tcPr>
            <w:tcW w:w="3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Less: Other unallocated items</w:t>
            </w:r>
          </w:p>
        </w:tc>
        <w:tc>
          <w:tcPr>
            <w:tcW w:w="7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(38 )</w:t>
            </w:r>
          </w:p>
        </w:tc>
        <w:tc>
          <w:tcPr>
            <w:tcW w:w="8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(31 )</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(73 )</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(57 )</w:t>
            </w:r>
          </w:p>
        </w:tc>
      </w:tr>
      <w:tr>
        <w:trPr>
          <w:trHeight w:val="236"/>
        </w:trPr>
        <w:tc>
          <w:tcPr>
            <w:tcW w:w="3940" w:type="dxa"/>
            <w:vAlign w:val="bottom"/>
            <w:tcBorders>
              <w:top w:val="single" w:sz="8" w:color="CFF0FC"/>
            </w:tcBorders>
          </w:tcPr>
          <w:p>
            <w:pPr>
              <w:spacing w:after="0"/>
              <w:rPr>
                <w:sz w:val="20"/>
                <w:szCs w:val="20"/>
                <w:color w:val="auto"/>
              </w:rPr>
            </w:pPr>
            <w:r>
              <w:rPr>
                <w:rFonts w:ascii="Calibri" w:cs="Calibri" w:eastAsia="Calibri" w:hAnsi="Calibri"/>
                <w:sz w:val="18"/>
                <w:szCs w:val="18"/>
                <w:color w:val="auto"/>
              </w:rPr>
              <w:t>Total segment EBIT</w:t>
            </w: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Calibri" w:cs="Calibri" w:eastAsia="Calibri" w:hAnsi="Calibri"/>
                <w:sz w:val="16"/>
                <w:szCs w:val="16"/>
                <w:color w:val="auto"/>
                <w:w w:val="73"/>
              </w:rPr>
              <w:t>$</w:t>
            </w:r>
          </w:p>
        </w:tc>
        <w:tc>
          <w:tcPr>
            <w:tcW w:w="3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w:t>
            </w:r>
          </w:p>
        </w:tc>
        <w:tc>
          <w:tcPr>
            <w:tcW w:w="22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6"/>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4"/>
              </w:rPr>
              <w:t>171</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273</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308</w:t>
            </w:r>
          </w:p>
        </w:tc>
        <w:tc>
          <w:tcPr>
            <w:tcW w:w="80" w:type="dxa"/>
            <w:vAlign w:val="bottom"/>
            <w:tcBorders>
              <w:top w:val="single" w:sz="8" w:color="CFF0FC"/>
            </w:tcBorders>
          </w:tcPr>
          <w:p>
            <w:pPr>
              <w:spacing w:after="0"/>
              <w:rPr>
                <w:sz w:val="20"/>
                <w:szCs w:val="20"/>
                <w:color w:val="auto"/>
              </w:rPr>
            </w:pPr>
          </w:p>
        </w:tc>
      </w:tr>
      <w:tr>
        <w:trPr>
          <w:trHeight w:val="20"/>
        </w:trPr>
        <w:tc>
          <w:tcPr>
            <w:tcW w:w="3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-187960</wp:posOffset>
            </wp:positionV>
            <wp:extent cx="6032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4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the second quarter of fscal 2023, Income (loss) before income taxes and equity in earnings of afliated companies decreased by $37 million and Total segment EBIT decreased by $21 million. The decreases in Income (loss) before income taxes and equity earnings of afliated companies and in Total segment EBIT were driven by lower volumes, higher fxed costs and the unfavorable impact of foreign currency movements in both segments partally ofset by higher unit margins in Reinforcement Materials. Lower volumes in the Reinforcement Materials ($14 million) and Performance Chemicals segment ($18 million) were due to weaker demand, especially in Asia, primarily due to the impact from COVID-19 outbreaks in China and contnued weakness in some key end markets in the Performance Chemicals segment. Higher unit margins in the Reinforcement Materials segment ($52 million) were primarily due to improved pricing and product mix in our annual tre customer agreements.</w:t>
      </w:r>
    </w:p>
    <w:p>
      <w:pPr>
        <w:spacing w:after="0" w:line="8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the frst six months of fscal 2023, Income (loss) before income taxes and equity in earnings of afliated companies increased by $140 million. The change is primarily due to the Purifcaton Solutons loss on sale and asset impairment charge of $204 million, partally ofset by the gain on the Tokai Carbon acquisiton of $24 million in the second fscal quarter of 2022 that did not reoccur in fscal 2023. Total segment EBIT decreased by $35 million in the frst six months of fscal 2023 as compared to the same period in fscal 2022 driven by lower volumes, higher fxed costs and the unfavorable impact of foreign currency movements in both segments, partally ofset by higher unit margins in Reinforcement Materials. Lower volumes in the Reinforcement Materials ($25 million) and Performance Chemicals segment ($29 million) were due to weaker demand, especially in Asia, primarily due to the impact from COVID-19 outbreaks in China and contnued weakness in some key end markets in the Performance Chemicals segment. Higher unit margins in the Reinforcement Materials segment ($88 million) were primarily due to improved pricing and product mix in our annual tre customer agreements.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5" w:name="page26"/>
    <w:bookmarkEnd w:id="25"/>
    <w:p>
      <w:pPr>
        <w:ind w:left="520"/>
        <w:spacing w:after="0"/>
        <w:rPr>
          <w:sz w:val="20"/>
          <w:szCs w:val="20"/>
          <w:color w:val="auto"/>
        </w:rPr>
      </w:pPr>
      <w:r>
        <w:rPr>
          <w:rFonts w:ascii="Calibri" w:cs="Calibri" w:eastAsia="Calibri" w:hAnsi="Calibri"/>
          <w:sz w:val="18"/>
          <w:szCs w:val="18"/>
          <w:i w:val="1"/>
          <w:iCs w:val="1"/>
          <w:color w:val="auto"/>
        </w:rPr>
        <w:t>Certain Items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Details of the certain items for the three and six months ended March 31, 2023 and 2022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10"/>
          </w:tcPr>
          <w:p>
            <w:pPr>
              <w:jc w:val="right"/>
              <w:ind w:right="178"/>
              <w:spacing w:after="0"/>
              <w:rPr>
                <w:sz w:val="20"/>
                <w:szCs w:val="20"/>
                <w:color w:val="auto"/>
              </w:rPr>
            </w:pPr>
            <w:r>
              <w:rPr>
                <w:rFonts w:ascii="Calibri" w:cs="Calibri" w:eastAsia="Calibri" w:hAnsi="Calibri"/>
                <w:sz w:val="14"/>
                <w:szCs w:val="14"/>
                <w:b w:val="1"/>
                <w:bCs w:val="1"/>
                <w:color w:val="auto"/>
              </w:rPr>
              <w:t>Three Months Ended March 31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7"/>
          </w:tcPr>
          <w:p>
            <w:pPr>
              <w:jc w:val="right"/>
              <w:ind w:right="350"/>
              <w:spacing w:after="0"/>
              <w:rPr>
                <w:sz w:val="20"/>
                <w:szCs w:val="20"/>
                <w:color w:val="auto"/>
              </w:rPr>
            </w:pPr>
            <w:r>
              <w:rPr>
                <w:rFonts w:ascii="Calibri" w:cs="Calibri" w:eastAsia="Calibri" w:hAnsi="Calibri"/>
                <w:sz w:val="14"/>
                <w:szCs w:val="14"/>
                <w:b w:val="1"/>
                <w:bCs w:val="1"/>
                <w:color w:val="auto"/>
              </w:rPr>
              <w:t>Six Months Ended March 31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18"/>
              <w:spacing w:after="0" w:line="164" w:lineRule="exact"/>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3"/>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32"/>
              <w:spacing w:after="0" w:line="164"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50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Gain on bargain purchase of a business (Note C)</w:t>
            </w: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500" w:type="dxa"/>
            <w:vAlign w:val="bottom"/>
            <w:tcBorders>
              <w:bottom w:val="single" w:sz="8" w:color="CFF0FC"/>
            </w:tcBorders>
            <w:gridSpan w:val="3"/>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gridSpan w:val="4"/>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Gain on sale of land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7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3"/>
            <w:shd w:val="clear" w:color="auto" w:fill="CFF0FC"/>
          </w:tcPr>
          <w:p>
            <w:pPr>
              <w:jc w:val="right"/>
              <w:ind w:right="73"/>
              <w:spacing w:after="0" w:line="215" w:lineRule="exact"/>
              <w:rPr>
                <w:sz w:val="20"/>
                <w:szCs w:val="20"/>
                <w:color w:val="auto"/>
              </w:rPr>
            </w:pPr>
            <w:r>
              <w:rPr>
                <w:rFonts w:ascii="Calibri" w:cs="Calibri" w:eastAsia="Calibri" w:hAnsi="Calibri"/>
                <w:sz w:val="18"/>
                <w:szCs w:val="18"/>
                <w:color w:val="auto"/>
              </w:rPr>
              <w:t>(7 )</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(3 )</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(204 )</w:t>
            </w:r>
          </w:p>
        </w:tc>
        <w:tc>
          <w:tcPr>
            <w:tcW w:w="0" w:type="dxa"/>
            <w:vAlign w:val="bottom"/>
          </w:tcPr>
          <w:p>
            <w:pPr>
              <w:spacing w:after="0"/>
              <w:rPr>
                <w:sz w:val="1"/>
                <w:szCs w:val="1"/>
                <w:color w:val="auto"/>
              </w:rPr>
            </w:pPr>
          </w:p>
        </w:tc>
      </w:tr>
      <w:tr>
        <w:trPr>
          <w:trHeight w:val="215"/>
        </w:trPr>
        <w:tc>
          <w:tcPr>
            <w:tcW w:w="544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73"/>
              <w:spacing w:after="0" w:line="215" w:lineRule="exact"/>
              <w:rPr>
                <w:sz w:val="20"/>
                <w:szCs w:val="20"/>
                <w:color w:val="auto"/>
              </w:rPr>
            </w:pPr>
            <w:r>
              <w:rPr>
                <w:rFonts w:ascii="Calibri" w:cs="Calibri" w:eastAsia="Calibri" w:hAnsi="Calibri"/>
                <w:sz w:val="18"/>
                <w:szCs w:val="18"/>
                <w:color w:val="auto"/>
              </w:rPr>
              <w:t>(7 )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(8 )</w:t>
            </w: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Acquisiton and integraton-related charges</w:t>
            </w:r>
          </w:p>
        </w:tc>
        <w:tc>
          <w:tcPr>
            <w:tcW w:w="7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3"/>
            <w:shd w:val="clear" w:color="auto" w:fill="CFF0FC"/>
          </w:tcPr>
          <w:p>
            <w:pPr>
              <w:jc w:val="right"/>
              <w:ind w:right="73"/>
              <w:spacing w:after="0" w:line="215" w:lineRule="exact"/>
              <w:rPr>
                <w:sz w:val="20"/>
                <w:szCs w:val="20"/>
                <w:color w:val="auto"/>
              </w:rPr>
            </w:pPr>
            <w:r>
              <w:rPr>
                <w:rFonts w:ascii="Calibri" w:cs="Calibri" w:eastAsia="Calibri" w:hAnsi="Calibri"/>
                <w:sz w:val="18"/>
                <w:szCs w:val="18"/>
                <w:color w:val="auto"/>
              </w:rPr>
              <w:t>(2 )</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(1 )</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15"/>
        </w:trPr>
        <w:tc>
          <w:tcPr>
            <w:tcW w:w="544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Divestture related charges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73"/>
              <w:spacing w:after="0" w:line="215" w:lineRule="exact"/>
              <w:rPr>
                <w:sz w:val="20"/>
                <w:szCs w:val="20"/>
                <w:color w:val="auto"/>
              </w:rPr>
            </w:pPr>
            <w:r>
              <w:rPr>
                <w:rFonts w:ascii="Calibri" w:cs="Calibri" w:eastAsia="Calibri" w:hAnsi="Calibri"/>
                <w:sz w:val="18"/>
                <w:szCs w:val="18"/>
                <w:color w:val="auto"/>
              </w:rPr>
              <w:t>(1 )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Global restructuring actvites</w:t>
            </w:r>
          </w:p>
        </w:tc>
        <w:tc>
          <w:tcPr>
            <w:tcW w:w="7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19"/>
        </w:trPr>
        <w:tc>
          <w:tcPr>
            <w:tcW w:w="5440" w:type="dxa"/>
            <w:vAlign w:val="bottom"/>
            <w:gridSpan w:val="2"/>
          </w:tcPr>
          <w:p>
            <w:pPr>
              <w:ind w:left="120"/>
              <w:spacing w:after="0"/>
              <w:rPr>
                <w:sz w:val="20"/>
                <w:szCs w:val="20"/>
                <w:color w:val="auto"/>
              </w:rPr>
            </w:pPr>
            <w:r>
              <w:rPr>
                <w:rFonts w:ascii="Calibri" w:cs="Calibri" w:eastAsia="Calibri" w:hAnsi="Calibri"/>
                <w:sz w:val="18"/>
                <w:szCs w:val="18"/>
                <w:color w:val="auto"/>
              </w:rPr>
              <w:t>Other</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FF0FC"/>
            </w:tcBorders>
            <w:gridSpan w:val="2"/>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Total certain items, pre-tax</w:t>
            </w:r>
          </w:p>
        </w:tc>
        <w:tc>
          <w:tcPr>
            <w:tcW w:w="7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w:t>
            </w:r>
          </w:p>
        </w:tc>
        <w:tc>
          <w:tcPr>
            <w:tcW w:w="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w:t>
            </w:r>
          </w:p>
        </w:tc>
        <w:tc>
          <w:tcPr>
            <w:tcW w:w="2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w:t>
            </w:r>
          </w:p>
        </w:tc>
        <w:tc>
          <w:tcPr>
            <w:tcW w:w="24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rPr>
              <w:t>)</w:t>
            </w: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(197</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20"/>
        </w:trPr>
        <w:tc>
          <w:tcPr>
            <w:tcW w:w="5440" w:type="dxa"/>
            <w:vAlign w:val="bottom"/>
            <w:gridSpan w:val="2"/>
          </w:tcPr>
          <w:p>
            <w:pPr>
              <w:ind w:left="20"/>
              <w:spacing w:after="0"/>
              <w:rPr>
                <w:sz w:val="20"/>
                <w:szCs w:val="20"/>
                <w:color w:val="auto"/>
              </w:rPr>
            </w:pPr>
            <w:r>
              <w:rPr>
                <w:rFonts w:ascii="Calibri" w:cs="Calibri" w:eastAsia="Calibri" w:hAnsi="Calibri"/>
                <w:sz w:val="18"/>
                <w:szCs w:val="18"/>
                <w:color w:val="auto"/>
              </w:rPr>
              <w:t>Non-GAAP tax adjustments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440" w:type="dxa"/>
            <w:vAlign w:val="bottom"/>
            <w:tcBorders>
              <w:bottom w:val="single" w:sz="8" w:color="CFF0FC"/>
            </w:tcBorders>
            <w:gridSpan w:val="2"/>
            <w:shd w:val="clear" w:color="auto" w:fill="CFF0FC"/>
          </w:tcPr>
          <w:p>
            <w:pPr>
              <w:ind w:left="20"/>
              <w:spacing w:after="0"/>
              <w:rPr>
                <w:sz w:val="20"/>
                <w:szCs w:val="20"/>
                <w:color w:val="auto"/>
              </w:rPr>
            </w:pPr>
            <w:r>
              <w:rPr>
                <w:rFonts w:ascii="Calibri" w:cs="Calibri" w:eastAsia="Calibri" w:hAnsi="Calibri"/>
                <w:sz w:val="18"/>
                <w:szCs w:val="18"/>
                <w:color w:val="auto"/>
              </w:rPr>
              <w:t>Total certain items, afer tax</w:t>
            </w:r>
          </w:p>
        </w:tc>
        <w:tc>
          <w:tcPr>
            <w:tcW w:w="7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top w:val="single" w:sz="8" w:color="auto"/>
              <w:bottom w:val="single" w:sz="8" w:color="auto"/>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(153</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54"/>
        </w:trPr>
        <w:tc>
          <w:tcPr>
            <w:tcW w:w="5440" w:type="dxa"/>
            <w:vAlign w:val="bottom"/>
            <w:gridSpan w:val="2"/>
          </w:tcPr>
          <w:p>
            <w:pPr>
              <w:ind w:left="480"/>
              <w:spacing w:after="0"/>
              <w:rPr>
                <w:sz w:val="20"/>
                <w:szCs w:val="20"/>
                <w:color w:val="auto"/>
              </w:rPr>
            </w:pPr>
            <w:r>
              <w:rPr>
                <w:rFonts w:ascii="Calibri" w:cs="Calibri" w:eastAsia="Calibri" w:hAnsi="Calibri"/>
                <w:sz w:val="18"/>
                <w:szCs w:val="18"/>
                <w:i w:val="1"/>
                <w:iCs w:val="1"/>
                <w:color w:val="auto"/>
              </w:rPr>
              <w:t>Other Unallocated Items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360" w:type="dxa"/>
            <w:vAlign w:val="bottom"/>
            <w:gridSpan w:val="11"/>
          </w:tcPr>
          <w:p>
            <w:pPr>
              <w:jc w:val="right"/>
              <w:ind w:right="239"/>
              <w:spacing w:after="0"/>
              <w:rPr>
                <w:sz w:val="20"/>
                <w:szCs w:val="20"/>
                <w:color w:val="auto"/>
              </w:rPr>
            </w:pPr>
            <w:r>
              <w:rPr>
                <w:rFonts w:ascii="Calibri" w:cs="Calibri" w:eastAsia="Calibri" w:hAnsi="Calibri"/>
                <w:sz w:val="14"/>
                <w:szCs w:val="14"/>
                <w:b w:val="1"/>
                <w:bCs w:val="1"/>
                <w:color w:val="auto"/>
              </w:rPr>
              <w:t>Three Months Ended March 31</w:t>
            </w:r>
          </w:p>
        </w:tc>
        <w:tc>
          <w:tcPr>
            <w:tcW w:w="100" w:type="dxa"/>
            <w:vAlign w:val="bottom"/>
          </w:tcPr>
          <w:p>
            <w:pPr>
              <w:spacing w:after="0"/>
              <w:rPr>
                <w:sz w:val="24"/>
                <w:szCs w:val="24"/>
                <w:color w:val="auto"/>
              </w:rPr>
            </w:pPr>
          </w:p>
        </w:tc>
        <w:tc>
          <w:tcPr>
            <w:tcW w:w="2380" w:type="dxa"/>
            <w:vAlign w:val="bottom"/>
            <w:gridSpan w:val="9"/>
          </w:tcPr>
          <w:p>
            <w:pPr>
              <w:ind w:left="220"/>
              <w:spacing w:after="0"/>
              <w:rPr>
                <w:sz w:val="20"/>
                <w:szCs w:val="20"/>
                <w:color w:val="auto"/>
              </w:rPr>
            </w:pPr>
            <w:r>
              <w:rPr>
                <w:rFonts w:ascii="Calibri" w:cs="Calibri" w:eastAsia="Calibri" w:hAnsi="Calibri"/>
                <w:sz w:val="14"/>
                <w:szCs w:val="14"/>
                <w:b w:val="1"/>
                <w:bCs w:val="1"/>
                <w:color w:val="auto"/>
              </w:rPr>
              <w:t>Six Months Ended March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3"/>
              <w:spacing w:after="0" w:line="164" w:lineRule="exact"/>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2"/>
          </w:tcPr>
          <w:p>
            <w:pPr>
              <w:jc w:val="right"/>
              <w:ind w:right="50"/>
              <w:spacing w:after="0" w:line="164" w:lineRule="exact"/>
              <w:rPr>
                <w:sz w:val="20"/>
                <w:szCs w:val="20"/>
                <w:color w:val="auto"/>
              </w:rPr>
            </w:pPr>
            <w:r>
              <w:rPr>
                <w:rFonts w:ascii="Calibri" w:cs="Calibri" w:eastAsia="Calibri" w:hAnsi="Calibri"/>
                <w:sz w:val="14"/>
                <w:szCs w:val="14"/>
                <w:b w:val="1"/>
                <w:bCs w:val="1"/>
                <w:color w:val="auto"/>
              </w:rPr>
              <w:t>(In</w:t>
            </w:r>
          </w:p>
        </w:tc>
        <w:tc>
          <w:tcPr>
            <w:tcW w:w="880" w:type="dxa"/>
            <w:vAlign w:val="bottom"/>
            <w:gridSpan w:val="3"/>
          </w:tcPr>
          <w:p>
            <w:pPr>
              <w:spacing w:after="0" w:line="164" w:lineRule="exact"/>
              <w:rPr>
                <w:sz w:val="20"/>
                <w:szCs w:val="20"/>
                <w:color w:val="auto"/>
              </w:rPr>
            </w:pPr>
            <w:r>
              <w:rPr>
                <w:rFonts w:ascii="Calibri" w:cs="Calibri" w:eastAsia="Calibri" w:hAnsi="Calibri"/>
                <w:sz w:val="14"/>
                <w:szCs w:val="14"/>
                <w:b w:val="1"/>
                <w:bCs w:val="1"/>
                <w:color w:val="auto"/>
              </w:rPr>
              <w:t>millions)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76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expense</w:t>
            </w:r>
          </w:p>
        </w:tc>
        <w:tc>
          <w:tcPr>
            <w:tcW w:w="700" w:type="dxa"/>
            <w:vAlign w:val="bottom"/>
            <w:tcBorders>
              <w:bottom w:val="single" w:sz="8" w:color="CFF0FC"/>
            </w:tcBorders>
            <w:shd w:val="clear" w:color="auto" w:fill="CFF0FC"/>
          </w:tcPr>
          <w:p>
            <w:pPr>
              <w:jc w:val="right"/>
              <w:ind w:right="519"/>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(23 )</w:t>
            </w:r>
          </w:p>
        </w:tc>
        <w:tc>
          <w:tcPr>
            <w:tcW w:w="400" w:type="dxa"/>
            <w:vAlign w:val="bottom"/>
            <w:tcBorders>
              <w:bottom w:val="single" w:sz="8" w:color="CFF0FC"/>
            </w:tcBorders>
            <w:gridSpan w:val="2"/>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(11 )</w:t>
            </w:r>
          </w:p>
        </w:tc>
        <w:tc>
          <w:tcPr>
            <w:tcW w:w="760" w:type="dxa"/>
            <w:vAlign w:val="bottom"/>
            <w:tcBorders>
              <w:bottom w:val="single" w:sz="8" w:color="CFF0FC"/>
            </w:tcBorders>
            <w:gridSpan w:val="2"/>
            <w:shd w:val="clear" w:color="auto" w:fill="CFF0FC"/>
          </w:tcPr>
          <w:p>
            <w:pPr>
              <w:jc w:val="right"/>
              <w:ind w:right="47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gridSpan w:val="3"/>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(45 )</w:t>
            </w:r>
          </w:p>
        </w:tc>
        <w:tc>
          <w:tcPr>
            <w:tcW w:w="720" w:type="dxa"/>
            <w:vAlign w:val="bottom"/>
            <w:tcBorders>
              <w:bottom w:val="single" w:sz="8" w:color="CFF0FC"/>
            </w:tcBorders>
            <w:shd w:val="clear" w:color="auto" w:fill="CFF0FC"/>
          </w:tcPr>
          <w:p>
            <w:pPr>
              <w:jc w:val="right"/>
              <w:ind w:right="533"/>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0"/>
              </w:rPr>
              <w:t>(23 )</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00" w:type="dxa"/>
            <w:vAlign w:val="bottom"/>
          </w:tcPr>
          <w:p>
            <w:pPr>
              <w:spacing w:after="0" w:line="215" w:lineRule="exact"/>
              <w:rPr>
                <w:sz w:val="20"/>
                <w:szCs w:val="20"/>
                <w:color w:val="auto"/>
              </w:rPr>
            </w:pPr>
            <w:r>
              <w:rPr>
                <w:rFonts w:ascii="Calibri" w:cs="Calibri" w:eastAsia="Calibri" w:hAnsi="Calibri"/>
                <w:sz w:val="18"/>
                <w:szCs w:val="18"/>
                <w:color w:val="auto"/>
              </w:rPr>
              <w:t>Unallocated corporate costs</w:t>
            </w:r>
          </w:p>
        </w:tc>
        <w:tc>
          <w:tcPr>
            <w:tcW w:w="700" w:type="dxa"/>
            <w:vAlign w:val="bottom"/>
          </w:tcPr>
          <w:p>
            <w:pPr>
              <w:spacing w:after="0"/>
              <w:rPr>
                <w:sz w:val="18"/>
                <w:szCs w:val="18"/>
                <w:color w:val="auto"/>
              </w:rPr>
            </w:pPr>
          </w:p>
        </w:tc>
        <w:tc>
          <w:tcPr>
            <w:tcW w:w="4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(16 )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3"/>
          </w:tcPr>
          <w:p>
            <w:pPr>
              <w:jc w:val="right"/>
              <w:ind w:right="50"/>
              <w:spacing w:after="0" w:line="215" w:lineRule="exact"/>
              <w:rPr>
                <w:sz w:val="20"/>
                <w:szCs w:val="20"/>
                <w:color w:val="auto"/>
              </w:rPr>
            </w:pPr>
            <w:r>
              <w:rPr>
                <w:rFonts w:ascii="Calibri" w:cs="Calibri" w:eastAsia="Calibri" w:hAnsi="Calibri"/>
                <w:sz w:val="18"/>
                <w:szCs w:val="18"/>
                <w:color w:val="auto"/>
              </w:rPr>
              <w:t>(31 )</w:t>
            </w:r>
          </w:p>
        </w:tc>
        <w:tc>
          <w:tcPr>
            <w:tcW w:w="720" w:type="dxa"/>
            <w:vAlign w:val="bottom"/>
          </w:tcPr>
          <w:p>
            <w:pPr>
              <w:spacing w:after="0"/>
              <w:rPr>
                <w:sz w:val="18"/>
                <w:szCs w:val="18"/>
                <w:color w:val="auto"/>
              </w:rPr>
            </w:pPr>
          </w:p>
        </w:tc>
        <w:tc>
          <w:tcPr>
            <w:tcW w:w="3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w w:val="90"/>
              </w:rPr>
              <w:t>(30 )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6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General unallocated income (expense)</w:t>
            </w: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gridSpan w:val="3"/>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300" w:type="dxa"/>
            <w:vAlign w:val="bottom"/>
          </w:tcPr>
          <w:p>
            <w:pPr>
              <w:spacing w:after="0" w:line="207" w:lineRule="exact"/>
              <w:rPr>
                <w:sz w:val="20"/>
                <w:szCs w:val="20"/>
                <w:color w:val="auto"/>
              </w:rPr>
            </w:pPr>
            <w:r>
              <w:rPr>
                <w:rFonts w:ascii="Calibri" w:cs="Calibri" w:eastAsia="Calibri" w:hAnsi="Calibri"/>
                <w:sz w:val="18"/>
                <w:szCs w:val="18"/>
                <w:color w:val="auto"/>
              </w:rPr>
              <w:t>Less: Equity in earnings of afliated</w:t>
            </w:r>
          </w:p>
        </w:tc>
        <w:tc>
          <w:tcPr>
            <w:tcW w:w="700" w:type="dxa"/>
            <w:vAlign w:val="bottom"/>
          </w:tcPr>
          <w:p>
            <w:pPr>
              <w:spacing w:after="0"/>
              <w:rPr>
                <w:sz w:val="18"/>
                <w:szCs w:val="18"/>
                <w:color w:val="auto"/>
              </w:rPr>
            </w:pPr>
          </w:p>
        </w:tc>
        <w:tc>
          <w:tcPr>
            <w:tcW w:w="30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Calibri" w:cs="Calibri" w:eastAsia="Calibri" w:hAnsi="Calibri"/>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00" w:type="dxa"/>
            <w:vAlign w:val="bottom"/>
          </w:tcPr>
          <w:p>
            <w:pPr>
              <w:ind w:left="120"/>
              <w:spacing w:after="0" w:line="215" w:lineRule="exact"/>
              <w:rPr>
                <w:sz w:val="20"/>
                <w:szCs w:val="20"/>
                <w:color w:val="auto"/>
              </w:rPr>
            </w:pPr>
            <w:r>
              <w:rPr>
                <w:rFonts w:ascii="Calibri" w:cs="Calibri" w:eastAsia="Calibri" w:hAnsi="Calibri"/>
                <w:sz w:val="18"/>
                <w:szCs w:val="18"/>
                <w:color w:val="auto"/>
              </w:rPr>
              <w:t>companies, net of tax</w:t>
            </w:r>
          </w:p>
        </w:tc>
        <w:tc>
          <w:tcPr>
            <w:tcW w:w="70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76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Total other unallocated items</w:t>
            </w:r>
          </w:p>
        </w:tc>
        <w:tc>
          <w:tcPr>
            <w:tcW w:w="700" w:type="dxa"/>
            <w:vAlign w:val="bottom"/>
            <w:tcBorders>
              <w:top w:val="single" w:sz="8" w:color="auto"/>
              <w:bottom w:val="single" w:sz="8" w:color="auto"/>
            </w:tcBorders>
            <w:shd w:val="clear" w:color="auto" w:fill="CFF0FC"/>
          </w:tcPr>
          <w:p>
            <w:pPr>
              <w:jc w:val="right"/>
              <w:ind w:right="519"/>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top w:val="single" w:sz="8" w:color="auto"/>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72"/>
              </w:rPr>
              <w:t>)</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center"/>
              <w:ind w:right="70"/>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1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ind w:right="478"/>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top w:val="single" w:sz="8" w:color="auto"/>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w:t>
            </w:r>
          </w:p>
        </w:tc>
        <w:tc>
          <w:tcPr>
            <w:tcW w:w="20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72"/>
              </w:rPr>
              <w:t>)</w:t>
            </w:r>
          </w:p>
        </w:tc>
        <w:tc>
          <w:tcPr>
            <w:tcW w:w="720" w:type="dxa"/>
            <w:vAlign w:val="bottom"/>
            <w:tcBorders>
              <w:top w:val="single" w:sz="8" w:color="auto"/>
              <w:bottom w:val="single" w:sz="8" w:color="auto"/>
            </w:tcBorders>
            <w:shd w:val="clear" w:color="auto" w:fill="CFF0FC"/>
          </w:tcPr>
          <w:p>
            <w:pPr>
              <w:jc w:val="right"/>
              <w:ind w:right="533"/>
              <w:spacing w:after="0" w:line="215" w:lineRule="exact"/>
              <w:rPr>
                <w:sz w:val="20"/>
                <w:szCs w:val="20"/>
                <w:color w:val="auto"/>
              </w:rPr>
            </w:pPr>
            <w:r>
              <w:rPr>
                <w:rFonts w:ascii="Calibri" w:cs="Calibri" w:eastAsia="Calibri" w:hAnsi="Calibri"/>
                <w:sz w:val="18"/>
                <w:szCs w:val="18"/>
                <w:color w:val="auto"/>
                <w:w w:val="87"/>
              </w:rPr>
              <w:t>$</w:t>
            </w:r>
          </w:p>
        </w:tc>
        <w:tc>
          <w:tcPr>
            <w:tcW w:w="260" w:type="dxa"/>
            <w:vAlign w:val="bottom"/>
            <w:tcBorders>
              <w:top w:val="single" w:sz="8" w:color="auto"/>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2"/>
              </w:rPr>
              <w:t>(57</w:t>
            </w:r>
          </w:p>
        </w:tc>
        <w:tc>
          <w:tcPr>
            <w:tcW w:w="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-1619885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-1602105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-1619885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-1602105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-1619885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-1602105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 discussion of items that we refer to as “other unallocated items” can be found under the heading “Defniton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transactons, net of other foreign currency risk management actvites, the proft or loss related to the corporate adjustment for unearned revenue and unrealized holding gains (losses) for investments.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Reinforcement Materials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Reinforcement Materials for the second quarter and frst six months of fscal 2023 and 2022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199"/>
              <w:spacing w:after="0"/>
              <w:rPr>
                <w:sz w:val="20"/>
                <w:szCs w:val="20"/>
                <w:color w:val="auto"/>
              </w:rPr>
            </w:pPr>
            <w:r>
              <w:rPr>
                <w:rFonts w:ascii="Calibri" w:cs="Calibri" w:eastAsia="Calibri" w:hAnsi="Calibri"/>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256"/>
              <w:spacing w:after="0"/>
              <w:rPr>
                <w:sz w:val="20"/>
                <w:szCs w:val="20"/>
                <w:color w:val="auto"/>
              </w:rPr>
            </w:pPr>
            <w:r>
              <w:rPr>
                <w:rFonts w:ascii="Calibri" w:cs="Calibri" w:eastAsia="Calibri" w:hAnsi="Calibri"/>
                <w:sz w:val="14"/>
                <w:szCs w:val="14"/>
                <w:b w:val="1"/>
                <w:bCs w:val="1"/>
                <w:color w:val="auto"/>
              </w:rPr>
              <w:t>Six Months Ended March 31</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560"/>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Reinforcement Materials Sales</w:t>
            </w: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672</w:t>
            </w:r>
          </w:p>
        </w:tc>
        <w:tc>
          <w:tcPr>
            <w:tcW w:w="4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ind w:left="540"/>
              <w:spacing w:after="0" w:line="215" w:lineRule="exact"/>
              <w:rPr>
                <w:sz w:val="20"/>
                <w:szCs w:val="20"/>
                <w:color w:val="auto"/>
              </w:rPr>
            </w:pPr>
            <w:r>
              <w:rPr>
                <w:rFonts w:ascii="Calibri" w:cs="Calibri" w:eastAsia="Calibri" w:hAnsi="Calibri"/>
                <w:sz w:val="18"/>
                <w:szCs w:val="18"/>
                <w:color w:val="auto"/>
              </w:rPr>
              <w:t>654</w:t>
            </w:r>
          </w:p>
        </w:tc>
        <w:tc>
          <w:tcPr>
            <w:tcW w:w="4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1,315</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3940" w:type="dxa"/>
            <w:vAlign w:val="bottom"/>
          </w:tcPr>
          <w:p>
            <w:pPr>
              <w:spacing w:after="0" w:line="215" w:lineRule="exact"/>
              <w:rPr>
                <w:sz w:val="20"/>
                <w:szCs w:val="20"/>
                <w:color w:val="auto"/>
              </w:rPr>
            </w:pPr>
            <w:r>
              <w:rPr>
                <w:rFonts w:ascii="Calibri" w:cs="Calibri" w:eastAsia="Calibri" w:hAnsi="Calibri"/>
                <w:sz w:val="18"/>
                <w:szCs w:val="18"/>
                <w:color w:val="auto"/>
              </w:rPr>
              <w:t>Reinforcement Materials EBIT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122</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ind w:left="540"/>
              <w:spacing w:after="0" w:line="215" w:lineRule="exact"/>
              <w:rPr>
                <w:sz w:val="20"/>
                <w:szCs w:val="20"/>
                <w:color w:val="auto"/>
              </w:rPr>
            </w:pPr>
            <w:r>
              <w:rPr>
                <w:rFonts w:ascii="Calibri" w:cs="Calibri" w:eastAsia="Calibri" w:hAnsi="Calibri"/>
                <w:sz w:val="18"/>
                <w:szCs w:val="18"/>
                <w:color w:val="auto"/>
              </w:rPr>
              <w:t>101</w:t>
            </w: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216</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186</w:t>
            </w:r>
          </w:p>
        </w:tc>
        <w:tc>
          <w:tcPr>
            <w:tcW w:w="80" w:type="dxa"/>
            <w:vAlign w:val="bottom"/>
          </w:tcPr>
          <w:p>
            <w:pPr>
              <w:spacing w:after="0"/>
              <w:rPr>
                <w:sz w:val="18"/>
                <w:szCs w:val="18"/>
                <w:color w:val="auto"/>
              </w:rPr>
            </w:pPr>
          </w:p>
        </w:tc>
      </w:tr>
    </w:tbl>
    <w:p>
      <w:pPr>
        <w:spacing w:after="0" w:line="195" w:lineRule="exact"/>
        <w:rPr>
          <w:sz w:val="20"/>
          <w:szCs w:val="20"/>
          <w:color w:val="auto"/>
        </w:rPr>
      </w:pPr>
    </w:p>
    <w:p>
      <w:pPr>
        <w:ind w:right="60" w:firstLine="509"/>
        <w:spacing w:after="0" w:line="252" w:lineRule="auto"/>
        <w:rPr>
          <w:sz w:val="20"/>
          <w:szCs w:val="20"/>
          <w:color w:val="auto"/>
        </w:rPr>
      </w:pPr>
      <w:r>
        <w:rPr>
          <w:rFonts w:ascii="Calibri" w:cs="Calibri" w:eastAsia="Calibri" w:hAnsi="Calibri"/>
          <w:sz w:val="17"/>
          <w:szCs w:val="17"/>
          <w:color w:val="auto"/>
        </w:rPr>
        <w:t>Sales in Reinforcement Materials increased by $18 million in the second quarter of fscal 2023 compared to the same period of fscal 2022, primarily due to improved price and product mix (combined $93 million), partally ofset by lower volumes ($41 million), the unfavorable impact from foreign currency translaton ($24 million) and lower by-product revenue ($7 million). The improved price and product mix was primarily due to favorable 2023 calendar year customer agreements. Volumes were lower across all regions, with the largest decrease in Asia driven by the impact of COVID-19 outbreaks in China.</w:t>
      </w:r>
    </w:p>
    <w:p>
      <w:pPr>
        <w:spacing w:after="0" w:line="7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the frst six months of fscal 2023, sales in Reinforcement Materials increased by $98 million compared to the frst six months of fscal 2022. The increase was primarily due to improved price and product mix (combined $253 million) which outweighed weaker volumes ($69 million), an unfavorable impact from foreign currency translaton ($75 million) and lower by-product revenue ($9 million). The improved price and product mix was primarily due to favorable 2022 and 2023 calendar year customer agreements. Volumes were lower across all regions, with the largest decrease in Asia, primarily due to the impact of COVID-19 outbreaks in China and elevated levels of calendar year-end destocking at our customers.</w:t>
      </w:r>
    </w:p>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p>
      <w:pPr>
        <w:ind w:right="60" w:firstLine="509"/>
        <w:spacing w:after="0" w:line="235" w:lineRule="auto"/>
        <w:rPr>
          <w:sz w:val="20"/>
          <w:szCs w:val="20"/>
          <w:color w:val="auto"/>
        </w:rPr>
      </w:pPr>
      <w:r>
        <w:rPr>
          <w:rFonts w:ascii="Calibri" w:cs="Calibri" w:eastAsia="Calibri" w:hAnsi="Calibri"/>
          <w:sz w:val="18"/>
          <w:szCs w:val="18"/>
          <w:color w:val="auto"/>
        </w:rPr>
        <w:t>EBIT in Reinforcement Materials in the second quarter of fscal 2023 increased by $21 million compared to the same period of fscal 2022. During the second quarter of fscal 2023, the segment had higher unit margins, net of higher costs, ($36 million) partally ofset by lower volumes ($14 million) and the unfavorable impact from foreign currency exchange ($2 million). The higher unit margins, net of higher costs, were primarily driven by favorable pricing and product mix in the 2023 calendar year customer agreements. Volumes were lower across all regions, with the largest decrease in Asia driven by the impact of COVID-19 outbreaks in China.</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EBIT in Reinforcement Materials increased by $30 million in the frst six months of fscal 2023 compared to the same period of fscal 2022. The increase was driven by higher unit margins, net of higher costs, ($62 million) partally ofset by lower volumes ($25 million) and the unfavorable impact from foreign currency exchange ($5 million). The higher unit margins, net of higher costs, were primarily driven by favorable 2022 and 2023 calendar year customer agreements. Volumes were lower across all regions, with the largest decrease in Asia driven by the impact of COVID-19 outbreaks in China, and elevated levels of calendar year-end destocking at our customers.</w:t>
      </w:r>
    </w:p>
    <w:p>
      <w:pPr>
        <w:spacing w:after="0" w:line="85"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As we look to the third quarter of the fscal year, we expect EBIT to improve sequentally as volumes are expected to improve, partcularly in Asia as demand strengthens.</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 Chemicals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Performance Chemicals for the second quarter and frst six months of fscal 2023 and 2022 were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199"/>
              <w:spacing w:after="0"/>
              <w:rPr>
                <w:sz w:val="20"/>
                <w:szCs w:val="20"/>
                <w:color w:val="auto"/>
              </w:rPr>
            </w:pPr>
            <w:r>
              <w:rPr>
                <w:rFonts w:ascii="Calibri" w:cs="Calibri" w:eastAsia="Calibri" w:hAnsi="Calibri"/>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256"/>
              <w:spacing w:after="0"/>
              <w:rPr>
                <w:sz w:val="20"/>
                <w:szCs w:val="20"/>
                <w:color w:val="auto"/>
              </w:rPr>
            </w:pPr>
            <w:r>
              <w:rPr>
                <w:rFonts w:ascii="Calibri" w:cs="Calibri" w:eastAsia="Calibri" w:hAnsi="Calibri"/>
                <w:sz w:val="14"/>
                <w:szCs w:val="14"/>
                <w:b w:val="1"/>
                <w:bCs w:val="1"/>
                <w:color w:val="auto"/>
              </w:rPr>
              <w:t>Six Months Ended March 31</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Performance Chemicals Sales</w:t>
            </w: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326</w:t>
            </w:r>
          </w:p>
        </w:tc>
        <w:tc>
          <w:tcPr>
            <w:tcW w:w="4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363</w:t>
            </w:r>
          </w:p>
        </w:tc>
        <w:tc>
          <w:tcPr>
            <w:tcW w:w="4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612</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3940" w:type="dxa"/>
            <w:vAlign w:val="bottom"/>
          </w:tcPr>
          <w:p>
            <w:pPr>
              <w:spacing w:after="0" w:line="215" w:lineRule="exact"/>
              <w:rPr>
                <w:sz w:val="20"/>
                <w:szCs w:val="20"/>
                <w:color w:val="auto"/>
              </w:rPr>
            </w:pPr>
            <w:r>
              <w:rPr>
                <w:rFonts w:ascii="Calibri" w:cs="Calibri" w:eastAsia="Calibri" w:hAnsi="Calibri"/>
                <w:sz w:val="18"/>
                <w:szCs w:val="18"/>
                <w:color w:val="auto"/>
              </w:rPr>
              <w:t>Performance Chemicals EBIT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70</w:t>
            </w: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57</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122</w:t>
            </w:r>
          </w:p>
        </w:tc>
        <w:tc>
          <w:tcPr>
            <w:tcW w:w="80" w:type="dxa"/>
            <w:vAlign w:val="bottom"/>
          </w:tcPr>
          <w:p>
            <w:pPr>
              <w:spacing w:after="0"/>
              <w:rPr>
                <w:sz w:val="18"/>
                <w:szCs w:val="18"/>
                <w:color w:val="auto"/>
              </w:rPr>
            </w:pPr>
          </w:p>
        </w:tc>
      </w:tr>
    </w:tbl>
    <w:p>
      <w:pPr>
        <w:spacing w:after="0" w:line="195"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Sales in Performance Chemicals decreased by $37 million in the second quarter of fscal 2023 compared to the same period of fscal 2022, primarily due to the unfavorable impact from lower volumes ($23 million), and foreign currency translaton ($14 million). The lower volumes in the second quarter of fscal 2023 was driven by demand sofness in key end markets, partcularly in our fumed metal oxides product line, and the impact of COVID-19 outbreaks in China.</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the frst six months of fscal 2023, sales in Performance Chemicals decreased by $57 million compared to the same period of fscal 2022, primarily due to lower volumes ($37 million) and by unfavorable impact from foreign currency translaton ($35 million), partally ofset by favorable price and product mix (combined $17 million). The lower volumes were primarily due to customer destocking, sofness in some of our key end markets and the impact from COVID-19 outbreaks in China.</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EBIT in Performance Chemicals decreased by $42 million in the second quarter of fscal 2023 compared to the second quarter of fscal 2022, primarily due to lower volumes ($18 million), lower unit margins ($15 million) and the unfavorable impact from foreign currency exchange ($4 million). The lower volumes in the second quarter of fscal 2023 were driven by demand sofness in key end markets, partcularly in our fumed metal oxides product line, and the impact of COVID-19 outbreaks in China. Lower unit margins were primarily due to the tming of price increases in our fumed metal oxides product line in the second quarter of fscal 2022 that did not reoccur in the same period of fscal 2023. The segment also experienced higher costs associated with the unfavorable impact of reducton in inventory levels ($4 million).</w:t>
      </w:r>
    </w:p>
    <w:p>
      <w:pPr>
        <w:spacing w:after="0" w:line="86"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EBIT in Performance Chemicals decreased by $65 million in the frst six months of fscal 2023 compared to the same period of fscal 2022, primarily due to lower volumes ($29 million), lower unit margins ($15 million) and the unfavorable impact from foreign currency exchange ($8 million). Lower unit margins were driven by less favorable product mix. The segment also experienced higher costs associated with the unfavorable impact of reducton in inventory levels ($10 million). The lower volumes were primarily due to customer destocking, sofness in some of our key end markets and the impact from COVID-19 outbreaks in China.</w:t>
      </w:r>
    </w:p>
    <w:p>
      <w:pPr>
        <w:spacing w:after="0" w:line="85"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As we look ahead to the third quarter of the fscal year, we expect that volumes across all product lines will increase as demand across our key end markets improves and contributon unit margins will remain relatvely stable.</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Purifcaton Solutons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Purifcaton Solutons for the second quarter and frst six months of fscal 2023 and 2022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199"/>
              <w:spacing w:after="0"/>
              <w:rPr>
                <w:sz w:val="20"/>
                <w:szCs w:val="20"/>
                <w:color w:val="auto"/>
              </w:rPr>
            </w:pPr>
            <w:r>
              <w:rPr>
                <w:rFonts w:ascii="Calibri" w:cs="Calibri" w:eastAsia="Calibri" w:hAnsi="Calibri"/>
                <w:sz w:val="14"/>
                <w:szCs w:val="14"/>
                <w:b w:val="1"/>
                <w:bCs w:val="1"/>
                <w:color w:val="auto"/>
              </w:rPr>
              <w:t>Three Months Ended March 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256"/>
              <w:spacing w:after="0"/>
              <w:rPr>
                <w:sz w:val="20"/>
                <w:szCs w:val="20"/>
                <w:color w:val="auto"/>
              </w:rPr>
            </w:pPr>
            <w:r>
              <w:rPr>
                <w:rFonts w:ascii="Calibri" w:cs="Calibri" w:eastAsia="Calibri" w:hAnsi="Calibri"/>
                <w:sz w:val="14"/>
                <w:szCs w:val="14"/>
                <w:b w:val="1"/>
                <w:bCs w:val="1"/>
                <w:color w:val="auto"/>
              </w:rPr>
              <w:t>Six Months Ended March 31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3"/>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17"/>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3"/>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ind w:right="60"/>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Purifcaton Solutons Sales</w:t>
            </w: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FF0FC"/>
            </w:tcBorders>
            <w:shd w:val="clear" w:color="auto" w:fill="CFF0FC"/>
          </w:tcPr>
          <w:p>
            <w:pPr>
              <w:ind w:left="72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w:t>
            </w:r>
          </w:p>
        </w:tc>
        <w:tc>
          <w:tcPr>
            <w:tcW w:w="4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ind w:left="640"/>
              <w:spacing w:after="0" w:line="215" w:lineRule="exact"/>
              <w:rPr>
                <w:sz w:val="20"/>
                <w:szCs w:val="20"/>
                <w:color w:val="auto"/>
              </w:rPr>
            </w:pPr>
            <w:r>
              <w:rPr>
                <w:rFonts w:ascii="Calibri" w:cs="Calibri" w:eastAsia="Calibri" w:hAnsi="Calibri"/>
                <w:sz w:val="18"/>
                <w:szCs w:val="18"/>
                <w:color w:val="auto"/>
                <w:w w:val="97"/>
              </w:rPr>
              <w:t>—</w:t>
            </w:r>
          </w:p>
        </w:tc>
        <w:tc>
          <w:tcPr>
            <w:tcW w:w="4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97</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940" w:type="dxa"/>
            <w:vAlign w:val="bottom"/>
          </w:tcPr>
          <w:p>
            <w:pPr>
              <w:spacing w:after="0" w:line="215" w:lineRule="exact"/>
              <w:rPr>
                <w:sz w:val="20"/>
                <w:szCs w:val="20"/>
                <w:color w:val="auto"/>
              </w:rPr>
            </w:pPr>
            <w:r>
              <w:rPr>
                <w:rFonts w:ascii="Calibri" w:cs="Calibri" w:eastAsia="Calibri" w:hAnsi="Calibri"/>
                <w:sz w:val="18"/>
                <w:szCs w:val="18"/>
                <w:color w:val="auto"/>
              </w:rPr>
              <w:t>Purifcaton Solutons EBIT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ind w:left="72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ind w:left="640"/>
              <w:spacing w:after="0" w:line="215" w:lineRule="exact"/>
              <w:rPr>
                <w:sz w:val="20"/>
                <w:szCs w:val="20"/>
                <w:color w:val="auto"/>
              </w:rPr>
            </w:pPr>
            <w:r>
              <w:rPr>
                <w:rFonts w:ascii="Calibri" w:cs="Calibri" w:eastAsia="Calibri" w:hAnsi="Calibri"/>
                <w:sz w:val="18"/>
                <w:szCs w:val="18"/>
                <w:color w:val="auto"/>
                <w:w w:val="97"/>
              </w:rPr>
              <w:t>—</w:t>
            </w:r>
          </w:p>
        </w:tc>
        <w:tc>
          <w:tcPr>
            <w:tcW w:w="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12"/>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357"/>
              <w:spacing w:after="0"/>
              <w:rPr>
                <w:sz w:val="20"/>
                <w:szCs w:val="20"/>
                <w:color w:val="auto"/>
              </w:rPr>
            </w:pPr>
            <w:r>
              <w:rPr>
                <w:rFonts w:ascii="Calibri" w:cs="Calibri" w:eastAsia="Calibri" w:hAnsi="Calibri"/>
                <w:sz w:val="18"/>
                <w:szCs w:val="18"/>
                <w:color w:val="auto"/>
              </w:rPr>
              <w:t>27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9"/>
        </w:trPr>
        <w:tc>
          <w:tcPr>
            <w:tcW w:w="1140" w:type="dxa"/>
            <w:vAlign w:val="bottom"/>
            <w:tcBorders>
              <w:bottom w:val="single" w:sz="8" w:color="9A9A9A"/>
            </w:tcBorders>
          </w:tcPr>
          <w:p>
            <w:pPr>
              <w:spacing w:after="0"/>
              <w:rPr>
                <w:sz w:val="12"/>
                <w:szCs w:val="12"/>
                <w:color w:val="auto"/>
              </w:rPr>
            </w:pPr>
          </w:p>
        </w:tc>
        <w:tc>
          <w:tcPr>
            <w:tcW w:w="39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7" w:name="page28"/>
    <w:bookmarkEnd w:id="27"/>
    <w:p>
      <w:pPr>
        <w:ind w:left="520"/>
        <w:spacing w:after="0"/>
        <w:rPr>
          <w:sz w:val="20"/>
          <w:szCs w:val="20"/>
          <w:color w:val="auto"/>
        </w:rPr>
      </w:pPr>
      <w:r>
        <w:rPr>
          <w:rFonts w:ascii="Calibri" w:cs="Calibri" w:eastAsia="Calibri" w:hAnsi="Calibri"/>
          <w:sz w:val="18"/>
          <w:szCs w:val="18"/>
          <w:color w:val="auto"/>
        </w:rPr>
        <w:t>We divested the Purifcaton Solutons business in March 2022. Refer to Note D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Our liquidity positon, as measured by cash and cash equivalents plus borrowing availability, increased by $135 million during the frst six months of fscal 2023, which was due to a lower outstanding commercial paper balance at the end of the period. As of March 31, 2023, we had cash and cash equivalents of $205 million and borrowing availability under our revolving credit agreements of $992 million.</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have access to borrowings under the following two credit agreements:</w:t>
      </w:r>
    </w:p>
    <w:p>
      <w:pPr>
        <w:spacing w:after="0" w:line="82" w:lineRule="exact"/>
        <w:rPr>
          <w:sz w:val="20"/>
          <w:szCs w:val="20"/>
          <w:color w:val="auto"/>
        </w:rPr>
      </w:pPr>
    </w:p>
    <w:p>
      <w:pPr>
        <w:ind w:left="1260" w:right="180" w:hanging="368"/>
        <w:spacing w:after="0" w:line="235" w:lineRule="auto"/>
        <w:tabs>
          <w:tab w:leader="none" w:pos="126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$1 billion unsecured revolving credit agreement (the “U.S. Credit Agreement”) with JPMorgan Chase Bank, N.A., as Administratve Agent, Citbank, N.A., as Syndicaton Agent, and the other lenders party thereto, which matures in August 2026, subject to a one-year opton to extend the maturity, exercisable on or prior to August 6, 2023. The U.S. Credit Agreement supports our issuance of commercial paper, and borrowings under it may be used for working capital, leters of credit and other general corporate purposes.</w:t>
      </w:r>
    </w:p>
    <w:p>
      <w:pPr>
        <w:spacing w:after="0" w:line="97" w:lineRule="exact"/>
        <w:rPr>
          <w:rFonts w:ascii="Times New Roman" w:cs="Times New Roman" w:eastAsia="Times New Roman" w:hAnsi="Times New Roman"/>
          <w:sz w:val="18"/>
          <w:szCs w:val="18"/>
          <w:color w:val="auto"/>
        </w:rPr>
      </w:pPr>
    </w:p>
    <w:p>
      <w:pPr>
        <w:jc w:val="both"/>
        <w:ind w:left="1260" w:right="80" w:hanging="368"/>
        <w:spacing w:after="0" w:line="235" w:lineRule="auto"/>
        <w:tabs>
          <w:tab w:leader="none" w:pos="126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€300 million unsecured revolving credit agreement (the “Euro Credit Agreement”, and together with the U.S. Credit Agreement, the “Credit Agreements”), with Wells Fargo Bank, Natonal Associaton, as Administratve Agent, and the other lenders party thereto, which matures in May 2024 or earlier if the U.S. Credit Agreement should terminate early. Borrowings under the Euro Credit Agreement may be used for the repatriaton of earnings of our foreign subsidiaries to the United States, the repayment of indebtedness of our foreign subsidiaries owing to us or any of our subsidiaries and for working capital and general corporate purposes.</w:t>
      </w:r>
    </w:p>
    <w:p>
      <w:pPr>
        <w:spacing w:after="0" w:line="7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of March 31, 2023, we were in compliance with the debt covenants under the Credit Agreements, which, with limited exceptons, require us to comply on a quarterly basis with a leverage test requiring the rato of consolidated net debt to consolidated EBITDA not to exceed 3.50 to 1.00. Consolidated net debt is defned as consolidated debt ofset by the lesser of (i) unrestricted cash and cash equivalents and (ii) $150 million.</w:t>
      </w:r>
    </w:p>
    <w:p>
      <w:pPr>
        <w:spacing w:after="0" w:line="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 signifcant porton of our business occurs outside the U.S. and our cash generaton does not always align geographically with our cash needs. The vast majority of our cash and cash equivalent holdings tend to be held outside the U.S. We generally use a combinaton of U.S. earnings, repatriaton of certain foreign earnings, commercial paper issuances and borrowings under our U.S. Credit Agreement to meet our U.S. cash needs. With the excepton of Argentna, which has currency controls that prevent the distributon of cash, we are generally able to move cash throughout the Company through our cash pooling structures, intercompany accounts and/or distributons, as needed. Although we repatriate certain foreign earnings, cash held by foreign subsidiaries is generally considered permanently reinvested and is used to fnance the subsidiaries’ operatonal actvites and future investments. We usually reduce our commercial paper balance and, if applicable, borrowings under our Credit Agreements, at quarter-end using cash derived from customer collectons, setlement of intercompany balances and short-term intercompany loans. If additonal funds are needed in the U.S., we expect to be able to repatriate cash, including cash from China, while paying any withholding or other taxes. Changes in tax laws in the U.S. or foreign countries could restrict our ability to transfer funds or impose material costs on such transfers.</w:t>
      </w:r>
    </w:p>
    <w:p>
      <w:pPr>
        <w:spacing w:after="0" w:line="8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As of March 31, 2023, we had $992 million of availability under our Credit Agreements. As of March 31, 2023, we had $118 million of borrowings under the Euro Credit Agreement and no outstanding borrowings under the U.S. Credit Agreement. There was $217 million of commercial paper outstanding as of March 31, 2023.</w:t>
      </w:r>
    </w:p>
    <w:p>
      <w:pPr>
        <w:spacing w:after="0" w:line="7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antcipate sufcient liquidity from (i) cash on hand; (ii) cash fows from operatng actvites; and (iii) cash available from the Credit Agreements and our commercial paper program to meet our operatonal and capital investment needs and fnancial obligatons for the foreseeable future. The liquidity we derive from cash fows from operatons is, to a large degree, predicated on our ability to collect our receivables in a tmely manner, the cost of our raw materials, and our ability to manage inventory levels.</w:t>
      </w:r>
    </w:p>
    <w:p>
      <w:pPr>
        <w:spacing w:after="0" w:line="71" w:lineRule="exact"/>
        <w:rPr>
          <w:sz w:val="20"/>
          <w:szCs w:val="20"/>
          <w:color w:val="auto"/>
        </w:rPr>
      </w:pPr>
    </w:p>
    <w:p>
      <w:pPr>
        <w:ind w:right="1060" w:firstLine="509"/>
        <w:spacing w:after="0" w:line="317" w:lineRule="auto"/>
        <w:rPr>
          <w:sz w:val="20"/>
          <w:szCs w:val="20"/>
          <w:color w:val="auto"/>
        </w:rPr>
      </w:pPr>
      <w:r>
        <w:rPr>
          <w:rFonts w:ascii="Calibri" w:cs="Calibri" w:eastAsia="Calibri" w:hAnsi="Calibri"/>
          <w:sz w:val="18"/>
          <w:szCs w:val="18"/>
          <w:color w:val="auto"/>
        </w:rPr>
        <w:t xml:space="preserve">The following discussion of the changes in our cash balance refers to the various sectons of our Consolidated Statements of Cash Flows. </w:t>
      </w:r>
      <w:r>
        <w:rPr>
          <w:rFonts w:ascii="Calibri" w:cs="Calibri" w:eastAsia="Calibri" w:hAnsi="Calibri"/>
          <w:sz w:val="18"/>
          <w:szCs w:val="18"/>
          <w:b w:val="1"/>
          <w:bCs w:val="1"/>
          <w:i w:val="1"/>
          <w:iCs w:val="1"/>
          <w:color w:val="auto"/>
        </w:rPr>
        <w:t>Cash Flows from Operatng Actvites</w:t>
      </w:r>
    </w:p>
    <w:p>
      <w:pPr>
        <w:ind w:firstLine="509"/>
        <w:spacing w:after="0" w:line="235" w:lineRule="auto"/>
        <w:rPr>
          <w:sz w:val="20"/>
          <w:szCs w:val="20"/>
          <w:color w:val="auto"/>
        </w:rPr>
      </w:pPr>
      <w:r>
        <w:rPr>
          <w:rFonts w:ascii="Calibri" w:cs="Calibri" w:eastAsia="Calibri" w:hAnsi="Calibri"/>
          <w:sz w:val="18"/>
          <w:szCs w:val="18"/>
          <w:color w:val="auto"/>
        </w:rPr>
        <w:t>Cash provided by operatng actvites, which consists of net income adjusted for the various non-cash items included in income, changes in working capital and changes in certain other balance sheet accounts, totaled $214 million in the frst six months of fscal 2023 compared to $39 million of cash used by operatng actvites during the same period of fscal 2022.</w:t>
      </w:r>
    </w:p>
    <w:p>
      <w:pPr>
        <w:spacing w:after="0" w:line="1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ind w:right="100" w:firstLine="509"/>
        <w:spacing w:after="0" w:line="235" w:lineRule="auto"/>
        <w:rPr>
          <w:sz w:val="20"/>
          <w:szCs w:val="20"/>
          <w:color w:val="auto"/>
        </w:rPr>
      </w:pPr>
      <w:r>
        <w:rPr>
          <w:rFonts w:ascii="Calibri" w:cs="Calibri" w:eastAsia="Calibri" w:hAnsi="Calibri"/>
          <w:sz w:val="18"/>
          <w:szCs w:val="18"/>
          <w:color w:val="auto"/>
        </w:rPr>
        <w:t>Cash provided by operatng actvites in the frst six months of fscal 2023 was driven by business earnings excluding the non-cash impacts of depreciaton and amortzaton of $71 million and a decrease in net working capital of $25 million. The decrease in net working capital was largely driven by a decrease in accounts receivable due to lower customer prices from lower cost of raw materials and decreased sales volumes and a decrease in inventories and accounts payable and accrued expenses driven by lower cost of raw materials.</w:t>
      </w:r>
    </w:p>
    <w:p>
      <w:pPr>
        <w:spacing w:after="0" w:line="84"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Cash used by operatng actvites in the frst six months of fscal 2022 was driven by an increase in net working capital of $254 million. The increase in net working capital was driven by an increase in accounts receivable due to higher sales and an increase in inventory driven by a higher cost of raw materials, partally ofset by an increase in accounts payable.</w:t>
      </w:r>
    </w:p>
    <w:p>
      <w:pPr>
        <w:spacing w:after="0" w:line="6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Investng Actvites</w:t>
      </w:r>
    </w:p>
    <w:p>
      <w:pPr>
        <w:spacing w:after="0" w:line="6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Investng actvites consumed $64 million of cash in the frst six months of fscal 2023 compared to $15 million of cash provided in the frst six months of fscal 2022.</w:t>
      </w:r>
    </w:p>
    <w:p>
      <w:pPr>
        <w:spacing w:after="0" w:line="83" w:lineRule="exact"/>
        <w:rPr>
          <w:sz w:val="20"/>
          <w:szCs w:val="20"/>
          <w:color w:val="auto"/>
        </w:rPr>
      </w:pPr>
    </w:p>
    <w:p>
      <w:pPr>
        <w:ind w:firstLine="509"/>
        <w:spacing w:after="0" w:line="254" w:lineRule="auto"/>
        <w:rPr>
          <w:sz w:val="20"/>
          <w:szCs w:val="20"/>
          <w:color w:val="auto"/>
        </w:rPr>
      </w:pPr>
      <w:r>
        <w:rPr>
          <w:rFonts w:ascii="Calibri" w:cs="Calibri" w:eastAsia="Calibri" w:hAnsi="Calibri"/>
          <w:sz w:val="17"/>
          <w:szCs w:val="17"/>
          <w:color w:val="auto"/>
        </w:rPr>
        <w:t>In the frst six months of fscal 2023, investng actvites included $86 million of capital expenditures for sustaining and compliance capital projects at our operatng facilites as well as growth-related capital, including capacity expansion projects in Performance Chemicals, partally ofset by proceeds from the sale of land of $7 million, proceeds from the sale of our Purifcaton Solutons business of $6 million, and proceeds from insurance setlements of $6 million.</w:t>
      </w:r>
    </w:p>
    <w:p>
      <w:pPr>
        <w:spacing w:after="0" w:line="5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the frst six months of fscal 2022, investng actvites included capital expenditures for sustaining and compliance capital projects at our operatng facilites as well as capacity expansion capital expenditures primarily in Performance Chemicals. Capital expenditures totaled $71 million in the frst six months of fscal 2022.In additon, the frst six months of fscal 2022 includes $79 million of net cash proceeds from the sale of our Purifcaton Solutons business, as well as $5 million of cash assumed from the acquisiton of Tokai Carbon.</w:t>
      </w:r>
    </w:p>
    <w:p>
      <w:pPr>
        <w:spacing w:after="0" w:line="71"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Capital expenditures for fscal 2023 are expected to be between $250 million to $300 million. Our planned capital spending program for fscal 2023 is primarily for sustaining, compliance, and improvement capital projects at our operatng facilites as well as capacity expansion expenditures in the Performance Chemicals segment.</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Financing Actvites</w:t>
      </w:r>
    </w:p>
    <w:p>
      <w:pPr>
        <w:spacing w:after="0" w:line="69"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Financing actvites consumed $210 million of cash in the frst six months of fscal 2023 compared to $85 million of cash provided during the same period of fscal 2022.</w:t>
      </w:r>
    </w:p>
    <w:p>
      <w:pPr>
        <w:spacing w:after="0" w:line="6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the frst six months of fscal 2023, fnancing actvites primarily consisted of the repayment of commercial paper of $105 million, dividend payments to stockholders of $42 million, share repurchases of $33 million, cash dividends paid to noncontrolling interests of $41 million and repayments of long-term debt of $7 million. These payments were partally ofset by proceeds from short-term borrowings of $14 million and proceeds from sales of common stock of $4 million.</w:t>
      </w:r>
    </w:p>
    <w:p>
      <w:pPr>
        <w:spacing w:after="0" w:line="84"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In the frst six months of fscal 2022, fnancing actvites primarily consisted of the issuance of commercial paper of $167 million and proceeds from short-term borrowings of $13 million, partally ofset by dividend payments to stockholders of $42 million, share repurchases of $34 million, dividend payments to noncontrolling interests of $15 million, and repayments of long-term debt of $7 million.</w:t>
      </w:r>
    </w:p>
    <w:p>
      <w:pPr>
        <w:spacing w:after="0" w:line="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Informaton</w:t>
      </w:r>
    </w:p>
    <w:p>
      <w:pPr>
        <w:spacing w:after="0" w:line="6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This report on Form 10-Q contains “forward-looking statements” under the Federal securites laws. These forward-looking statements address expectatons or projectons about the future, including our expectatons regarding our future business performance and overall prospects, including for EBIT and volumes in the third quarter of fscal 2023 in our Reinforcement Materials segment, and for volumes across all product lines in the third fscal quarter of fscal 2023 in our Performance Chemicals segment; demand for our products; the sufciency of our cash on hand, cash provided from operatons and cash available under our credit and commercial paper facilites to fund our cash requirements; antcipated capital spending; regulatory developments; cash requirements and uses of available cash, including future cash outlays associated with respirator liabilites and the tming of such outlays; amortzaton expenses; our operatng tax rate; and the possible outcome of legal and environmental proceedings. From tme to tme, we also provide forward-looking statements in other materials we release to the public and in oral statements made by authorized ofcers.</w:t>
      </w:r>
    </w:p>
    <w:p>
      <w:pPr>
        <w:spacing w:after="0" w:line="88" w:lineRule="exact"/>
        <w:rPr>
          <w:sz w:val="20"/>
          <w:szCs w:val="20"/>
          <w:color w:val="auto"/>
        </w:rPr>
      </w:pPr>
    </w:p>
    <w:p>
      <w:pPr>
        <w:ind w:right="100" w:firstLine="509"/>
        <w:spacing w:after="0" w:line="251" w:lineRule="auto"/>
        <w:rPr>
          <w:sz w:val="20"/>
          <w:szCs w:val="20"/>
          <w:color w:val="auto"/>
        </w:rPr>
      </w:pPr>
      <w:r>
        <w:rPr>
          <w:rFonts w:ascii="Calibri" w:cs="Calibri" w:eastAsia="Calibri" w:hAnsi="Calibri"/>
          <w:sz w:val="17"/>
          <w:szCs w:val="17"/>
          <w:color w:val="auto"/>
        </w:rPr>
        <w:t>Forward-looking statements are not guarantees of future performance and are subject to risks, uncertaintes, potentally inaccurate assumptons, and other factors, some of which are beyond our control or difcult to predict. If known or unknown risks materialize, our actual results could difer materially from those expressed in the forward-looking statements. Importantly, as we cannot predict the duraton or scope of the COVID‐19 pandemic, the negatve impact to our results cannot be estmated. Factors that will infuence the impact on our business and operatons include the duraton and extent of the pandemic, the virulence and spread of diferent strains of the virus and the level and tming of vaccine distributon around the world and its impact on the</w:t>
      </w:r>
    </w:p>
    <w:p>
      <w:pPr>
        <w:spacing w:after="0" w:line="16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9" w:name="page30"/>
    <w:bookmarkEnd w:id="29"/>
    <w:p>
      <w:pPr>
        <w:ind w:right="140"/>
        <w:spacing w:after="0" w:line="235" w:lineRule="auto"/>
        <w:rPr>
          <w:sz w:val="20"/>
          <w:szCs w:val="20"/>
          <w:color w:val="auto"/>
        </w:rPr>
      </w:pPr>
      <w:r>
        <w:rPr>
          <w:rFonts w:ascii="Calibri" w:cs="Calibri" w:eastAsia="Calibri" w:hAnsi="Calibri"/>
          <w:sz w:val="18"/>
          <w:szCs w:val="18"/>
          <w:color w:val="auto"/>
        </w:rPr>
        <w:t>stability of economic recovery and growth, the degree of disrupton in supply chains from global logistcs maters resultng from the COVID‐19 pandemic, impacts to manufacturing operatons resultng from government-imposed lockdowns, and other general economic consequences of the pandemic. Further, the COVID-19 pandemic has also contributed to increased costs and decreased availability of labor and materials for constructon projects, and these factors have increased the costs of our capital improvement projects and may delay our completon of such projects.</w:t>
      </w:r>
    </w:p>
    <w:p>
      <w:pPr>
        <w:spacing w:after="0" w:line="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additon to factors described elsewhere in this report, the following are some of the factors that could cause our actual results to difer materially from those expressed in our forward-looking statements: industry capacity utlizaton and competton from other specialty chemical companies; safety, health and environmental requirements and related constraints imposed on our business; regulatory and fnancial risks related to climate change developments; volatlity in the price and availability of energy and raw materials, including with respect to the Russian invasion of Ukraine; a signifcant adverse change in a customer relatonship or the failure of a customer to perform its obligatons under agreements with us; failure to achieve growth expectatons from new products, applicatons and technology developments; failure to realize benefts from acquisitons, alliances, or joint ventures or achieve our portolio management objectves; negatve or uncertain worldwide or regional economic conditons and market opportunites, including from trade relatons, global health maters or geo-politcal conficts; litgaton or legal proceedings; tax rates and fuctuatons in foreign currency exchange and interest rates; our inability to complete capacity expansions or other development projects; and the accuracy of the assumptons we used in establishing reserves for our share of liability for respirator claims. These other factors and risks are discussed more fully in our 2022 10-K and in our subsequent SEC flings.</w:t>
      </w:r>
    </w:p>
    <w:p>
      <w:pPr>
        <w:spacing w:after="0" w:line="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3.  Quanttatve and Qualitatve Disclosures About Market Risk</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Informaton about market risks for the period ended March 31, 2023 does not difer materially from that discussed under Item 7A of our 2022 10-K.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4.  Controls and Procedures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March 31, 2023, we carried out an evaluaton, under the supervision and with the partcipaton of our management, including our principal executve ofcer and our principal fnancial ofcer, of the efectveness of our disclosure controls and procedures pursuant to Rule 13a-15 under the Securites Exchange Act of 1934, as amended. Based upon that evaluaton, our principal executve ofcer and our principal fnancial ofcer concluded that our disclosure controls and procedures were efectve as of that date.</w:t>
      </w:r>
    </w:p>
    <w:p>
      <w:pPr>
        <w:spacing w:after="0" w:line="84" w:lineRule="exact"/>
        <w:rPr>
          <w:sz w:val="20"/>
          <w:szCs w:val="20"/>
          <w:color w:val="auto"/>
        </w:rPr>
      </w:pPr>
    </w:p>
    <w:p>
      <w:pPr>
        <w:ind w:right="580" w:firstLine="509"/>
        <w:spacing w:after="0" w:line="235" w:lineRule="auto"/>
        <w:rPr>
          <w:sz w:val="20"/>
          <w:szCs w:val="20"/>
          <w:color w:val="auto"/>
        </w:rPr>
      </w:pPr>
      <w:r>
        <w:rPr>
          <w:rFonts w:ascii="Calibri" w:cs="Calibri" w:eastAsia="Calibri" w:hAnsi="Calibri"/>
          <w:sz w:val="18"/>
          <w:szCs w:val="18"/>
          <w:color w:val="auto"/>
        </w:rPr>
        <w:t>There were no changes in our internal controls over fnancial reportng that occurred during our fscal quarter ended March 31, 2023 that have materially afected, or are reasonably likely to materially afect, our internal control over fnancial reportng.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i w:val="1"/>
          <w:iCs w:val="1"/>
          <w:color w:val="auto"/>
        </w:rPr>
        <w:t>Part II. Other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2.  Unregistered Sales of Equity Securites and Use of Proceeds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sets forth informaton regarding Cabot’s purchases of its equity securites during the quarter ended March 31,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Calibri" w:cs="Calibri" w:eastAsia="Calibri" w:hAnsi="Calibri"/>
                <w:sz w:val="14"/>
                <w:szCs w:val="14"/>
                <w:b w:val="1"/>
                <w:bCs w:val="1"/>
                <w:color w:val="auto"/>
              </w:rPr>
              <w:t>Maximum Number (or</w:t>
            </w:r>
          </w:p>
        </w:tc>
        <w:tc>
          <w:tcPr>
            <w:tcW w:w="1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alibri" w:cs="Calibri" w:eastAsia="Calibri" w:hAnsi="Calibri"/>
                <w:sz w:val="14"/>
                <w:szCs w:val="14"/>
                <w:b w:val="1"/>
                <w:bCs w:val="1"/>
                <w:color w:val="auto"/>
              </w:rPr>
              <w:t>Approximate Dollar</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Calibri" w:cs="Calibri" w:eastAsia="Calibri" w:hAnsi="Calibri"/>
                <w:sz w:val="14"/>
                <w:szCs w:val="14"/>
                <w:b w:val="1"/>
                <w:bCs w:val="1"/>
                <w:color w:val="auto"/>
              </w:rPr>
              <w:t>Shares Purchased</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alibri" w:cs="Calibri" w:eastAsia="Calibri" w:hAnsi="Calibri"/>
                <w:sz w:val="14"/>
                <w:szCs w:val="14"/>
                <w:b w:val="1"/>
                <w:bCs w:val="1"/>
                <w:color w:val="auto"/>
              </w:rPr>
              <w:t>Value) of Shares that</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Calibri" w:cs="Calibri" w:eastAsia="Calibri" w:hAnsi="Calibri"/>
                <w:sz w:val="14"/>
                <w:szCs w:val="14"/>
                <w:b w:val="1"/>
                <w:bCs w:val="1"/>
                <w:color w:val="auto"/>
              </w:rPr>
              <w:t>as Part of Publicly</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alibri" w:cs="Calibri" w:eastAsia="Calibri" w:hAnsi="Calibri"/>
                <w:sz w:val="14"/>
                <w:szCs w:val="14"/>
                <w:b w:val="1"/>
                <w:bCs w:val="1"/>
                <w:color w:val="auto"/>
              </w:rPr>
              <w:t>May Yet Be Purchased</w:t>
            </w:r>
          </w:p>
        </w:tc>
        <w:tc>
          <w:tcPr>
            <w:tcW w:w="10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Shares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277"/>
              <w:spacing w:after="0" w:line="159" w:lineRule="exact"/>
              <w:rPr>
                <w:sz w:val="20"/>
                <w:szCs w:val="20"/>
                <w:color w:val="auto"/>
              </w:rPr>
            </w:pPr>
            <w:r>
              <w:rPr>
                <w:rFonts w:ascii="Calibri" w:cs="Calibri" w:eastAsia="Calibri" w:hAnsi="Calibri"/>
                <w:sz w:val="14"/>
                <w:szCs w:val="14"/>
                <w:b w:val="1"/>
                <w:bCs w:val="1"/>
                <w:color w:val="auto"/>
              </w:rPr>
              <w:t>Average Price</w:t>
            </w:r>
          </w:p>
        </w:tc>
        <w:tc>
          <w:tcPr>
            <w:tcW w:w="22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Announced Plans or</w:t>
            </w:r>
          </w:p>
        </w:tc>
        <w:tc>
          <w:tcPr>
            <w:tcW w:w="220" w:type="dxa"/>
            <w:vAlign w:val="bottom"/>
          </w:tcPr>
          <w:p>
            <w:pPr>
              <w:spacing w:after="0"/>
              <w:rPr>
                <w:sz w:val="13"/>
                <w:szCs w:val="13"/>
                <w:color w:val="auto"/>
              </w:rPr>
            </w:pPr>
          </w:p>
        </w:tc>
        <w:tc>
          <w:tcPr>
            <w:tcW w:w="17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Under the Plans or</w:t>
            </w:r>
          </w:p>
        </w:tc>
        <w:tc>
          <w:tcPr>
            <w:tcW w:w="100" w:type="dxa"/>
            <w:vAlign w:val="bottom"/>
          </w:tcPr>
          <w:p>
            <w:pPr>
              <w:spacing w:after="0"/>
              <w:rPr>
                <w:sz w:val="13"/>
                <w:szCs w:val="13"/>
                <w:color w:val="auto"/>
              </w:rPr>
            </w:pPr>
          </w:p>
        </w:tc>
      </w:tr>
      <w:tr>
        <w:trPr>
          <w:trHeight w:val="185"/>
        </w:trPr>
        <w:tc>
          <w:tcPr>
            <w:tcW w:w="420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Period</w:t>
            </w:r>
          </w:p>
        </w:tc>
        <w:tc>
          <w:tcPr>
            <w:tcW w:w="160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4"/>
              </w:rPr>
              <w:t>Purchased</w:t>
            </w:r>
            <w:r>
              <w:rPr>
                <w:rFonts w:ascii="Calibri" w:cs="Calibri" w:eastAsia="Calibri" w:hAnsi="Calibri"/>
                <w:sz w:val="19"/>
                <w:szCs w:val="19"/>
                <w:b w:val="1"/>
                <w:bCs w:val="1"/>
                <w:color w:val="auto"/>
                <w:w w:val="94"/>
                <w:vertAlign w:val="superscript"/>
              </w:rPr>
              <w:t>(1)(2)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37"/>
              <w:spacing w:after="0"/>
              <w:rPr>
                <w:sz w:val="20"/>
                <w:szCs w:val="20"/>
                <w:color w:val="auto"/>
              </w:rPr>
            </w:pPr>
            <w:r>
              <w:rPr>
                <w:rFonts w:ascii="Calibri" w:cs="Calibri" w:eastAsia="Calibri" w:hAnsi="Calibri"/>
                <w:sz w:val="14"/>
                <w:szCs w:val="14"/>
                <w:b w:val="1"/>
                <w:bCs w:val="1"/>
                <w:color w:val="auto"/>
              </w:rPr>
              <w:t>Paid per Share</w:t>
            </w:r>
          </w:p>
        </w:tc>
        <w:tc>
          <w:tcPr>
            <w:tcW w:w="220" w:type="dxa"/>
            <w:vAlign w:val="bottom"/>
          </w:tcPr>
          <w:p>
            <w:pPr>
              <w:spacing w:after="0"/>
              <w:rPr>
                <w:sz w:val="16"/>
                <w:szCs w:val="16"/>
                <w:color w:val="auto"/>
              </w:rPr>
            </w:pPr>
          </w:p>
        </w:tc>
        <w:tc>
          <w:tcPr>
            <w:tcW w:w="144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c>
          <w:tcPr>
            <w:tcW w:w="220" w:type="dxa"/>
            <w:vAlign w:val="bottom"/>
          </w:tcPr>
          <w:p>
            <w:pPr>
              <w:spacing w:after="0"/>
              <w:rPr>
                <w:sz w:val="16"/>
                <w:szCs w:val="16"/>
                <w:color w:val="auto"/>
              </w:rPr>
            </w:pPr>
          </w:p>
        </w:tc>
        <w:tc>
          <w:tcPr>
            <w:tcW w:w="170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4"/>
              </w:rPr>
              <w:t>Programs</w:t>
            </w:r>
            <w:r>
              <w:rPr>
                <w:rFonts w:ascii="Calibri" w:cs="Calibri" w:eastAsia="Calibri" w:hAnsi="Calibri"/>
                <w:sz w:val="19"/>
                <w:szCs w:val="19"/>
                <w:b w:val="1"/>
                <w:bCs w:val="1"/>
                <w:color w:val="auto"/>
                <w:w w:val="94"/>
                <w:vertAlign w:val="superscript"/>
              </w:rPr>
              <w:t>(1)</w:t>
            </w: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20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January 1, 2023 - January 31, 2023</w:t>
            </w:r>
          </w:p>
        </w:tc>
        <w:tc>
          <w:tcPr>
            <w:tcW w:w="1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4,100,166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20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February 1, 2023 - February 28, 2023</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27,400</w:t>
            </w:r>
          </w:p>
        </w:tc>
        <w:tc>
          <w:tcPr>
            <w:tcW w:w="46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79.09</w:t>
            </w:r>
          </w:p>
        </w:tc>
        <w:tc>
          <w:tcPr>
            <w:tcW w:w="16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27,400</w:t>
            </w:r>
          </w:p>
        </w:tc>
        <w:tc>
          <w:tcPr>
            <w:tcW w:w="1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4,072,766</w:t>
            </w:r>
          </w:p>
        </w:tc>
        <w:tc>
          <w:tcPr>
            <w:tcW w:w="10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200" w:type="dxa"/>
            <w:vAlign w:val="bottom"/>
            <w:tcBorders>
              <w:bottom w:val="single" w:sz="8" w:color="CFF0FC"/>
            </w:tcBorders>
            <w:gridSpan w:val="3"/>
            <w:shd w:val="clear" w:color="auto" w:fill="CFF0FC"/>
          </w:tcPr>
          <w:p>
            <w:pPr>
              <w:ind w:left="20"/>
              <w:spacing w:after="0"/>
              <w:rPr>
                <w:sz w:val="20"/>
                <w:szCs w:val="20"/>
                <w:color w:val="auto"/>
              </w:rPr>
            </w:pPr>
            <w:r>
              <w:rPr>
                <w:rFonts w:ascii="Calibri" w:cs="Calibri" w:eastAsia="Calibri" w:hAnsi="Calibri"/>
                <w:sz w:val="18"/>
                <w:szCs w:val="18"/>
                <w:color w:val="auto"/>
              </w:rPr>
              <w:t>March 1, 2023 - March 31, 2023</w:t>
            </w:r>
          </w:p>
        </w:tc>
        <w:tc>
          <w:tcPr>
            <w:tcW w:w="1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169,033</w:t>
            </w:r>
          </w:p>
        </w:tc>
        <w:tc>
          <w:tcPr>
            <w:tcW w:w="460" w:type="dxa"/>
            <w:vAlign w:val="bottom"/>
            <w:tcBorders>
              <w:bottom w:val="single" w:sz="8" w:color="CFF0FC"/>
            </w:tcBorders>
            <w:gridSpan w:val="2"/>
            <w:shd w:val="clear" w:color="auto" w:fill="CFF0FC"/>
          </w:tcPr>
          <w:p>
            <w:pPr>
              <w:jc w:val="right"/>
              <w:ind w:right="10"/>
              <w:spacing w:after="0"/>
              <w:rPr>
                <w:sz w:val="20"/>
                <w:szCs w:val="20"/>
                <w:color w:val="auto"/>
              </w:rPr>
            </w:pPr>
            <w:r>
              <w:rPr>
                <w:rFonts w:ascii="Calibri" w:cs="Calibri" w:eastAsia="Calibri" w:hAnsi="Calibri"/>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75.89</w:t>
            </w:r>
          </w:p>
        </w:tc>
        <w:tc>
          <w:tcPr>
            <w:tcW w:w="16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169,033</w:t>
            </w:r>
          </w:p>
        </w:tc>
        <w:tc>
          <w:tcPr>
            <w:tcW w:w="19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8"/>
                <w:szCs w:val="18"/>
                <w:color w:val="auto"/>
              </w:rPr>
              <w:t>3,903,733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200" w:type="dxa"/>
            <w:vAlign w:val="bottom"/>
            <w:tcBorders>
              <w:top w:val="single" w:sz="8" w:color="CFF0FC"/>
            </w:tcBorders>
            <w:gridSpan w:val="3"/>
          </w:tcPr>
          <w:p>
            <w:pPr>
              <w:ind w:left="20"/>
              <w:spacing w:after="0"/>
              <w:rPr>
                <w:sz w:val="20"/>
                <w:szCs w:val="20"/>
                <w:color w:val="auto"/>
              </w:rPr>
            </w:pPr>
            <w:r>
              <w:rPr>
                <w:rFonts w:ascii="Calibri" w:cs="Calibri" w:eastAsia="Calibri" w:hAnsi="Calibri"/>
                <w:sz w:val="18"/>
                <w:szCs w:val="18"/>
                <w:color w:val="auto"/>
              </w:rPr>
              <w:t>Total</w:t>
            </w:r>
          </w:p>
        </w:tc>
        <w:tc>
          <w:tcPr>
            <w:tcW w:w="16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196,433</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196,433</w:t>
            </w:r>
          </w:p>
        </w:tc>
        <w:tc>
          <w:tcPr>
            <w:tcW w:w="220" w:type="dxa"/>
            <w:vAlign w:val="bottom"/>
            <w:tcBorders>
              <w:top w:val="single" w:sz="8" w:color="CFF0FC"/>
            </w:tcBorders>
          </w:tcPr>
          <w:p>
            <w:pPr>
              <w:spacing w:after="0"/>
              <w:rPr>
                <w:sz w:val="20"/>
                <w:szCs w:val="20"/>
                <w:color w:val="auto"/>
              </w:rPr>
            </w:pPr>
          </w:p>
        </w:tc>
        <w:tc>
          <w:tcPr>
            <w:tcW w:w="17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-187960</wp:posOffset>
            </wp:positionV>
            <wp:extent cx="7683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6858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jc w:val="both"/>
        <w:ind w:left="520" w:right="120" w:hanging="512"/>
        <w:spacing w:after="0" w:line="211" w:lineRule="auto"/>
        <w:tabs>
          <w:tab w:leader="none" w:pos="520" w:val="left"/>
        </w:tabs>
        <w:numPr>
          <w:ilvl w:val="0"/>
          <w:numId w:val="11"/>
        </w:numPr>
        <w:rPr>
          <w:rFonts w:ascii="Calibri" w:cs="Calibri" w:eastAsia="Calibri" w:hAnsi="Calibri"/>
          <w:sz w:val="24"/>
          <w:szCs w:val="24"/>
          <w:color w:val="auto"/>
          <w:vertAlign w:val="superscript"/>
        </w:rPr>
      </w:pPr>
      <w:r>
        <w:rPr>
          <w:rFonts w:ascii="Calibri" w:cs="Calibri" w:eastAsia="Calibri" w:hAnsi="Calibri"/>
          <w:sz w:val="18"/>
          <w:szCs w:val="18"/>
          <w:color w:val="auto"/>
        </w:rPr>
        <w:t>On July 13, 2018, Cabot publicly announced that the Board of Directors authorized the Company to repurchase up to an additonal ten million shares of its common stock on the open market or in privately negotated transactons, increasing the balance of shares available for repurchase at that tme to approximately eleven million shares. The current authorizaton does not have a set expiraton date.</w:t>
      </w:r>
    </w:p>
    <w:p>
      <w:pPr>
        <w:spacing w:after="0" w:line="31" w:lineRule="exact"/>
        <w:rPr>
          <w:rFonts w:ascii="Calibri" w:cs="Calibri" w:eastAsia="Calibri" w:hAnsi="Calibri"/>
          <w:sz w:val="24"/>
          <w:szCs w:val="24"/>
          <w:color w:val="auto"/>
          <w:vertAlign w:val="superscript"/>
        </w:rPr>
      </w:pPr>
    </w:p>
    <w:p>
      <w:pPr>
        <w:ind w:left="520" w:right="320" w:hanging="512"/>
        <w:spacing w:after="0" w:line="201" w:lineRule="auto"/>
        <w:tabs>
          <w:tab w:leader="none" w:pos="520" w:val="left"/>
        </w:tabs>
        <w:numPr>
          <w:ilvl w:val="0"/>
          <w:numId w:val="11"/>
        </w:numPr>
        <w:rPr>
          <w:rFonts w:ascii="Calibri" w:cs="Calibri" w:eastAsia="Calibri" w:hAnsi="Calibri"/>
          <w:sz w:val="24"/>
          <w:szCs w:val="24"/>
          <w:color w:val="auto"/>
          <w:vertAlign w:val="superscript"/>
        </w:rPr>
      </w:pPr>
      <w:r>
        <w:rPr>
          <w:rFonts w:ascii="Calibri" w:cs="Calibri" w:eastAsia="Calibri" w:hAnsi="Calibri"/>
          <w:sz w:val="18"/>
          <w:szCs w:val="18"/>
          <w:color w:val="auto"/>
        </w:rPr>
        <w:t>Total number of shares purchased does not include 1,816 shares withheld to pay taxes on the vestng of equity awards made under the Company's equity incentve plans or to pay the exercise price of optons exercised during the period.</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6.  Exhibits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ind w:left="520"/>
              <w:spacing w:after="0"/>
              <w:rPr>
                <w:sz w:val="20"/>
                <w:szCs w:val="20"/>
                <w:color w:val="auto"/>
              </w:rPr>
            </w:pPr>
            <w:r>
              <w:rPr>
                <w:rFonts w:ascii="Calibri" w:cs="Calibri" w:eastAsia="Calibri" w:hAnsi="Calibri"/>
                <w:sz w:val="14"/>
                <w:szCs w:val="14"/>
                <w:b w:val="1"/>
                <w:bCs w:val="1"/>
                <w:color w:val="auto"/>
              </w:rPr>
              <w:t>Exhibit No.</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580" w:type="dxa"/>
            <w:vAlign w:val="bottom"/>
            <w:gridSpan w:val="10"/>
          </w:tcPr>
          <w:p>
            <w:pPr>
              <w:ind w:left="2520"/>
              <w:spacing w:after="0"/>
              <w:rPr>
                <w:sz w:val="20"/>
                <w:szCs w:val="20"/>
                <w:color w:val="auto"/>
              </w:rPr>
            </w:pPr>
            <w:r>
              <w:rPr>
                <w:rFonts w:ascii="Calibri" w:cs="Calibri" w:eastAsia="Calibri" w:hAnsi="Calibri"/>
                <w:sz w:val="14"/>
                <w:szCs w:val="14"/>
                <w:b w:val="1"/>
                <w:bCs w:val="1"/>
                <w:color w:val="auto"/>
              </w:rPr>
              <w:t>Descripton</w:t>
            </w:r>
          </w:p>
        </w:tc>
      </w:tr>
      <w:tr>
        <w:trPr>
          <w:trHeight w:val="33"/>
        </w:trPr>
        <w:tc>
          <w:tcPr>
            <w:tcW w:w="1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3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w:t>
            </w:r>
          </w:p>
        </w:tc>
        <w:tc>
          <w:tcPr>
            <w:tcW w:w="140" w:type="dxa"/>
            <w:vAlign w:val="bottom"/>
          </w:tcPr>
          <w:p>
            <w:pPr>
              <w:spacing w:after="0"/>
              <w:rPr>
                <w:sz w:val="24"/>
                <w:szCs w:val="24"/>
                <w:color w:val="auto"/>
              </w:rPr>
            </w:pPr>
          </w:p>
        </w:tc>
        <w:tc>
          <w:tcPr>
            <w:tcW w:w="9380" w:type="dxa"/>
            <w:vAlign w:val="bottom"/>
            <w:tcBorders>
              <w:bottom w:val="single" w:sz="8" w:color="0000EE"/>
            </w:tcBorders>
            <w:gridSpan w:val="11"/>
          </w:tcPr>
          <w:p>
            <w:pPr>
              <w:spacing w:after="0"/>
              <w:rPr>
                <w:rFonts w:ascii="Calibri" w:cs="Calibri" w:eastAsia="Calibri" w:hAnsi="Calibri"/>
                <w:sz w:val="18"/>
                <w:szCs w:val="18"/>
                <w:color w:val="0000FF"/>
                <w:w w:val="99"/>
              </w:rPr>
            </w:pPr>
            <w:hyperlink r:id="rId242">
              <w:r>
                <w:rPr>
                  <w:rFonts w:ascii="Calibri" w:cs="Calibri" w:eastAsia="Calibri" w:hAnsi="Calibri"/>
                  <w:sz w:val="18"/>
                  <w:szCs w:val="18"/>
                  <w:color w:val="0000FF"/>
                  <w:w w:val="99"/>
                </w:rPr>
                <w:t>Restated Certfcate of Incorporaton of Cabot Corporaton efectve January 9, 2009 (incorporated herein by reference to Exhibit 3.1</w:t>
              </w:r>
            </w:hyperlink>
          </w:p>
        </w:tc>
        <w:tc>
          <w:tcPr>
            <w:tcW w:w="2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EE"/>
            </w:tcBorders>
            <w:gridSpan w:val="10"/>
          </w:tcPr>
          <w:p>
            <w:pPr>
              <w:spacing w:after="0" w:line="196" w:lineRule="exact"/>
              <w:rPr>
                <w:rFonts w:ascii="Calibri" w:cs="Calibri" w:eastAsia="Calibri" w:hAnsi="Calibri"/>
                <w:sz w:val="18"/>
                <w:szCs w:val="18"/>
                <w:color w:val="0000FF"/>
                <w:w w:val="98"/>
              </w:rPr>
            </w:pPr>
            <w:hyperlink r:id="rId242">
              <w:r>
                <w:rPr>
                  <w:rFonts w:ascii="Calibri" w:cs="Calibri" w:eastAsia="Calibri" w:hAnsi="Calibri"/>
                  <w:sz w:val="18"/>
                  <w:szCs w:val="18"/>
                  <w:color w:val="0000FF"/>
                  <w:w w:val="98"/>
                </w:rPr>
                <w:t>of Cabot’s Quarterly Report on Form 10-Q for the quarterly period ended December 31, 2008, fle reference 1-5667, fled with the</w:t>
              </w:r>
            </w:hyperlink>
          </w:p>
        </w:tc>
        <w:tc>
          <w:tcPr>
            <w:tcW w:w="140" w:type="dxa"/>
            <w:vAlign w:val="bottom"/>
            <w:gridSpan w:val="2"/>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Calibri" w:cs="Calibri" w:eastAsia="Calibri" w:hAnsi="Calibri"/>
                <w:sz w:val="18"/>
                <w:szCs w:val="18"/>
                <w:color w:val="0000FF"/>
                <w:w w:val="96"/>
              </w:rPr>
            </w:pPr>
            <w:hyperlink r:id="rId242">
              <w:r>
                <w:rPr>
                  <w:rFonts w:ascii="Calibri" w:cs="Calibri" w:eastAsia="Calibri" w:hAnsi="Calibri"/>
                  <w:sz w:val="18"/>
                  <w:szCs w:val="18"/>
                  <w:color w:val="0000FF"/>
                  <w:w w:val="96"/>
                </w:rPr>
                <w:t>SEC on February 9, 2009).</w:t>
              </w:r>
            </w:hyperlink>
          </w:p>
        </w:tc>
        <w:tc>
          <w:tcPr>
            <w:tcW w:w="7580" w:type="dxa"/>
            <w:vAlign w:val="bottom"/>
            <w:gridSpan w:val="10"/>
          </w:tcPr>
          <w:p>
            <w:pPr>
              <w:spacing w:after="0"/>
              <w:rPr>
                <w:sz w:val="17"/>
                <w:szCs w:val="17"/>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8540" w:type="dxa"/>
            <w:vAlign w:val="bottom"/>
            <w:tcBorders>
              <w:bottom w:val="single" w:sz="8" w:color="0000EE"/>
            </w:tcBorders>
            <w:gridSpan w:val="9"/>
          </w:tcPr>
          <w:p>
            <w:pPr>
              <w:spacing w:after="0"/>
              <w:rPr>
                <w:rFonts w:ascii="Calibri" w:cs="Calibri" w:eastAsia="Calibri" w:hAnsi="Calibri"/>
                <w:sz w:val="18"/>
                <w:szCs w:val="18"/>
                <w:color w:val="0000FF"/>
                <w:w w:val="97"/>
              </w:rPr>
            </w:pPr>
            <w:hyperlink r:id="rId243">
              <w:r>
                <w:rPr>
                  <w:rFonts w:ascii="Calibri" w:cs="Calibri" w:eastAsia="Calibri" w:hAnsi="Calibri"/>
                  <w:sz w:val="18"/>
                  <w:szCs w:val="18"/>
                  <w:color w:val="0000FF"/>
                  <w:w w:val="97"/>
                </w:rPr>
                <w:t>The By-laws of Cabot Corporaton as amended January 7, 2021 (incorporated herein by reference to Exhibit 3.1 of Cabot</w:t>
              </w:r>
            </w:hyperlink>
          </w:p>
        </w:tc>
        <w:tc>
          <w:tcPr>
            <w:tcW w:w="860" w:type="dxa"/>
            <w:vAlign w:val="bottom"/>
            <w:gridSpan w:val="3"/>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gridSpan w:val="12"/>
          </w:tcPr>
          <w:p>
            <w:pPr>
              <w:spacing w:after="0" w:line="196" w:lineRule="exact"/>
              <w:rPr>
                <w:rFonts w:ascii="Calibri" w:cs="Calibri" w:eastAsia="Calibri" w:hAnsi="Calibri"/>
                <w:sz w:val="18"/>
                <w:szCs w:val="18"/>
                <w:color w:val="0000FF"/>
              </w:rPr>
            </w:pPr>
            <w:hyperlink r:id="rId243">
              <w:r>
                <w:rPr>
                  <w:rFonts w:ascii="Calibri" w:cs="Calibri" w:eastAsia="Calibri" w:hAnsi="Calibri"/>
                  <w:sz w:val="18"/>
                  <w:szCs w:val="18"/>
                  <w:color w:val="0000FF"/>
                </w:rPr>
                <w:t>Corporaton’s Current Report on Form 8-K, fle reference 1-5667, fled with the SEC on January 12, 2021).</w:t>
              </w:r>
            </w:hyperlink>
          </w:p>
        </w:tc>
      </w:tr>
      <w:tr>
        <w:trPr>
          <w:trHeight w:val="20"/>
        </w:trPr>
        <w:tc>
          <w:tcPr>
            <w:tcW w:w="17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31.1*</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0000FF"/>
              </w:rPr>
              <w:t>Certfcaton of Principal Executve Ofcer required by Rule 13a-14(a) or Rule 15d-14(a) of the Exchange Act.</w:t>
            </w: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31.2*</w:t>
            </w:r>
          </w:p>
        </w:tc>
        <w:tc>
          <w:tcPr>
            <w:tcW w:w="140" w:type="dxa"/>
            <w:vAlign w:val="bottom"/>
          </w:tcPr>
          <w:p>
            <w:pPr>
              <w:spacing w:after="0"/>
              <w:rPr>
                <w:sz w:val="24"/>
                <w:szCs w:val="24"/>
                <w:color w:val="auto"/>
              </w:rPr>
            </w:pPr>
          </w:p>
        </w:tc>
        <w:tc>
          <w:tcPr>
            <w:tcW w:w="7600" w:type="dxa"/>
            <w:vAlign w:val="bottom"/>
            <w:tcBorders>
              <w:top w:val="single" w:sz="8" w:color="0000FF"/>
              <w:bottom w:val="single" w:sz="8" w:color="0000FF"/>
            </w:tcBorders>
            <w:gridSpan w:val="4"/>
          </w:tcPr>
          <w:p>
            <w:pPr>
              <w:spacing w:after="0"/>
              <w:rPr>
                <w:sz w:val="20"/>
                <w:szCs w:val="20"/>
                <w:color w:val="auto"/>
              </w:rPr>
            </w:pPr>
            <w:r>
              <w:rPr>
                <w:rFonts w:ascii="Calibri" w:cs="Calibri" w:eastAsia="Calibri" w:hAnsi="Calibri"/>
                <w:sz w:val="18"/>
                <w:szCs w:val="18"/>
                <w:color w:val="0000FF"/>
                <w:w w:val="99"/>
              </w:rPr>
              <w:t>Certfcaton of Principal Financial Ofcer required by Rule 13a-14(a) or Rule 15d-14(a) of the Exchange Act.</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760" w:type="dxa"/>
            <w:vAlign w:val="bottom"/>
            <w:gridSpan w:val="6"/>
          </w:tcPr>
          <w:p>
            <w:pPr>
              <w:spacing w:after="0"/>
              <w:rPr>
                <w:sz w:val="24"/>
                <w:szCs w:val="24"/>
                <w:color w:val="auto"/>
              </w:rPr>
            </w:pPr>
          </w:p>
        </w:tc>
      </w:tr>
      <w:tr>
        <w:trPr>
          <w:trHeight w:val="38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8260" w:type="dxa"/>
            <w:vAlign w:val="bottom"/>
            <w:tcBorders>
              <w:bottom w:val="single" w:sz="8" w:color="0000FF"/>
            </w:tcBorders>
            <w:gridSpan w:val="7"/>
          </w:tcPr>
          <w:p>
            <w:pPr>
              <w:spacing w:after="0"/>
              <w:rPr>
                <w:sz w:val="20"/>
                <w:szCs w:val="20"/>
                <w:color w:val="auto"/>
              </w:rPr>
            </w:pPr>
            <w:r>
              <w:rPr>
                <w:rFonts w:ascii="Calibri" w:cs="Calibri" w:eastAsia="Calibri" w:hAnsi="Calibri"/>
                <w:sz w:val="18"/>
                <w:szCs w:val="18"/>
                <w:color w:val="0000FF"/>
              </w:rPr>
              <w:t>Certfcatons of the Principal Executve Ofcer and the Principal Financial Ofcer pursuant to 18 U.S.C. Secton 1350.</w:t>
            </w:r>
          </w:p>
        </w:tc>
        <w:tc>
          <w:tcPr>
            <w:tcW w:w="20" w:type="dxa"/>
            <w:vAlign w:val="bottom"/>
            <w:tcBorders>
              <w:bottom w:val="single" w:sz="8" w:color="0000EE"/>
            </w:tcBorders>
          </w:tcPr>
          <w:p>
            <w:pPr>
              <w:spacing w:after="0"/>
              <w:rPr>
                <w:sz w:val="24"/>
                <w:szCs w:val="24"/>
                <w:color w:val="auto"/>
              </w:rPr>
            </w:pPr>
          </w:p>
        </w:tc>
        <w:tc>
          <w:tcPr>
            <w:tcW w:w="1120" w:type="dxa"/>
            <w:vAlign w:val="bottom"/>
            <w:gridSpan w:val="4"/>
          </w:tcPr>
          <w:p>
            <w:pPr>
              <w:spacing w:after="0"/>
              <w:rPr>
                <w:sz w:val="24"/>
                <w:szCs w:val="24"/>
                <w:color w:val="auto"/>
              </w:rPr>
            </w:pPr>
          </w:p>
        </w:tc>
      </w:tr>
      <w:tr>
        <w:trPr>
          <w:trHeight w:val="41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101.INS*</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 Interactve Data File because its XBRL tags are</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2"/>
          </w:tcPr>
          <w:p>
            <w:pPr>
              <w:spacing w:after="0" w:line="216" w:lineRule="exact"/>
              <w:rPr>
                <w:sz w:val="20"/>
                <w:szCs w:val="20"/>
                <w:color w:val="auto"/>
              </w:rPr>
            </w:pPr>
            <w:r>
              <w:rPr>
                <w:rFonts w:ascii="Calibri" w:cs="Calibri" w:eastAsia="Calibri" w:hAnsi="Calibri"/>
                <w:sz w:val="18"/>
                <w:szCs w:val="18"/>
                <w:color w:val="auto"/>
              </w:rPr>
              <w:t>embedded within the Inline XBRL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101.SCH*</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Schema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101.CAL*</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Calculaton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101.DEF*</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Defniton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101.LAB*</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Label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101.PRE*</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rPr>
              <w:t>Inline XBRL Taxonomy Extension Presentaton Linkbase Document.</w:t>
            </w:r>
          </w:p>
        </w:tc>
      </w:tr>
      <w:tr>
        <w:trPr>
          <w:trHeight w:val="40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104*</w:t>
            </w:r>
          </w:p>
        </w:tc>
        <w:tc>
          <w:tcPr>
            <w:tcW w:w="140" w:type="dxa"/>
            <w:vAlign w:val="bottom"/>
          </w:tcPr>
          <w:p>
            <w:pPr>
              <w:spacing w:after="0"/>
              <w:rPr>
                <w:sz w:val="24"/>
                <w:szCs w:val="24"/>
                <w:color w:val="auto"/>
              </w:rPr>
            </w:pPr>
          </w:p>
        </w:tc>
        <w:tc>
          <w:tcPr>
            <w:tcW w:w="9400" w:type="dxa"/>
            <w:vAlign w:val="bottom"/>
            <w:gridSpan w:val="12"/>
          </w:tcPr>
          <w:p>
            <w:pPr>
              <w:spacing w:after="0"/>
              <w:rPr>
                <w:sz w:val="20"/>
                <w:szCs w:val="20"/>
                <w:color w:val="auto"/>
              </w:rPr>
            </w:pPr>
            <w:r>
              <w:rPr>
                <w:rFonts w:ascii="Calibri" w:cs="Calibri" w:eastAsia="Calibri" w:hAnsi="Calibri"/>
                <w:sz w:val="18"/>
                <w:szCs w:val="18"/>
                <w:color w:val="auto"/>
                <w:w w:val="97"/>
              </w:rPr>
              <w:t>The cover page from the Company’s Quarterly Report on Form 10-Q for the quarter ended March 31, 2023, formated in Inline XBRL</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2"/>
          </w:tcPr>
          <w:p>
            <w:pPr>
              <w:spacing w:after="0" w:line="216" w:lineRule="exact"/>
              <w:rPr>
                <w:sz w:val="20"/>
                <w:szCs w:val="20"/>
                <w:color w:val="auto"/>
              </w:rPr>
            </w:pPr>
            <w:r>
              <w:rPr>
                <w:rFonts w:ascii="Calibri" w:cs="Calibri" w:eastAsia="Calibri" w:hAnsi="Calibri"/>
                <w:sz w:val="18"/>
                <w:szCs w:val="18"/>
                <w:color w:val="auto"/>
              </w:rPr>
              <w:t>(included in Exhibit 101).</w:t>
            </w:r>
          </w:p>
        </w:tc>
      </w:tr>
      <w:tr>
        <w:trPr>
          <w:trHeight w:val="172"/>
        </w:trPr>
        <w:tc>
          <w:tcPr>
            <w:tcW w:w="1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1700" w:type="dxa"/>
            <w:vAlign w:val="bottom"/>
          </w:tcPr>
          <w:p>
            <w:pPr>
              <w:spacing w:after="0" w:line="213" w:lineRule="exact"/>
              <w:rPr>
                <w:sz w:val="20"/>
                <w:szCs w:val="20"/>
                <w:color w:val="auto"/>
              </w:rPr>
            </w:pPr>
            <w:r>
              <w:rPr>
                <w:rFonts w:ascii="Calibri" w:cs="Calibri" w:eastAsia="Calibri" w:hAnsi="Calibri"/>
                <w:sz w:val="18"/>
                <w:szCs w:val="18"/>
                <w:color w:val="auto"/>
              </w:rPr>
              <w:t>* Filed herewith.</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1700" w:type="dxa"/>
            <w:vAlign w:val="bottom"/>
          </w:tcPr>
          <w:p>
            <w:pPr>
              <w:spacing w:after="0"/>
              <w:rPr>
                <w:sz w:val="20"/>
                <w:szCs w:val="20"/>
                <w:color w:val="auto"/>
              </w:rPr>
            </w:pPr>
            <w:r>
              <w:rPr>
                <w:rFonts w:ascii="Calibri" w:cs="Calibri" w:eastAsia="Calibri" w:hAnsi="Calibri"/>
                <w:sz w:val="18"/>
                <w:szCs w:val="18"/>
                <w:color w:val="auto"/>
                <w:w w:val="99"/>
              </w:rPr>
              <w:t>** Furnished herewith.</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91"/>
        </w:trPr>
        <w:tc>
          <w:tcPr>
            <w:tcW w:w="1700" w:type="dxa"/>
            <w:vAlign w:val="bottom"/>
          </w:tcPr>
          <w:p>
            <w:pPr>
              <w:spacing w:after="0"/>
              <w:rPr>
                <w:sz w:val="24"/>
                <w:szCs w:val="24"/>
                <w:color w:val="auto"/>
              </w:rPr>
            </w:pPr>
          </w:p>
        </w:tc>
        <w:tc>
          <w:tcPr>
            <w:tcW w:w="7560" w:type="dxa"/>
            <w:vAlign w:val="bottom"/>
            <w:gridSpan w:val="4"/>
          </w:tcPr>
          <w:p>
            <w:pPr>
              <w:jc w:val="right"/>
              <w:ind w:right="3468"/>
              <w:spacing w:after="0"/>
              <w:rPr>
                <w:sz w:val="20"/>
                <w:szCs w:val="20"/>
                <w:color w:val="auto"/>
              </w:rPr>
            </w:pPr>
            <w:r>
              <w:rPr>
                <w:rFonts w:ascii="Calibri" w:cs="Calibri" w:eastAsia="Calibri" w:hAnsi="Calibri"/>
                <w:sz w:val="18"/>
                <w:szCs w:val="18"/>
                <w:color w:val="auto"/>
              </w:rPr>
              <w:t>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9"/>
        </w:trPr>
        <w:tc>
          <w:tcPr>
            <w:tcW w:w="17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5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jc w:val="center"/>
        <w:ind w:right="-37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18" w:lineRule="exact"/>
        <w:rPr>
          <w:sz w:val="20"/>
          <w:szCs w:val="20"/>
          <w:color w:val="auto"/>
        </w:rPr>
      </w:pPr>
    </w:p>
    <w:p>
      <w:pPr>
        <w:ind w:left="6440"/>
        <w:spacing w:after="0"/>
        <w:rPr>
          <w:sz w:val="20"/>
          <w:szCs w:val="20"/>
          <w:color w:val="auto"/>
        </w:rPr>
      </w:pPr>
      <w:r>
        <w:rPr>
          <w:rFonts w:ascii="Calibri" w:cs="Calibri" w:eastAsia="Calibri" w:hAnsi="Calibri"/>
          <w:sz w:val="18"/>
          <w:szCs w:val="18"/>
          <w:color w:val="auto"/>
        </w:rPr>
        <w:t>CABOT CORPORATION</w:t>
      </w:r>
    </w:p>
    <w:p>
      <w:pPr>
        <w:spacing w:after="0" w:line="320" w:lineRule="exact"/>
        <w:rPr>
          <w:sz w:val="20"/>
          <w:szCs w:val="20"/>
          <w:color w:val="auto"/>
        </w:rPr>
      </w:pPr>
    </w:p>
    <w:p>
      <w:pPr>
        <w:ind w:left="20"/>
        <w:spacing w:after="0"/>
        <w:tabs>
          <w:tab w:leader="none" w:pos="6420" w:val="left"/>
          <w:tab w:leader="none" w:pos="8200" w:val="left"/>
        </w:tabs>
        <w:rPr>
          <w:sz w:val="20"/>
          <w:szCs w:val="20"/>
          <w:color w:val="auto"/>
        </w:rPr>
      </w:pPr>
      <w:r>
        <w:rPr>
          <w:rFonts w:ascii="Calibri" w:cs="Calibri" w:eastAsia="Calibri" w:hAnsi="Calibri"/>
          <w:sz w:val="18"/>
          <w:szCs w:val="18"/>
          <w:color w:val="auto"/>
        </w:rPr>
        <w:t>Date: May 9, 2023</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7"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Executve Vice President and Chief Financial Ofcer</w:t>
      </w:r>
    </w:p>
    <w:p>
      <w:pPr>
        <w:spacing w:after="0" w:line="23"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(Duly Authorized Ofcer)</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420" w:val="left"/>
          <w:tab w:leader="none" w:pos="8280" w:val="left"/>
        </w:tabs>
        <w:rPr>
          <w:sz w:val="20"/>
          <w:szCs w:val="20"/>
          <w:color w:val="auto"/>
        </w:rPr>
      </w:pPr>
      <w:r>
        <w:rPr>
          <w:rFonts w:ascii="Calibri" w:cs="Calibri" w:eastAsia="Calibri" w:hAnsi="Calibri"/>
          <w:sz w:val="18"/>
          <w:szCs w:val="18"/>
          <w:color w:val="auto"/>
        </w:rPr>
        <w:t>Date: May 9, 2023</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Lisa m. Dumont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7" w:lineRule="exact"/>
        <w:rPr>
          <w:sz w:val="20"/>
          <w:szCs w:val="20"/>
          <w:color w:val="auto"/>
        </w:rPr>
      </w:pPr>
    </w:p>
    <w:p>
      <w:pPr>
        <w:ind w:left="8440"/>
        <w:spacing w:after="0"/>
        <w:rPr>
          <w:sz w:val="20"/>
          <w:szCs w:val="20"/>
          <w:color w:val="auto"/>
        </w:rPr>
      </w:pPr>
      <w:r>
        <w:rPr>
          <w:rFonts w:ascii="Calibri" w:cs="Calibri" w:eastAsia="Calibri" w:hAnsi="Calibri"/>
          <w:sz w:val="18"/>
          <w:szCs w:val="18"/>
          <w:b w:val="1"/>
          <w:bCs w:val="1"/>
          <w:color w:val="auto"/>
        </w:rPr>
        <w:t>Lisa M. Dumont</w:t>
      </w:r>
    </w:p>
    <w:p>
      <w:pPr>
        <w:spacing w:after="0" w:line="23" w:lineRule="exact"/>
        <w:rPr>
          <w:sz w:val="20"/>
          <w:szCs w:val="20"/>
          <w:color w:val="auto"/>
        </w:rPr>
      </w:pPr>
    </w:p>
    <w:p>
      <w:pPr>
        <w:ind w:left="7940"/>
        <w:spacing w:after="0"/>
        <w:rPr>
          <w:sz w:val="20"/>
          <w:szCs w:val="20"/>
          <w:color w:val="auto"/>
        </w:rPr>
      </w:pPr>
      <w:r>
        <w:rPr>
          <w:rFonts w:ascii="Calibri" w:cs="Calibri" w:eastAsia="Calibri" w:hAnsi="Calibri"/>
          <w:sz w:val="18"/>
          <w:szCs w:val="18"/>
          <w:b w:val="1"/>
          <w:bCs w:val="1"/>
          <w:color w:val="auto"/>
        </w:rPr>
        <w:t>Vice President and Controller</w:t>
      </w:r>
    </w:p>
    <w:p>
      <w:pPr>
        <w:ind w:left="8080"/>
        <w:spacing w:after="0" w:line="235" w:lineRule="auto"/>
        <w:rPr>
          <w:sz w:val="20"/>
          <w:szCs w:val="20"/>
          <w:color w:val="auto"/>
        </w:rPr>
      </w:pPr>
      <w:r>
        <w:rPr>
          <w:rFonts w:ascii="Calibri" w:cs="Calibri" w:eastAsia="Calibri" w:hAnsi="Calibri"/>
          <w:sz w:val="18"/>
          <w:szCs w:val="18"/>
          <w:b w:val="1"/>
          <w:bCs w:val="1"/>
          <w:color w:val="auto"/>
        </w:rPr>
        <w:t>(Chief Accountng Ofcer)</w:t>
      </w: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28" w:right="719" w:bottom="1440" w:gutter="0" w:footer="0" w:header="0"/>
        </w:sectPr>
      </w:pPr>
    </w:p>
    <w:bookmarkStart w:id="32" w:name="page33"/>
    <w:bookmarkEnd w:id="32"/>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Executve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Sean D. Keohane, certfy that:</w:t>
      </w:r>
    </w:p>
    <w:p>
      <w:pPr>
        <w:spacing w:after="0" w:line="104" w:lineRule="exact"/>
        <w:rPr>
          <w:sz w:val="20"/>
          <w:szCs w:val="20"/>
          <w:color w:val="auto"/>
        </w:rPr>
      </w:pPr>
    </w:p>
    <w:p>
      <w:pPr>
        <w:ind w:left="520" w:hanging="512"/>
        <w:spacing w:after="0"/>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12"/>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1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1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20" w:hanging="503"/>
        <w:spacing w:after="0" w:line="235" w:lineRule="auto"/>
        <w:tabs>
          <w:tab w:leader="none" w:pos="10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26" w:lineRule="exact"/>
        <w:rPr>
          <w:sz w:val="20"/>
          <w:szCs w:val="20"/>
          <w:color w:val="auto"/>
        </w:rPr>
      </w:pPr>
    </w:p>
    <w:p>
      <w:pPr>
        <w:ind w:left="20"/>
        <w:spacing w:after="0"/>
        <w:tabs>
          <w:tab w:leader="none" w:pos="8340" w:val="left"/>
        </w:tabs>
        <w:rPr>
          <w:sz w:val="20"/>
          <w:szCs w:val="20"/>
          <w:color w:val="auto"/>
        </w:rPr>
      </w:pPr>
      <w:r>
        <w:rPr>
          <w:rFonts w:ascii="Calibri" w:cs="Calibri" w:eastAsia="Calibri" w:hAnsi="Calibri"/>
          <w:sz w:val="18"/>
          <w:szCs w:val="18"/>
          <w:color w:val="auto"/>
        </w:rPr>
        <w:t>Date: May 9, 2023</w:t>
      </w:r>
      <w:r>
        <w:rPr>
          <w:sz w:val="20"/>
          <w:szCs w:val="20"/>
          <w:color w:val="auto"/>
        </w:rPr>
        <w:tab/>
      </w:r>
      <w:r>
        <w:rPr>
          <w:rFonts w:ascii="Calibri" w:cs="Calibri" w:eastAsia="Calibri" w:hAnsi="Calibri"/>
          <w:sz w:val="17"/>
          <w:szCs w:val="17"/>
          <w:color w:val="auto"/>
        </w:rPr>
        <w:t>/s/ SEAN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7" w:lineRule="exact"/>
        <w:rPr>
          <w:sz w:val="20"/>
          <w:szCs w:val="20"/>
          <w:color w:val="auto"/>
        </w:rPr>
      </w:pPr>
    </w:p>
    <w:p>
      <w:pPr>
        <w:ind w:left="8420"/>
        <w:spacing w:after="0"/>
        <w:rPr>
          <w:sz w:val="20"/>
          <w:szCs w:val="20"/>
          <w:color w:val="auto"/>
        </w:rPr>
      </w:pPr>
      <w:r>
        <w:rPr>
          <w:rFonts w:ascii="Calibri" w:cs="Calibri" w:eastAsia="Calibri" w:hAnsi="Calibri"/>
          <w:sz w:val="18"/>
          <w:szCs w:val="18"/>
          <w:b w:val="1"/>
          <w:bCs w:val="1"/>
          <w:color w:val="auto"/>
        </w:rPr>
        <w:t>Sean D. Keohane</w:t>
      </w:r>
    </w:p>
    <w:p>
      <w:pPr>
        <w:spacing w:after="0" w:line="23" w:lineRule="exact"/>
        <w:rPr>
          <w:sz w:val="20"/>
          <w:szCs w:val="20"/>
          <w:color w:val="auto"/>
        </w:rPr>
      </w:pPr>
    </w:p>
    <w:p>
      <w:pPr>
        <w:ind w:left="8540"/>
        <w:spacing w:after="0"/>
        <w:rPr>
          <w:sz w:val="20"/>
          <w:szCs w:val="20"/>
          <w:color w:val="auto"/>
        </w:rPr>
      </w:pPr>
      <w:r>
        <w:rPr>
          <w:rFonts w:ascii="Calibri" w:cs="Calibri" w:eastAsia="Calibri" w:hAnsi="Calibri"/>
          <w:sz w:val="18"/>
          <w:szCs w:val="18"/>
          <w:b w:val="1"/>
          <w:bCs w:val="1"/>
          <w:color w:val="auto"/>
        </w:rPr>
        <w:t>President and</w:t>
      </w:r>
    </w:p>
    <w:p>
      <w:pPr>
        <w:ind w:left="822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Financial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Erica McLaughlin, certfy that:</w:t>
      </w:r>
    </w:p>
    <w:p>
      <w:pPr>
        <w:spacing w:after="0" w:line="104" w:lineRule="exact"/>
        <w:rPr>
          <w:sz w:val="20"/>
          <w:szCs w:val="20"/>
          <w:color w:val="auto"/>
        </w:rPr>
      </w:pPr>
    </w:p>
    <w:p>
      <w:pPr>
        <w:ind w:left="520" w:hanging="512"/>
        <w:spacing w:after="0"/>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13"/>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1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1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20" w:hanging="503"/>
        <w:spacing w:after="0" w:line="235" w:lineRule="auto"/>
        <w:tabs>
          <w:tab w:leader="none" w:pos="1020" w:val="left"/>
        </w:tabs>
        <w:numPr>
          <w:ilvl w:val="1"/>
          <w:numId w:val="1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26" w:lineRule="exact"/>
        <w:rPr>
          <w:sz w:val="20"/>
          <w:szCs w:val="20"/>
          <w:color w:val="auto"/>
        </w:rPr>
      </w:pPr>
    </w:p>
    <w:p>
      <w:pPr>
        <w:ind w:left="20"/>
        <w:spacing w:after="0"/>
        <w:tabs>
          <w:tab w:leader="none" w:pos="8240" w:val="left"/>
        </w:tabs>
        <w:rPr>
          <w:sz w:val="20"/>
          <w:szCs w:val="20"/>
          <w:color w:val="auto"/>
        </w:rPr>
      </w:pPr>
      <w:r>
        <w:rPr>
          <w:rFonts w:ascii="Calibri" w:cs="Calibri" w:eastAsia="Calibri" w:hAnsi="Calibri"/>
          <w:sz w:val="18"/>
          <w:szCs w:val="18"/>
          <w:color w:val="auto"/>
        </w:rPr>
        <w:t>Date: May 9, 2023</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23495</wp:posOffset>
            </wp:positionV>
            <wp:extent cx="27946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7" w:lineRule="exact"/>
        <w:rPr>
          <w:sz w:val="20"/>
          <w:szCs w:val="20"/>
          <w:color w:val="auto"/>
        </w:rPr>
      </w:pPr>
    </w:p>
    <w:p>
      <w:pPr>
        <w:ind w:left="842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ind w:left="8000"/>
        <w:spacing w:after="0"/>
        <w:rPr>
          <w:sz w:val="20"/>
          <w:szCs w:val="20"/>
          <w:color w:val="auto"/>
        </w:rPr>
      </w:pPr>
      <w:r>
        <w:rPr>
          <w:rFonts w:ascii="Calibri" w:cs="Calibri" w:eastAsia="Calibri" w:hAnsi="Calibri"/>
          <w:sz w:val="18"/>
          <w:szCs w:val="18"/>
          <w:b w:val="1"/>
          <w:bCs w:val="1"/>
          <w:color w:val="auto"/>
        </w:rPr>
        <w:t>Executve Vice President and</w:t>
      </w:r>
    </w:p>
    <w:p>
      <w:pPr>
        <w:ind w:left="824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jc w:val="right"/>
        <w:spacing w:after="0"/>
        <w:rPr>
          <w:sz w:val="20"/>
          <w:szCs w:val="20"/>
          <w:color w:val="auto"/>
        </w:rPr>
      </w:pPr>
      <w:r>
        <w:rPr>
          <w:rFonts w:ascii="Calibri" w:cs="Calibri" w:eastAsia="Calibri" w:hAnsi="Calibri"/>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Certfcatons Pursuant to 18 U.S.C. Secton 1350,</w:t>
      </w:r>
    </w:p>
    <w:p>
      <w:pPr>
        <w:jc w:val="center"/>
        <w:spacing w:after="0" w:line="235" w:lineRule="auto"/>
        <w:rPr>
          <w:sz w:val="20"/>
          <w:szCs w:val="20"/>
          <w:color w:val="auto"/>
        </w:rPr>
      </w:pPr>
      <w:r>
        <w:rPr>
          <w:rFonts w:ascii="Calibri" w:cs="Calibri" w:eastAsia="Calibri" w:hAnsi="Calibri"/>
          <w:sz w:val="18"/>
          <w:szCs w:val="18"/>
          <w:b w:val="1"/>
          <w:bCs w:val="1"/>
          <w:color w:val="auto"/>
        </w:rPr>
        <w:t>as Adopted Pursuant to Secton 906 of the</w:t>
      </w:r>
    </w:p>
    <w:p>
      <w:pPr>
        <w:jc w:val="center"/>
        <w:spacing w:after="0" w:line="236" w:lineRule="auto"/>
        <w:rPr>
          <w:sz w:val="20"/>
          <w:szCs w:val="20"/>
          <w:color w:val="auto"/>
        </w:rPr>
      </w:pPr>
      <w:r>
        <w:rPr>
          <w:rFonts w:ascii="Calibri" w:cs="Calibri" w:eastAsia="Calibri" w:hAnsi="Calibri"/>
          <w:sz w:val="18"/>
          <w:szCs w:val="18"/>
          <w:b w:val="1"/>
          <w:bCs w:val="1"/>
          <w:color w:val="auto"/>
        </w:rPr>
        <w:t>Sarbanes-Oxley Act of 2002</w:t>
      </w:r>
    </w:p>
    <w:p>
      <w:pPr>
        <w:spacing w:after="0" w:line="218" w:lineRule="exact"/>
        <w:rPr>
          <w:sz w:val="20"/>
          <w:szCs w:val="20"/>
          <w:color w:val="auto"/>
        </w:rPr>
      </w:pPr>
    </w:p>
    <w:p>
      <w:pPr>
        <w:jc w:val="both"/>
        <w:ind w:right="220" w:firstLine="509"/>
        <w:spacing w:after="0" w:line="235" w:lineRule="auto"/>
        <w:rPr>
          <w:sz w:val="20"/>
          <w:szCs w:val="20"/>
          <w:color w:val="auto"/>
        </w:rPr>
      </w:pPr>
      <w:r>
        <w:rPr>
          <w:rFonts w:ascii="Calibri" w:cs="Calibri" w:eastAsia="Calibri" w:hAnsi="Calibri"/>
          <w:sz w:val="18"/>
          <w:szCs w:val="18"/>
          <w:color w:val="auto"/>
        </w:rPr>
        <w:t>In connecton with the fling of the Quarterly Report on Form 10-Q for the quarter ended March 31, 2023 (the “Report”) by Cabot Corporaton (the “Company”), each of the undersigned hereby certfes pursuant to 18 U.S.C. Secton 1350, as adopted pursuant to Secton 906 of the Sarbanes-Oxley Act of 2002, that, to his knowledge:</w:t>
      </w:r>
    </w:p>
    <w:p>
      <w:pPr>
        <w:spacing w:after="0" w:line="106" w:lineRule="exact"/>
        <w:rPr>
          <w:sz w:val="20"/>
          <w:szCs w:val="20"/>
          <w:color w:val="auto"/>
        </w:rPr>
      </w:pPr>
    </w:p>
    <w:p>
      <w:pPr>
        <w:ind w:left="1020" w:hanging="503"/>
        <w:spacing w:after="0"/>
        <w:tabs>
          <w:tab w:leader="none" w:pos="10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 (a) or 15 (d) of the Securites Exchange Act of 1934, as amended; and</w:t>
      </w:r>
    </w:p>
    <w:p>
      <w:pPr>
        <w:spacing w:after="0" w:line="109" w:lineRule="exact"/>
        <w:rPr>
          <w:rFonts w:ascii="Calibri" w:cs="Calibri" w:eastAsia="Calibri" w:hAnsi="Calibri"/>
          <w:sz w:val="18"/>
          <w:szCs w:val="18"/>
          <w:color w:val="auto"/>
        </w:rPr>
      </w:pPr>
    </w:p>
    <w:p>
      <w:pPr>
        <w:ind w:left="1020" w:right="660" w:hanging="503"/>
        <w:spacing w:after="0" w:line="235" w:lineRule="auto"/>
        <w:tabs>
          <w:tab w:leader="none" w:pos="10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26" w:lineRule="exact"/>
        <w:rPr>
          <w:sz w:val="20"/>
          <w:szCs w:val="20"/>
          <w:color w:val="auto"/>
        </w:rPr>
      </w:pPr>
    </w:p>
    <w:p>
      <w:pPr>
        <w:ind w:left="20"/>
        <w:spacing w:after="0"/>
        <w:tabs>
          <w:tab w:leader="none" w:pos="8260" w:val="left"/>
        </w:tabs>
        <w:rPr>
          <w:sz w:val="20"/>
          <w:szCs w:val="20"/>
          <w:color w:val="auto"/>
        </w:rPr>
      </w:pPr>
      <w:r>
        <w:rPr>
          <w:rFonts w:ascii="Calibri" w:cs="Calibri" w:eastAsia="Calibri" w:hAnsi="Calibri"/>
          <w:sz w:val="18"/>
          <w:szCs w:val="18"/>
          <w:color w:val="auto"/>
        </w:rPr>
        <w:t>Date: May 9, 2023</w:t>
      </w:r>
      <w:r>
        <w:rPr>
          <w:sz w:val="20"/>
          <w:szCs w:val="20"/>
          <w:color w:val="auto"/>
        </w:rPr>
        <w:tab/>
      </w:r>
      <w:r>
        <w:rPr>
          <w:rFonts w:ascii="Calibri" w:cs="Calibri" w:eastAsia="Calibri" w:hAnsi="Calibri"/>
          <w:sz w:val="17"/>
          <w:szCs w:val="17"/>
          <w:color w:val="auto"/>
        </w:rPr>
        <w:t>/s/ 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Sean D. Keohane</w:t>
      </w:r>
    </w:p>
    <w:p>
      <w:pPr>
        <w:spacing w:after="0" w:line="23"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President and Chief Executve Ofcer</w:t>
      </w:r>
    </w:p>
    <w:p>
      <w:pPr>
        <w:spacing w:after="0" w:line="320" w:lineRule="exact"/>
        <w:rPr>
          <w:sz w:val="20"/>
          <w:szCs w:val="20"/>
          <w:color w:val="auto"/>
        </w:rPr>
      </w:pPr>
    </w:p>
    <w:p>
      <w:pPr>
        <w:ind w:left="20"/>
        <w:spacing w:after="0"/>
        <w:tabs>
          <w:tab w:leader="none" w:pos="8200" w:val="left"/>
        </w:tabs>
        <w:rPr>
          <w:sz w:val="20"/>
          <w:szCs w:val="20"/>
          <w:color w:val="auto"/>
        </w:rPr>
      </w:pPr>
      <w:r>
        <w:rPr>
          <w:rFonts w:ascii="Calibri" w:cs="Calibri" w:eastAsia="Calibri" w:hAnsi="Calibri"/>
          <w:sz w:val="18"/>
          <w:szCs w:val="18"/>
          <w:color w:val="auto"/>
        </w:rPr>
        <w:t>Date: May 9, 2023</w:t>
      </w:r>
      <w:r>
        <w:rPr>
          <w:sz w:val="20"/>
          <w:szCs w:val="20"/>
          <w:color w:val="auto"/>
        </w:rPr>
        <w:tab/>
      </w:r>
      <w:r>
        <w:rPr>
          <w:rFonts w:ascii="Calibri" w:cs="Calibri" w:eastAsia="Calibri" w:hAnsi="Calibri"/>
          <w:sz w:val="18"/>
          <w:szCs w:val="18"/>
          <w:color w:val="auto"/>
        </w:rPr>
        <w:t>/s/ 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7" w:lineRule="exact"/>
        <w:rPr>
          <w:sz w:val="20"/>
          <w:szCs w:val="20"/>
          <w:color w:val="auto"/>
        </w:rPr>
      </w:pPr>
    </w:p>
    <w:p>
      <w:pPr>
        <w:ind w:left="8380"/>
        <w:spacing w:after="0"/>
        <w:rPr>
          <w:sz w:val="20"/>
          <w:szCs w:val="20"/>
          <w:color w:val="auto"/>
        </w:rPr>
      </w:pPr>
      <w:r>
        <w:rPr>
          <w:rFonts w:ascii="Calibri" w:cs="Calibri" w:eastAsia="Calibri" w:hAnsi="Calibri"/>
          <w:sz w:val="18"/>
          <w:szCs w:val="18"/>
          <w:b w:val="1"/>
          <w:bCs w:val="1"/>
          <w:color w:val="auto"/>
        </w:rPr>
        <w:t>Erica McLaughlin</w:t>
      </w:r>
    </w:p>
    <w:p>
      <w:pPr>
        <w:spacing w:after="0" w:line="23" w:lineRule="exact"/>
        <w:rPr>
          <w:sz w:val="20"/>
          <w:szCs w:val="20"/>
          <w:color w:val="auto"/>
        </w:rPr>
      </w:pPr>
    </w:p>
    <w:p>
      <w:pPr>
        <w:ind w:left="7960"/>
        <w:spacing w:after="0"/>
        <w:rPr>
          <w:sz w:val="20"/>
          <w:szCs w:val="20"/>
          <w:color w:val="auto"/>
        </w:rPr>
      </w:pPr>
      <w:r>
        <w:rPr>
          <w:rFonts w:ascii="Calibri" w:cs="Calibri" w:eastAsia="Calibri" w:hAnsi="Calibri"/>
          <w:sz w:val="18"/>
          <w:szCs w:val="18"/>
          <w:b w:val="1"/>
          <w:bCs w:val="1"/>
          <w:color w:val="auto"/>
        </w:rPr>
        <w:t>Executve Vice President and</w:t>
      </w:r>
    </w:p>
    <w:p>
      <w:pPr>
        <w:ind w:left="820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42" Type="http://schemas.openxmlformats.org/officeDocument/2006/relationships/hyperlink" Target="https://www.sec.gov/Archives/edgar/data/16040/000119312509022614/dex31.htm" TargetMode="External"/><Relationship Id="rId243" Type="http://schemas.openxmlformats.org/officeDocument/2006/relationships/hyperlink" Target="https://www.sec.gov/Archives/edgar/data/16040/000156459016012391/cbt-ex3_3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2023-05-09T13:48:54Z</dcterms:created>
  <dcterms:modified xsi:type="dcterms:W3CDTF">2023-05-09T13:48:54Z</dcterms:modified>
</cp:coreProperties>
</file>