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bt-20260505.htm"/>
      <w:bookmarkStart w:id="1" w:name="kscbt20260505"/>
      <w:bookmarkEnd w:id="0"/>
      <w:bookmarkEnd w:id="1"/>
      <w:r>
        <w:rPr/>
        <w:t> </w:t>
      </w:r>
    </w:p>
    <w:p>
      <w:pPr>
        <w:pStyle w:val="TextBody"/>
        <w:bidi w:val="0"/>
        <w:jc w:val="lef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May 5, 2026</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Cabot Corporation</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6648" w:type="dxa"/>
        <w:jc w:val="left"/>
        <w:tblInd w:w="0" w:type="dxa"/>
        <w:tblLayout w:type="fixed"/>
        <w:tblCellMar>
          <w:top w:w="28" w:type="dxa"/>
          <w:left w:w="28" w:type="dxa"/>
          <w:bottom w:w="28" w:type="dxa"/>
          <w:right w:w="28" w:type="dxa"/>
        </w:tblCellMar>
      </w:tblPr>
      <w:tblGrid>
        <w:gridCol w:w="3466"/>
        <w:gridCol w:w="1846"/>
        <w:gridCol w:w="1336"/>
      </w:tblGrid>
      <w:tr>
        <w:trPr/>
        <w:tc>
          <w:tcPr>
            <w:tcW w:w="346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1-5667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04-2271897</w:t>
            </w:r>
          </w:p>
        </w:tc>
      </w:tr>
      <w:tr>
        <w:trPr/>
        <w:tc>
          <w:tcPr>
            <w:tcW w:w="34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3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 Seaport Lane, Suite 1400, Boston, MA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02210-2019</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(617)</w:t>
      </w:r>
      <w:r>
        <w:rPr>
          <w:rFonts w:ascii="Times New Roman" w:hAnsi="Times New Roman"/>
          <w:color w:val="000000"/>
          <w:sz w:val="20"/>
        </w:rPr>
        <w:t xml:space="preserve"> </w:t>
      </w:r>
      <w:r>
        <w:rPr>
          <w:rFonts w:ascii="Times New Roman" w:hAnsi="Times New Roman"/>
          <w:b/>
          <w:color w:val="000000"/>
          <w:sz w:val="20"/>
        </w:rPr>
        <w:t>345-0100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tbl>
      <w:tblPr>
        <w:tblW w:w="9583" w:type="dxa"/>
        <w:jc w:val="left"/>
        <w:tblInd w:w="0" w:type="dxa"/>
        <w:tblLayout w:type="fixed"/>
        <w:tblCellMar>
          <w:top w:w="28" w:type="dxa"/>
          <w:left w:w="28" w:type="dxa"/>
          <w:bottom w:w="28" w:type="dxa"/>
          <w:right w:w="28" w:type="dxa"/>
        </w:tblCellMar>
      </w:tblPr>
      <w:tblGrid>
        <w:gridCol w:w="161"/>
        <w:gridCol w:w="316"/>
        <w:gridCol w:w="9106"/>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w:t>
            </w:r>
          </w:p>
          <w:p>
            <w:pPr>
              <w:pStyle w:val="TableContents"/>
              <w:bidi w:val="0"/>
              <w:jc w:val="left"/>
              <w:rPr>
                <w:rFonts w:ascii="Times New Roman" w:hAnsi="Times New Roman"/>
                <w:color w:val="000000"/>
                <w:sz w:val="20"/>
              </w:rPr>
            </w:pPr>
            <w:r>
              <w:rPr>
                <w:rFonts w:ascii="Times New Roman" w:hAnsi="Times New Roman"/>
                <w:color w:val="000000"/>
                <w:sz w:val="20"/>
              </w:rPr>
              <w:t>Emerging growth company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963" w:type="dxa"/>
        <w:jc w:val="left"/>
        <w:tblInd w:w="0" w:type="dxa"/>
        <w:tblLayout w:type="fixed"/>
        <w:tblCellMar>
          <w:top w:w="28" w:type="dxa"/>
          <w:left w:w="28" w:type="dxa"/>
          <w:bottom w:w="28" w:type="dxa"/>
          <w:right w:w="28" w:type="dxa"/>
        </w:tblCellMar>
      </w:tblPr>
      <w:tblGrid>
        <w:gridCol w:w="3781"/>
        <w:gridCol w:w="1861"/>
        <w:gridCol w:w="4321"/>
      </w:tblGrid>
      <w:tr>
        <w:trPr/>
        <w:tc>
          <w:tcPr>
            <w:tcW w:w="378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37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Title of each class</w:t>
            </w:r>
          </w:p>
        </w:tc>
        <w:tc>
          <w:tcPr>
            <w:tcW w:w="18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Trading Symbol(s)</w:t>
            </w:r>
          </w:p>
        </w:tc>
        <w:tc>
          <w:tcPr>
            <w:tcW w:w="43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Name of each exchange on which registered</w:t>
            </w:r>
          </w:p>
        </w:tc>
      </w:tr>
      <w:tr>
        <w:trPr/>
        <w:tc>
          <w:tcPr>
            <w:tcW w:w="37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Common Stock, $1 par value per share</w:t>
            </w:r>
          </w:p>
        </w:tc>
        <w:tc>
          <w:tcPr>
            <w:tcW w:w="18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CBT</w:t>
            </w:r>
          </w:p>
        </w:tc>
        <w:tc>
          <w:tcPr>
            <w:tcW w:w="4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22"/>
              </w:rPr>
            </w:pPr>
            <w:r>
              <w:rPr>
                <w:rFonts w:ascii="Times New Roman" w:hAnsi="Times New Roman"/>
                <w:color w:val="000000"/>
                <w:sz w:val="22"/>
              </w:rPr>
              <w:t>New York Stock Exchange</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Item 2.02 Results of Operations and Financial Condition.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On May 5, 2026, Cabot Corporation issued a press release announcing operating results for its fiscal quarter ended March 31, 2026. A copy of the press release is furnished herewith as Exhibit 99.1.</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Item 9.01 Financial Statements and Exhibits.</w:t>
      </w:r>
    </w:p>
    <w:p>
      <w:pPr>
        <w:pStyle w:val="TextBody"/>
        <w:bidi w:val="0"/>
        <w:jc w:val="both"/>
        <w:rPr/>
      </w:pPr>
      <w:r>
        <w:rPr/>
        <w:t> </w:t>
      </w:r>
    </w:p>
    <w:p>
      <w:pPr>
        <w:pStyle w:val="TextBody"/>
        <w:bidi w:val="0"/>
        <w:jc w:val="both"/>
        <w:rPr/>
      </w:pPr>
      <w:r>
        <w:rPr/>
        <w:t> </w:t>
      </w:r>
    </w:p>
    <w:tbl>
      <w:tblPr>
        <w:tblW w:w="9418" w:type="dxa"/>
        <w:jc w:val="left"/>
        <w:tblInd w:w="0" w:type="dxa"/>
        <w:tblLayout w:type="fixed"/>
        <w:tblCellMar>
          <w:top w:w="28" w:type="dxa"/>
          <w:left w:w="28" w:type="dxa"/>
          <w:bottom w:w="28" w:type="dxa"/>
          <w:right w:w="28" w:type="dxa"/>
        </w:tblCellMar>
      </w:tblPr>
      <w:tblGrid>
        <w:gridCol w:w="1486"/>
        <w:gridCol w:w="146"/>
        <w:gridCol w:w="7786"/>
      </w:tblGrid>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86" w:type="dxa"/>
            <w:tcBorders/>
            <w:shd w:fill="FFFFFF" w:val="clear"/>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7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0" w:after="283"/>
              <w:jc w:val="left"/>
              <w:rPr/>
            </w:pPr>
            <w:hyperlink w:anchor="cbt-ex99_1.htm">
              <w:r>
                <w:rPr>
                  <w:rStyle w:val="InternetLink"/>
                  <w:rFonts w:ascii="Times New Roman" w:hAnsi="Times New Roman"/>
                  <w:color w:val="0000FF"/>
                  <w:sz w:val="20"/>
                  <w:u w:val="single"/>
                </w:rPr>
                <w:t>Press release issued by Cabot Corporation on May 5,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Cover Page Interactive Data File (embedded within the Inline XBRL document)</w:t>
            </w:r>
          </w:p>
        </w:tc>
      </w:tr>
    </w:tbl>
    <w:p>
      <w:pPr>
        <w:pStyle w:val="TextBody"/>
        <w:bidi w:val="0"/>
        <w:spacing w:before="40" w:after="283"/>
        <w:jc w:val="left"/>
        <w:rPr>
          <w:rFonts w:ascii="sans-serif" w:hAnsi="sans-serif"/>
          <w:color w:val="000000"/>
          <w:sz w:val="20"/>
        </w:rPr>
      </w:pPr>
      <w:r>
        <w:rPr>
          <w:rFonts w:ascii="sans-serif" w:hAnsi="sans-serif"/>
          <w:color w:val="000000"/>
          <w:sz w:val="20"/>
        </w:rPr>
        <w:t>* Filed herewith.</w:t>
      </w:r>
    </w:p>
    <w:p>
      <w:pPr>
        <w:pStyle w:val="TextBody"/>
        <w:bidi w:val="0"/>
        <w:spacing w:before="40" w:after="283"/>
        <w:jc w:val="left"/>
        <w:rPr>
          <w:rFonts w:ascii="sans-serif" w:hAnsi="sans-serif"/>
          <w:color w:val="000000"/>
          <w:sz w:val="20"/>
        </w:rPr>
      </w:pPr>
      <w:r>
        <w:rPr>
          <w:rFonts w:ascii="sans-serif" w:hAnsi="sans-serif"/>
          <w:color w:val="000000"/>
          <w:sz w:val="20"/>
        </w:rPr>
        <w:t>** Furnished herewith.</w:t>
      </w:r>
    </w:p>
    <w:p>
      <w:pPr>
        <w:pStyle w:val="TextBody"/>
        <w:bidi w:val="0"/>
        <w:spacing w:before="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SIGNATURES</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CABOT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Lisa M. Dumont</w:t>
      </w:r>
    </w:p>
    <w:p>
      <w:pPr>
        <w:pStyle w:val="TextBody"/>
        <w:bidi w:val="0"/>
        <w:jc w:val="left"/>
        <w:rPr>
          <w:rFonts w:ascii="Times New Roman" w:hAnsi="Times New Roman"/>
          <w:color w:val="000000"/>
          <w:sz w:val="24"/>
        </w:rPr>
      </w:pPr>
      <w:r>
        <w:rPr>
          <w:rFonts w:ascii="Times New Roman" w:hAnsi="Times New Roman"/>
          <w:color w:val="000000"/>
          <w:sz w:val="24"/>
        </w:rPr>
        <w:t>Name: Lisa M. Dumont</w:t>
      </w:r>
    </w:p>
    <w:p>
      <w:pPr>
        <w:pStyle w:val="TextBody"/>
        <w:bidi w:val="0"/>
        <w:jc w:val="left"/>
        <w:rPr>
          <w:rFonts w:ascii="Times New Roman" w:hAnsi="Times New Roman"/>
          <w:color w:val="000000"/>
          <w:sz w:val="24"/>
        </w:rPr>
      </w:pPr>
      <w:r>
        <w:rPr>
          <w:rFonts w:ascii="Times New Roman" w:hAnsi="Times New Roman"/>
          <w:color w:val="000000"/>
          <w:sz w:val="24"/>
        </w:rPr>
        <w:t>Title: Vice President, Controller and</w:t>
      </w:r>
    </w:p>
    <w:p>
      <w:pPr>
        <w:pStyle w:val="TextBody"/>
        <w:bidi w:val="0"/>
        <w:jc w:val="left"/>
        <w:rPr>
          <w:rFonts w:ascii="Times New Roman" w:hAnsi="Times New Roman"/>
          <w:color w:val="000000"/>
          <w:sz w:val="24"/>
        </w:rPr>
      </w:pPr>
      <w:r>
        <w:rPr>
          <w:rFonts w:ascii="Times New Roman" w:hAnsi="Times New Roman"/>
          <w:color w:val="000000"/>
          <w:sz w:val="24"/>
        </w:rPr>
        <w:t>Chief Accounting Officer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Date: May 5, 2026</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bt-ex99_1.htm"/>
      <w:bookmarkStart w:id="3" w:name="kscbtex99_1"/>
      <w:bookmarkEnd w:id="2"/>
      <w:bookmarkEnd w:id="3"/>
      <w:r>
        <w:rPr/>
        <w:t> </w:t>
      </w:r>
      <w:r>
        <w:br w:type="page"/>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Investor Contact: Robert Rist</w:t>
      </w:r>
    </w:p>
    <w:p>
      <w:pPr>
        <w:pStyle w:val="TextBody"/>
        <w:bidi w:val="0"/>
        <w:jc w:val="left"/>
        <w:rPr>
          <w:rFonts w:ascii="sans-serif" w:hAnsi="sans-serif"/>
          <w:i/>
          <w:color w:val="000000"/>
          <w:sz w:val="22"/>
        </w:rPr>
      </w:pPr>
      <w:r>
        <w:rPr>
          <w:rFonts w:ascii="sans-serif" w:hAnsi="sans-serif"/>
          <w:i/>
          <w:color w:val="000000"/>
          <w:sz w:val="22"/>
        </w:rPr>
        <w:t>(617) 342-6374</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CABOT CORPORATION REPORTS SECOND QUARTER FISCAL YEAR 2026 RESULTS</w:t>
      </w:r>
    </w:p>
    <w:p>
      <w:pPr>
        <w:pStyle w:val="TextBody"/>
        <w:bidi w:val="0"/>
        <w:jc w:val="center"/>
        <w:rPr>
          <w:rFonts w:ascii="sans-serif" w:hAnsi="sans-serif"/>
          <w:i/>
          <w:color w:val="000000"/>
          <w:sz w:val="22"/>
        </w:rPr>
      </w:pPr>
      <w:r>
        <w:rPr>
          <w:rFonts w:ascii="sans-serif" w:hAnsi="sans-serif"/>
          <w:i/>
          <w:color w:val="000000"/>
          <w:sz w:val="22"/>
        </w:rPr>
        <w:t>Second Quarter 2026 Diluted earnings per share (“EPS”) of $1.27 and Adjusted EPS of $1.61</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BOSTON (May 5, 2026)</w:t>
      </w:r>
      <w:r>
        <w:rPr>
          <w:rFonts w:ascii="sans-serif" w:hAnsi="sans-serif"/>
          <w:color w:val="000000"/>
          <w:sz w:val="22"/>
        </w:rPr>
        <w:t xml:space="preserve">-- </w:t>
      </w:r>
      <w:r>
        <w:rPr>
          <w:rFonts w:ascii="sans-serif" w:hAnsi="sans-serif"/>
          <w:sz w:val="22"/>
        </w:rPr>
        <w:t>Cabot Corporation</w:t>
      </w:r>
      <w:r>
        <w:rPr>
          <w:rFonts w:ascii="Times New Roman" w:hAnsi="Times New Roman"/>
          <w:color w:val="000000"/>
          <w:sz w:val="20"/>
        </w:rPr>
        <w:t xml:space="preserve"> </w:t>
      </w:r>
      <w:r>
        <w:rPr>
          <w:rFonts w:ascii="sans-serif" w:hAnsi="sans-serif"/>
          <w:color w:val="000000"/>
          <w:sz w:val="22"/>
        </w:rPr>
        <w:t>(NYSE: CBT) today announced results for its second quarter fiscal year 2026.</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sans-serif" w:hAnsi="sans-serif"/>
          <w:b/>
          <w:color w:val="000000"/>
          <w:sz w:val="22"/>
          <w:u w:val="single"/>
        </w:rPr>
      </w:pPr>
      <w:r>
        <w:rPr>
          <w:rFonts w:ascii="sans-serif" w:hAnsi="sans-serif"/>
          <w:b/>
          <w:color w:val="000000"/>
          <w:sz w:val="22"/>
          <w:u w:val="single"/>
        </w:rPr>
        <w:t>Second Quarter Highlights</w:t>
      </w:r>
    </w:p>
    <w:p>
      <w:pPr>
        <w:pStyle w:val="TextBody"/>
        <w:bidi w:val="0"/>
        <w:spacing w:before="0" w:after="240"/>
        <w:jc w:val="left"/>
        <w:rPr>
          <w:color w:val="000000"/>
        </w:rPr>
      </w:pPr>
      <w:r>
        <w:rPr>
          <w:color w:val="000000"/>
        </w:rPr>
        <w:t></w:t>
      </w:r>
    </w:p>
    <w:p>
      <w:pPr>
        <w:pStyle w:val="TextBody"/>
        <w:bidi w:val="0"/>
        <w:spacing w:before="0" w:after="240"/>
        <w:jc w:val="left"/>
        <w:rPr>
          <w:rFonts w:ascii="sans-serif" w:hAnsi="sans-serif"/>
          <w:b/>
          <w:color w:val="000000"/>
          <w:sz w:val="22"/>
        </w:rPr>
      </w:pPr>
      <w:r>
        <w:rPr>
          <w:rFonts w:ascii="sans-serif" w:hAnsi="sans-serif"/>
          <w:b/>
          <w:color w:val="000000"/>
          <w:sz w:val="22"/>
        </w:rPr>
        <w:t>Second Quarter Diluted EPS of $1.27 and Adjusted EPS of $1.61</w:t>
      </w:r>
    </w:p>
    <w:p>
      <w:pPr>
        <w:pStyle w:val="TextBody"/>
        <w:bidi w:val="0"/>
        <w:spacing w:before="0" w:after="0"/>
        <w:jc w:val="left"/>
        <w:rPr>
          <w:color w:val="000000"/>
        </w:rPr>
      </w:pPr>
      <w:r>
        <w:rPr>
          <w:color w:val="000000"/>
        </w:rPr>
        <w:t></w:t>
      </w:r>
    </w:p>
    <w:p>
      <w:pPr>
        <w:pStyle w:val="TextBody"/>
        <w:bidi w:val="0"/>
        <w:jc w:val="left"/>
        <w:rPr>
          <w:rFonts w:ascii="sans-serif" w:hAnsi="sans-serif"/>
          <w:b/>
          <w:color w:val="000000"/>
          <w:sz w:val="22"/>
        </w:rPr>
      </w:pPr>
      <w:r>
        <w:rPr>
          <w:rFonts w:ascii="sans-serif" w:hAnsi="sans-serif"/>
          <w:b/>
          <w:color w:val="000000"/>
          <w:sz w:val="22"/>
        </w:rPr>
        <w:t>Reinforcement Materials segment EBIT of $93 million and Performance Chemicals segment EBIT of $59 million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Battery Materials momentum continues, supported by strong execution, growing battery energy storage systems (BESS) and electric vehicle</w:t>
      </w:r>
      <w:r>
        <w:rPr>
          <w:color w:val="000000"/>
        </w:rPr>
        <w:t xml:space="preserve"> </w:t>
      </w:r>
      <w:r>
        <w:rPr>
          <w:rFonts w:ascii="sans-serif" w:hAnsi="sans-serif"/>
          <w:b/>
          <w:color w:val="000000"/>
          <w:sz w:val="22"/>
        </w:rPr>
        <w:t>related demand, providing meaningful EBITDA contribution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b/>
          <w:color w:val="000000"/>
          <w:sz w:val="22"/>
        </w:rPr>
      </w:pPr>
      <w:r>
        <w:rPr>
          <w:rFonts w:ascii="sans-serif" w:hAnsi="sans-serif"/>
          <w:b/>
          <w:color w:val="000000"/>
          <w:sz w:val="22"/>
        </w:rPr>
        <w:t>Announced an increase in the quarterly dividend of 5%, raising the annualized dividend from $1.80 to $1.89</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2"/>
        </w:rPr>
      </w:pPr>
      <w:r>
        <w:rPr>
          <w:rFonts w:ascii="sans-serif" w:hAnsi="sans-serif"/>
          <w:b/>
          <w:color w:val="000000"/>
          <w:sz w:val="22"/>
        </w:rPr>
        <w:t xml:space="preserve">Pursuing asset optimization across our global plant network with an intention to close manufacturing operations in South America and Europe, subject to local consultation processes </w:t>
      </w:r>
    </w:p>
    <w:tbl>
      <w:tblPr>
        <w:tblW w:w="10205" w:type="dxa"/>
        <w:jc w:val="left"/>
        <w:tblInd w:w="0" w:type="dxa"/>
        <w:tblLayout w:type="fixed"/>
        <w:tblCellMar>
          <w:top w:w="28" w:type="dxa"/>
          <w:left w:w="28" w:type="dxa"/>
          <w:bottom w:w="28" w:type="dxa"/>
          <w:right w:w="28" w:type="dxa"/>
        </w:tblCellMar>
      </w:tblPr>
      <w:tblGrid>
        <w:gridCol w:w="5701"/>
        <w:gridCol w:w="1222"/>
        <w:gridCol w:w="1222"/>
        <w:gridCol w:w="1003"/>
        <w:gridCol w:w="1057"/>
      </w:tblGrid>
      <w:tr>
        <w:trPr/>
        <w:tc>
          <w:tcPr>
            <w:tcW w:w="570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5701" w:type="dxa"/>
            <w:tcBorders>
              <w:top w:val="single" w:sz="4" w:space="0" w:color="000000"/>
              <w:left w:val="single" w:sz="4" w:space="0" w:color="000000"/>
            </w:tcBorders>
            <w:tcMar>
              <w:left w:w="108"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millions, except per share amounts)</w:t>
            </w:r>
          </w:p>
        </w:tc>
        <w:tc>
          <w:tcPr>
            <w:tcW w:w="2444"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color w:val="000000"/>
              </w:rPr>
            </w:pPr>
            <w:r>
              <w:rPr>
                <w:color w:val="000000"/>
              </w:rPr>
              <w:t>   </w:t>
            </w:r>
            <w:r>
              <w:rPr>
                <w:rFonts w:ascii="sans-serif" w:hAnsi="sans-serif"/>
                <w:b/>
                <w:color w:val="000000"/>
                <w:sz w:val="20"/>
              </w:rPr>
              <w:t>Three Months Ended</w:t>
            </w:r>
          </w:p>
        </w:tc>
        <w:tc>
          <w:tcPr>
            <w:tcW w:w="2060"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r>
      <w:tr>
        <w:trPr/>
        <w:tc>
          <w:tcPr>
            <w:tcW w:w="570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122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u w:val="single"/>
              </w:rPr>
            </w:pPr>
            <w:r>
              <w:rPr>
                <w:rFonts w:ascii="sans-serif" w:hAnsi="sans-serif"/>
                <w:b/>
                <w:color w:val="000000"/>
                <w:sz w:val="20"/>
                <w:u w:val="single"/>
              </w:rPr>
              <w:t>3/31/26</w:t>
            </w:r>
          </w:p>
        </w:tc>
        <w:tc>
          <w:tcPr>
            <w:tcW w:w="1222" w:type="dxa"/>
            <w:tcBorders>
              <w:right w:val="single" w:sz="4" w:space="0" w:color="000000"/>
            </w:tcBorders>
            <w:tcMar>
              <w:top w:w="0" w:type="dxa"/>
              <w:left w:w="0" w:type="dxa"/>
              <w:bottom w:w="0" w:type="dxa"/>
              <w:right w:w="108" w:type="dxa"/>
            </w:tcMar>
            <w:vAlign w:val="center"/>
          </w:tcPr>
          <w:p>
            <w:pPr>
              <w:pStyle w:val="TableContents"/>
              <w:bidi w:val="0"/>
              <w:spacing w:before="0" w:after="283"/>
              <w:jc w:val="center"/>
              <w:rPr>
                <w:rFonts w:ascii="sans-serif" w:hAnsi="sans-serif"/>
                <w:b/>
                <w:color w:val="000000"/>
                <w:sz w:val="20"/>
                <w:u w:val="single"/>
              </w:rPr>
            </w:pPr>
            <w:r>
              <w:rPr>
                <w:rFonts w:ascii="sans-serif" w:hAnsi="sans-serif"/>
                <w:b/>
                <w:color w:val="000000"/>
                <w:sz w:val="20"/>
                <w:u w:val="single"/>
              </w:rPr>
              <w:t>3/31/25</w:t>
            </w:r>
          </w:p>
        </w:tc>
        <w:tc>
          <w:tcPr>
            <w:tcW w:w="1003"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u w:val="single"/>
              </w:rPr>
            </w:pPr>
            <w:r>
              <w:rPr>
                <w:rFonts w:ascii="sans-serif" w:hAnsi="sans-serif"/>
                <w:b/>
                <w:color w:val="000000"/>
                <w:sz w:val="20"/>
                <w:u w:val="single"/>
              </w:rPr>
              <w:t>3/31/26</w:t>
            </w:r>
          </w:p>
        </w:tc>
        <w:tc>
          <w:tcPr>
            <w:tcW w:w="1057" w:type="dxa"/>
            <w:tcBorders>
              <w:right w:val="single" w:sz="4" w:space="0" w:color="000000"/>
            </w:tcBorders>
            <w:tcMar>
              <w:top w:w="0" w:type="dxa"/>
              <w:left w:w="0" w:type="dxa"/>
              <w:bottom w:w="0" w:type="dxa"/>
              <w:right w:w="108" w:type="dxa"/>
            </w:tcMar>
            <w:vAlign w:val="center"/>
          </w:tcPr>
          <w:p>
            <w:pPr>
              <w:pStyle w:val="TableContents"/>
              <w:bidi w:val="0"/>
              <w:spacing w:before="0" w:after="283"/>
              <w:jc w:val="center"/>
              <w:rPr>
                <w:rFonts w:ascii="sans-serif" w:hAnsi="sans-serif"/>
                <w:b/>
                <w:color w:val="000000"/>
                <w:sz w:val="20"/>
                <w:u w:val="single"/>
              </w:rPr>
            </w:pPr>
            <w:r>
              <w:rPr>
                <w:rFonts w:ascii="sans-serif" w:hAnsi="sans-serif"/>
                <w:b/>
                <w:color w:val="000000"/>
                <w:sz w:val="20"/>
                <w:u w:val="single"/>
              </w:rPr>
              <w:t>3/31/25</w:t>
            </w:r>
          </w:p>
        </w:tc>
      </w:tr>
      <w:tr>
        <w:trPr/>
        <w:tc>
          <w:tcPr>
            <w:tcW w:w="570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12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2" w:type="dxa"/>
            <w:tcBorders>
              <w:right w:val="single" w:sz="4" w:space="0" w:color="000000"/>
            </w:tcBorders>
            <w:tcMar>
              <w:top w:w="0" w:type="dxa"/>
              <w:left w:w="0" w:type="dxa"/>
              <w:bottom w:w="0" w:type="dxa"/>
              <w:right w:w="108" w:type="dxa"/>
            </w:tcMar>
            <w:vAlign w:val="center"/>
          </w:tcPr>
          <w:p>
            <w:pPr>
              <w:pStyle w:val="TableContents"/>
              <w:bidi w:val="0"/>
              <w:spacing w:before="0" w:after="283"/>
              <w:jc w:val="center"/>
              <w:rPr/>
            </w:pPr>
            <w:r>
              <w:rPr/>
              <w:t> </w:t>
            </w:r>
          </w:p>
        </w:tc>
        <w:tc>
          <w:tcPr>
            <w:tcW w:w="10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7" w:type="dxa"/>
            <w:tcBorders>
              <w:right w:val="single" w:sz="4" w:space="0" w:color="000000"/>
            </w:tcBorders>
            <w:tcMar>
              <w:top w:w="0" w:type="dxa"/>
              <w:left w:w="0" w:type="dxa"/>
              <w:bottom w:w="0" w:type="dxa"/>
              <w:right w:w="108" w:type="dxa"/>
            </w:tcMar>
            <w:vAlign w:val="center"/>
          </w:tcPr>
          <w:p>
            <w:pPr>
              <w:pStyle w:val="TableContents"/>
              <w:bidi w:val="0"/>
              <w:spacing w:before="0" w:after="283"/>
              <w:jc w:val="center"/>
              <w:rPr/>
            </w:pPr>
            <w:r>
              <w:rPr/>
              <w:t> </w:t>
            </w:r>
          </w:p>
        </w:tc>
      </w:tr>
      <w:tr>
        <w:trPr/>
        <w:tc>
          <w:tcPr>
            <w:tcW w:w="570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$ 904</w:t>
            </w:r>
            <w:r>
              <w:rPr>
                <w:rFonts w:ascii="Times New Roman" w:hAnsi="Times New Roman"/>
                <w:color w:val="000000"/>
                <w:sz w:val="20"/>
              </w:rPr>
              <w:t xml:space="preserve"> </w:t>
            </w:r>
          </w:p>
        </w:tc>
        <w:tc>
          <w:tcPr>
            <w:tcW w:w="1222"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$ 936</w:t>
            </w:r>
            <w:r>
              <w:rPr>
                <w:rFonts w:ascii="Times New Roman" w:hAnsi="Times New Roman"/>
                <w:color w:val="000000"/>
                <w:sz w:val="20"/>
              </w:rPr>
              <w:t xml:space="preserve"> </w:t>
            </w:r>
          </w:p>
        </w:tc>
        <w:tc>
          <w:tcPr>
            <w:tcW w:w="100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$ 1,753</w:t>
            </w:r>
          </w:p>
        </w:tc>
        <w:tc>
          <w:tcPr>
            <w:tcW w:w="1057"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$ 1,891</w:t>
            </w:r>
          </w:p>
        </w:tc>
      </w:tr>
      <w:tr>
        <w:trPr/>
        <w:tc>
          <w:tcPr>
            <w:tcW w:w="570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 attributable to Cabot Corporation</w:t>
            </w:r>
          </w:p>
        </w:tc>
        <w:tc>
          <w:tcPr>
            <w:tcW w:w="1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$ 68</w:t>
            </w:r>
            <w:r>
              <w:rPr>
                <w:rFonts w:ascii="Times New Roman" w:hAnsi="Times New Roman"/>
                <w:color w:val="000000"/>
                <w:sz w:val="20"/>
              </w:rPr>
              <w:t xml:space="preserve"> </w:t>
            </w:r>
          </w:p>
        </w:tc>
        <w:tc>
          <w:tcPr>
            <w:tcW w:w="1222"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$ 94</w:t>
            </w:r>
            <w:r>
              <w:rPr>
                <w:rFonts w:ascii="Times New Roman" w:hAnsi="Times New Roman"/>
                <w:color w:val="000000"/>
                <w:sz w:val="20"/>
              </w:rPr>
              <w:t xml:space="preserve"> </w:t>
            </w:r>
          </w:p>
        </w:tc>
        <w:tc>
          <w:tcPr>
            <w:tcW w:w="100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$ 141</w:t>
            </w:r>
          </w:p>
        </w:tc>
        <w:tc>
          <w:tcPr>
            <w:tcW w:w="1057"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$ 187</w:t>
            </w:r>
          </w:p>
        </w:tc>
      </w:tr>
      <w:tr>
        <w:trPr/>
        <w:tc>
          <w:tcPr>
            <w:tcW w:w="570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pPr>
            <w:r>
              <w:rPr/>
              <w:t> </w:t>
            </w:r>
          </w:p>
        </w:tc>
        <w:tc>
          <w:tcPr>
            <w:tcW w:w="1222" w:type="dxa"/>
            <w:tcBorders/>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c>
          <w:tcPr>
            <w:tcW w:w="1003" w:type="dxa"/>
            <w:tcBorders/>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right w:val="single" w:sz="4" w:space="0" w:color="000000"/>
            </w:tcBorders>
            <w:tcMar>
              <w:top w:w="0" w:type="dxa"/>
              <w:left w:w="0" w:type="dxa"/>
              <w:bottom w:w="0" w:type="dxa"/>
              <w:right w:w="108" w:type="dxa"/>
            </w:tcMar>
            <w:vAlign w:val="center"/>
          </w:tcPr>
          <w:p>
            <w:pPr>
              <w:pStyle w:val="TableContents"/>
              <w:bidi w:val="0"/>
              <w:spacing w:before="0" w:after="283"/>
              <w:ind w:left="0" w:right="0" w:firstLine="360"/>
              <w:jc w:val="left"/>
              <w:rPr/>
            </w:pPr>
            <w:r>
              <w:rPr/>
              <w:t> </w:t>
            </w:r>
          </w:p>
        </w:tc>
      </w:tr>
      <w:tr>
        <w:trPr/>
        <w:tc>
          <w:tcPr>
            <w:tcW w:w="5701" w:type="dxa"/>
            <w:tcBorders>
              <w:left w:val="single" w:sz="4" w:space="0" w:color="000000"/>
            </w:tcBorders>
            <w:tcMar>
              <w:top w:w="0" w:type="dxa"/>
              <w:left w:w="108" w:type="dxa"/>
              <w:bottom w:w="0" w:type="dxa"/>
              <w:right w:w="0" w:type="dxa"/>
            </w:tcMar>
            <w:vAlign w:val="center"/>
          </w:tcPr>
          <w:p>
            <w:pPr>
              <w:pStyle w:val="TableContents"/>
              <w:bidi w:val="0"/>
              <w:spacing w:before="0" w:after="283"/>
              <w:ind w:left="0" w:right="0" w:firstLine="360"/>
              <w:jc w:val="left"/>
              <w:rPr/>
            </w:pPr>
            <w:r>
              <w:rPr/>
              <w:t> </w:t>
            </w:r>
          </w:p>
        </w:tc>
        <w:tc>
          <w:tcPr>
            <w:tcW w:w="1222" w:type="dxa"/>
            <w:tcBorders/>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c>
          <w:tcPr>
            <w:tcW w:w="1003" w:type="dxa"/>
            <w:tcBorders/>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570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earnings (loss) per share attributable to Cabot Corporation</w:t>
            </w:r>
          </w:p>
        </w:tc>
        <w:tc>
          <w:tcPr>
            <w:tcW w:w="122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$ 1.27</w:t>
            </w:r>
          </w:p>
        </w:tc>
        <w:tc>
          <w:tcPr>
            <w:tcW w:w="1222"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$ 1.69</w:t>
            </w:r>
          </w:p>
        </w:tc>
        <w:tc>
          <w:tcPr>
            <w:tcW w:w="100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$ 2.64</w:t>
            </w:r>
          </w:p>
        </w:tc>
        <w:tc>
          <w:tcPr>
            <w:tcW w:w="1057"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$ 3.36</w:t>
            </w:r>
          </w:p>
        </w:tc>
      </w:tr>
      <w:tr>
        <w:trPr/>
        <w:tc>
          <w:tcPr>
            <w:tcW w:w="5701"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Less: Certain items after tax per share</w:t>
            </w:r>
          </w:p>
        </w:tc>
        <w:tc>
          <w:tcPr>
            <w:tcW w:w="122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(0.34)</w:t>
            </w:r>
          </w:p>
        </w:tc>
        <w:tc>
          <w:tcPr>
            <w:tcW w:w="1222"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(0.21)</w:t>
            </w:r>
          </w:p>
        </w:tc>
        <w:tc>
          <w:tcPr>
            <w:tcW w:w="1003"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(0.50)</w:t>
            </w:r>
          </w:p>
        </w:tc>
        <w:tc>
          <w:tcPr>
            <w:tcW w:w="1057"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(0.30)</w:t>
            </w:r>
          </w:p>
        </w:tc>
      </w:tr>
      <w:tr>
        <w:trPr/>
        <w:tc>
          <w:tcPr>
            <w:tcW w:w="5701"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Adjusted EPS</w:t>
            </w:r>
          </w:p>
        </w:tc>
        <w:tc>
          <w:tcPr>
            <w:tcW w:w="12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$ 1.61</w:t>
            </w:r>
          </w:p>
        </w:tc>
        <w:tc>
          <w:tcPr>
            <w:tcW w:w="12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$ 1.90</w:t>
            </w:r>
          </w:p>
        </w:tc>
        <w:tc>
          <w:tcPr>
            <w:tcW w:w="100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$ 3.14</w:t>
            </w:r>
          </w:p>
        </w:tc>
        <w:tc>
          <w:tcPr>
            <w:tcW w:w="10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$ 3.66</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Sean Keohane, Cabot President and Chief Executive Officer commented: “I am pleased with our strong execution during the quarter as we continued to operate at a high level in a challenging environment, delivering Adjusted EPS of $1.61 and resulting in a solid first half of the fiscal year. Our results reflect disciplined execution across the organization, particularly in commercial and operational excellence. Performance Chemicals segment EBIT increased 18% year-over-year supported by continued strong momentum in our battery materials product line and higher</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Page 1 of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volumes in our specialty carbons product line. Reinforcement Materials segment EBIT declined 29% year-over-year, as 3% higher volumes were more than offset by lower gross profit per ton. Overall, I am encouraged by our team’s performance as we navigate dynamic market conditions.”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Keohane continued, “As we continue to optimize our asset footprint, the Company intends to target capacity rationalization at facilities in South America and Europe,</w:t>
      </w:r>
      <w:r>
        <w:rPr>
          <w:rFonts w:ascii="Times New Roman" w:hAnsi="Times New Roman"/>
          <w:color w:val="000000"/>
          <w:sz w:val="20"/>
        </w:rPr>
        <w:t xml:space="preserve"> </w:t>
      </w:r>
      <w:r>
        <w:rPr>
          <w:rFonts w:ascii="sans-serif" w:hAnsi="sans-serif"/>
          <w:color w:val="000000"/>
          <w:sz w:val="22"/>
        </w:rPr>
        <w:t>subject to local consultation processes. These actions are intended to better align production with demand conditions and enable a more efficient manufacturing network to meet our customer supply needs. We expect these actions will generate annualized fixed cost savings of approximately $22 million once fully implemented.”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Keohane continued, “We continued to generate strong operating cash flow that enabled us to invest in capital expenditures and return cash to shareholders. Our balance sheet remains strong with available liquidity of $1.3 billion and a net debt to EBITDA ratio of 1.5 times as of March 31, 2026. I am pleased with the solid cash flow performance and our strong balance sheet, which enable us to continue to deliver on our capital allocation priorities.”</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Financial Detail</w:t>
      </w:r>
    </w:p>
    <w:p>
      <w:pPr>
        <w:pStyle w:val="TextBody"/>
        <w:bidi w:val="0"/>
        <w:jc w:val="left"/>
        <w:rPr>
          <w:rFonts w:ascii="sans-serif" w:hAnsi="sans-serif"/>
          <w:color w:val="000000"/>
          <w:sz w:val="22"/>
        </w:rPr>
      </w:pPr>
      <w:r>
        <w:rPr>
          <w:rFonts w:ascii="sans-serif" w:hAnsi="sans-serif"/>
          <w:color w:val="000000"/>
          <w:sz w:val="22"/>
        </w:rPr>
        <w:t>For the second quarter of fiscal 2026, net income attributable to Cabot Corporation was $68 million ($1.27 per common share). Net income reflects an after-tax per share charge from certain items of $0.34. Adjusted EPS for the second quarter of fiscal 2026 was $1.61 per share.</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Segment Results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Reinforcement Materials – </w:t>
      </w:r>
      <w:r>
        <w:rPr>
          <w:rFonts w:ascii="sans-serif" w:hAnsi="sans-serif"/>
          <w:color w:val="000000"/>
          <w:sz w:val="22"/>
        </w:rPr>
        <w:t>Second quarter fiscal 2026 EBIT in Reinforcement Materials decreased by $38 million compared to the second quarter of fiscal 2025. The decrease in EBIT was largely driven by lower gross profit per ton, primarily due to lower pricing and product mix in our calendar year 2026 tire customer agreements and from increased competitive intensity in Asia Pacific. Volumes increased by 3% in the second quarter of fiscal 2026 as compared to the second quarter of fiscal 2025 driven by higher volumes across all regions.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Global and regional volume changes for Reinforcement Materials for the second quarter of fiscal 2026 as compared to the same quarter of the prior year are set forth in the table below:</w:t>
      </w:r>
    </w:p>
    <w:p>
      <w:pPr>
        <w:pStyle w:val="TextBody"/>
        <w:bidi w:val="0"/>
        <w:jc w:val="left"/>
        <w:rPr/>
      </w:pPr>
      <w:r>
        <w:rPr/>
        <w:t> </w:t>
      </w:r>
    </w:p>
    <w:tbl>
      <w:tblPr>
        <w:tblW w:w="8012" w:type="dxa"/>
        <w:jc w:val="left"/>
        <w:tblInd w:w="0" w:type="dxa"/>
        <w:tblLayout w:type="fixed"/>
        <w:tblCellMar>
          <w:top w:w="28" w:type="dxa"/>
          <w:left w:w="28" w:type="dxa"/>
          <w:bottom w:w="28" w:type="dxa"/>
          <w:right w:w="28" w:type="dxa"/>
        </w:tblCellMar>
      </w:tblPr>
      <w:tblGrid>
        <w:gridCol w:w="5281"/>
        <w:gridCol w:w="2731"/>
      </w:tblGrid>
      <w:tr>
        <w:trPr/>
        <w:tc>
          <w:tcPr>
            <w:tcW w:w="528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52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731" w:type="dxa"/>
            <w:tcBorders>
              <w:top w:val="single" w:sz="4" w:space="0" w:color="000000"/>
            </w:tcBorders>
            <w:tcMar>
              <w:left w:w="0" w:type="dxa"/>
              <w:bottom w:w="0" w:type="dxa"/>
              <w:right w:w="0" w:type="dxa"/>
            </w:tcMar>
            <w:vAlign w:val="center"/>
          </w:tcPr>
          <w:p>
            <w:pPr>
              <w:pStyle w:val="TableContents"/>
              <w:bidi w:val="0"/>
              <w:jc w:val="center"/>
              <w:rPr>
                <w:rFonts w:ascii="sans-serif" w:hAnsi="sans-serif"/>
                <w:color w:val="000000"/>
                <w:sz w:val="22"/>
              </w:rPr>
            </w:pPr>
            <w:r>
              <w:rPr>
                <w:rFonts w:ascii="sans-serif" w:hAnsi="sans-serif"/>
                <w:color w:val="000000"/>
                <w:sz w:val="22"/>
              </w:rPr>
              <w:t>Second Quarter</w:t>
            </w:r>
          </w:p>
          <w:p>
            <w:pPr>
              <w:pStyle w:val="TableContents"/>
              <w:bidi w:val="0"/>
              <w:spacing w:before="0" w:after="283"/>
              <w:jc w:val="center"/>
              <w:rPr>
                <w:rFonts w:ascii="sans-serif" w:hAnsi="sans-serif"/>
                <w:color w:val="000000"/>
                <w:sz w:val="22"/>
                <w:u w:val="single"/>
              </w:rPr>
            </w:pPr>
            <w:r>
              <w:rPr>
                <w:rFonts w:ascii="sans-serif" w:hAnsi="sans-serif"/>
                <w:color w:val="000000"/>
                <w:sz w:val="22"/>
                <w:u w:val="single"/>
              </w:rPr>
              <w:t>Year-over-Year Change</w:t>
            </w:r>
          </w:p>
        </w:tc>
      </w:tr>
      <w:tr>
        <w:trPr/>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Global Reinforcement Materials Volumes</w:t>
            </w:r>
          </w:p>
        </w:tc>
        <w:tc>
          <w:tcPr>
            <w:tcW w:w="2731"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22"/>
              </w:rPr>
            </w:pPr>
            <w:r>
              <w:rPr>
                <w:rFonts w:ascii="sans-serif" w:hAnsi="sans-serif"/>
                <w:b/>
                <w:color w:val="000000"/>
                <w:sz w:val="22"/>
              </w:rPr>
              <w:t>3%</w:t>
            </w:r>
          </w:p>
        </w:tc>
      </w:tr>
      <w:tr>
        <w:trPr/>
        <w:tc>
          <w:tcPr>
            <w:tcW w:w="52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Asia Pacific</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5%</w:t>
            </w:r>
          </w:p>
        </w:tc>
      </w:tr>
      <w:tr>
        <w:trPr/>
        <w:tc>
          <w:tcPr>
            <w:tcW w:w="52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Europe, Middle East, Africa</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3%</w:t>
            </w:r>
          </w:p>
        </w:tc>
      </w:tr>
      <w:tr>
        <w:trPr/>
        <w:tc>
          <w:tcPr>
            <w:tcW w:w="5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Americas</w:t>
            </w:r>
          </w:p>
        </w:tc>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1%</w:t>
            </w:r>
          </w:p>
        </w:tc>
      </w:tr>
    </w:tbl>
    <w:p>
      <w:pPr>
        <w:pStyle w:val="TextBody"/>
        <w:bidi w:val="0"/>
        <w:jc w:val="left"/>
        <w:rPr>
          <w:rFonts w:ascii="Times New Roman" w:hAnsi="Times New Roman"/>
          <w:sz w:val="20"/>
        </w:rPr>
      </w:pPr>
      <w:bookmarkStart w:id="4" w:name="ole_link3"/>
      <w:bookmarkEnd w:id="4"/>
      <w:r>
        <w:rPr>
          <w:rFonts w:ascii="sans-serif" w:hAnsi="sans-serif"/>
          <w:b/>
          <w:color w:val="000000"/>
          <w:sz w:val="22"/>
        </w:rPr>
        <w:t xml:space="preserve">Performance Chemicals – </w:t>
      </w:r>
      <w:bookmarkStart w:id="5" w:name="ole_link4"/>
      <w:bookmarkEnd w:id="5"/>
      <w:r>
        <w:rPr>
          <w:rFonts w:ascii="sans-serif" w:hAnsi="sans-serif"/>
          <w:color w:val="000000"/>
          <w:sz w:val="22"/>
        </w:rPr>
        <w:t>Second quarter fiscal 2026 EBIT in Performance Chemicals increased by $9 million compared to the second quarter of fiscal 2025 primarily due to higher gross profit per ton. The higher gross profit per ton was primarily due to a favorable product mix and optimization efforts. In addition, volumes increased in our battery materials and specialty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Page 2 of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carbons product lines in the second quarter of fiscal 2026 as compared to the second quarter of fiscal 2025.</w:t>
      </w:r>
    </w:p>
    <w:p>
      <w:pPr>
        <w:pStyle w:val="TextBody"/>
        <w:bidi w:val="0"/>
        <w:jc w:val="left"/>
        <w:rPr>
          <w:rFonts w:ascii="Times New Roman" w:hAnsi="Times New Roman"/>
          <w:sz w:val="20"/>
        </w:rPr>
      </w:pPr>
      <w:r>
        <w:rPr>
          <w:rFonts w:ascii="sans-serif" w:hAnsi="sans-serif"/>
          <w:b/>
          <w:color w:val="000000"/>
          <w:sz w:val="22"/>
        </w:rPr>
        <w:t>Cash Performance</w:t>
      </w:r>
      <w:r>
        <w:rPr>
          <w:rFonts w:ascii="Times New Roman" w:hAnsi="Times New Roman"/>
          <w:color w:val="000000"/>
          <w:sz w:val="20"/>
        </w:rPr>
        <w:t xml:space="preserve"> – </w:t>
      </w:r>
      <w:r>
        <w:rPr>
          <w:rFonts w:ascii="sans-serif" w:hAnsi="sans-serif"/>
          <w:color w:val="000000"/>
          <w:sz w:val="22"/>
        </w:rPr>
        <w:t>The Company ended the second quarter of fiscal 2026 with a cash balance of $252 million. During the second quarter of fiscal 2026, cash flows from operating activities were a source of $77 million. Capital expenditures for the second quarter of fiscal 2026 were $45 million. Additional uses of cash during the second quarter included $24 million for the payment of dividends and $49 million for share repurchases.</w:t>
      </w:r>
    </w:p>
    <w:p>
      <w:pPr>
        <w:pStyle w:val="TextBody"/>
        <w:bidi w:val="0"/>
        <w:jc w:val="left"/>
        <w:rPr>
          <w:rFonts w:ascii="Times New Roman" w:hAnsi="Times New Roman"/>
          <w:sz w:val="20"/>
        </w:rPr>
      </w:pPr>
      <w:r>
        <w:rPr>
          <w:rFonts w:ascii="sans-serif" w:hAnsi="sans-serif"/>
          <w:b/>
          <w:color w:val="000000"/>
          <w:sz w:val="22"/>
        </w:rPr>
        <w:t xml:space="preserve">Taxes – </w:t>
      </w:r>
      <w:r>
        <w:rPr>
          <w:rFonts w:ascii="sans-serif" w:hAnsi="sans-serif"/>
          <w:color w:val="000000"/>
          <w:sz w:val="22"/>
        </w:rPr>
        <w:t>During the second quarter of fiscal 2026, the Company recorded a tax expense of $44 million with an effective tax rate of 37%, which included an $8 million charge for discrete and certain tax items. The operating rate was 28% in the second quarter of fiscal 2026 and we expect our operating tax rate for fiscal 2026 to be in the range of 27% to 29%.</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Outlook</w:t>
      </w:r>
    </w:p>
    <w:p>
      <w:pPr>
        <w:pStyle w:val="TextBody"/>
        <w:bidi w:val="0"/>
        <w:jc w:val="left"/>
        <w:rPr>
          <w:rFonts w:ascii="Times New Roman" w:hAnsi="Times New Roman"/>
          <w:sz w:val="20"/>
        </w:rPr>
      </w:pPr>
      <w:r>
        <w:rPr>
          <w:rFonts w:ascii="sans-serif" w:hAnsi="sans-serif"/>
          <w:color w:val="000000"/>
          <w:sz w:val="22"/>
        </w:rPr>
        <w:t>Commenting on the outlook for the Company, Keohane said, “As we look ahead to the remainder of fiscal 2026, we are reaffirming our Adjusted EPS guidance for the full year to be in the range of $6.00 to $6.50 per share.</w:t>
      </w:r>
      <w:r>
        <w:rPr>
          <w:rFonts w:ascii="Times New Roman" w:hAnsi="Times New Roman"/>
          <w:color w:val="000000"/>
          <w:sz w:val="20"/>
        </w:rPr>
        <w:t xml:space="preserve"> </w:t>
      </w:r>
      <w:r>
        <w:rPr>
          <w:rFonts w:ascii="sans-serif" w:hAnsi="sans-serif"/>
          <w:color w:val="000000"/>
          <w:sz w:val="22"/>
        </w:rPr>
        <w:t>Our outlook incorporates our best view of the impacts to our businesses from the conflict in the Middle East and the uncertainty it creates. While we expect near term demand to remain stable, we are cautious of potential changes in demand levels towards the end of the fiscal year due to disruptions from the Middle East crisis. In addition, we expect to maintain our margins with price increases to offset higher input costs across both segments.”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Keohane continued, “We have delivered a solid first half of the fiscal year and executed well against the financial commitments we made in a difficult demand environment. I am confident in our team’s agility and discipline to navigate the current volatile environment. To further strengthen our competitive position, we will continue to pursue actions across our network in commercial excellence, cost management, and the asset rationalizations previously mentioned.”</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Keohane concluded, “We remain focused on disciplined operational execution and maintaining financial flexibility as we navigate an uncertain macro environment. Supported by a strong balance sheet and ample liquidity, I believe we are well positioned to manage near</w:t>
      </w:r>
      <w:r>
        <w:rPr>
          <w:rFonts w:ascii="Times New Roman" w:hAnsi="Times New Roman"/>
          <w:color w:val="000000"/>
          <w:sz w:val="22"/>
        </w:rPr>
        <w:t>-</w:t>
      </w:r>
      <w:r>
        <w:rPr>
          <w:rFonts w:ascii="sans-serif" w:hAnsi="sans-serif"/>
          <w:color w:val="000000"/>
          <w:sz w:val="22"/>
        </w:rPr>
        <w:t>term pressures, including elevated energy costs and geopolitical uncertainty. I believe the actions we are taking today will strengthen the company and support our strategy for long</w:t>
      </w:r>
      <w:r>
        <w:rPr>
          <w:rFonts w:ascii="Times New Roman" w:hAnsi="Times New Roman"/>
          <w:color w:val="000000"/>
          <w:sz w:val="22"/>
        </w:rPr>
        <w:t>-</w:t>
      </w:r>
      <w:r>
        <w:rPr>
          <w:rFonts w:ascii="sans-serif" w:hAnsi="sans-serif"/>
          <w:color w:val="000000"/>
          <w:sz w:val="22"/>
        </w:rPr>
        <w:t>term value creation.”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Earnings Call</w:t>
      </w:r>
    </w:p>
    <w:p>
      <w:pPr>
        <w:pStyle w:val="TextBody"/>
        <w:bidi w:val="0"/>
        <w:jc w:val="left"/>
        <w:rPr>
          <w:rFonts w:ascii="Times New Roman" w:hAnsi="Times New Roman"/>
          <w:sz w:val="20"/>
        </w:rPr>
      </w:pPr>
      <w:r>
        <w:rPr>
          <w:rFonts w:ascii="sans-serif" w:hAnsi="sans-serif"/>
          <w:color w:val="000000"/>
          <w:sz w:val="22"/>
        </w:rPr>
        <w:t xml:space="preserve">The Company will host a conference call with industry analysts at 8:00 a.m. Eastern time on Wednesday, May 6, 2026. The call can be accessed through Cabot’s investor relations website at </w:t>
      </w:r>
      <w:r>
        <w:rPr>
          <w:rFonts w:ascii="sans-serif" w:hAnsi="sans-serif"/>
          <w:sz w:val="22"/>
        </w:rPr>
        <w:t>http://investor.cabot-corp.com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u w:val="single"/>
        </w:rPr>
        <w:t>About Cabot Corporation</w:t>
        <w:br/>
      </w:r>
      <w:r>
        <w:rPr>
          <w:rFonts w:ascii="sans-serif" w:hAnsi="sans-serif"/>
          <w:color w:val="000000"/>
          <w:sz w:val="22"/>
        </w:rPr>
        <w:t xml:space="preserve">Cabot Corporation (NYSE: CBT) is a global specialty chemicals and performance materials company headquartered in Boston, Massachusetts. The company is a leading provider of </w:t>
      </w:r>
      <w:r>
        <w:rPr>
          <w:rFonts w:ascii="sans-serif" w:hAnsi="sans-serif"/>
          <w:sz w:val="22"/>
        </w:rPr>
        <w:t>reinforcing carbons</w:t>
      </w:r>
      <w:r>
        <w:rPr>
          <w:rFonts w:ascii="sans-serif" w:hAnsi="sans-serif"/>
          <w:color w:val="000000"/>
          <w:sz w:val="22"/>
        </w:rPr>
        <w:t xml:space="preserve">, </w:t>
      </w:r>
      <w:r>
        <w:rPr>
          <w:rFonts w:ascii="sans-serif" w:hAnsi="sans-serif"/>
          <w:sz w:val="22"/>
        </w:rPr>
        <w:t>specialty carbons</w:t>
      </w:r>
      <w:r>
        <w:rPr>
          <w:rFonts w:ascii="sans-serif" w:hAnsi="sans-serif"/>
          <w:color w:val="000000"/>
          <w:sz w:val="22"/>
        </w:rPr>
        <w:t xml:space="preserve">, </w:t>
      </w:r>
      <w:r>
        <w:rPr>
          <w:rFonts w:ascii="sans-serif" w:hAnsi="sans-serif"/>
          <w:sz w:val="22"/>
        </w:rPr>
        <w:t>battery materials</w:t>
      </w:r>
      <w:r>
        <w:rPr>
          <w:rFonts w:ascii="sans-serif" w:hAnsi="sans-serif"/>
          <w:color w:val="CE181E"/>
          <w:sz w:val="22"/>
        </w:rPr>
        <w:t>,</w:t>
      </w:r>
      <w:r>
        <w:rPr>
          <w:rFonts w:ascii="Times New Roman" w:hAnsi="Times New Roman"/>
          <w:color w:val="000000"/>
          <w:sz w:val="20"/>
        </w:rPr>
        <w:t xml:space="preserve"> </w:t>
      </w:r>
      <w:r>
        <w:rPr>
          <w:rFonts w:ascii="sans-serif" w:hAnsi="sans-serif"/>
          <w:sz w:val="22"/>
        </w:rPr>
        <w:t>engineered elastomer composites</w:t>
      </w:r>
      <w:r>
        <w:rPr>
          <w:rFonts w:ascii="sans-serif" w:hAnsi="sans-serif"/>
          <w:color w:val="000000"/>
          <w:sz w:val="22"/>
        </w:rPr>
        <w:t xml:space="preserve">, </w:t>
      </w:r>
      <w:r>
        <w:rPr>
          <w:rFonts w:ascii="sans-serif" w:hAnsi="sans-serif"/>
          <w:sz w:val="22"/>
        </w:rPr>
        <w:t>inkjet colorants</w:t>
      </w:r>
      <w:r>
        <w:rPr>
          <w:rFonts w:ascii="sans-serif" w:hAnsi="sans-serif"/>
          <w:color w:val="000000"/>
          <w:sz w:val="22"/>
        </w:rPr>
        <w:t xml:space="preserve">, </w:t>
      </w:r>
      <w:r>
        <w:rPr>
          <w:rFonts w:ascii="sans-serif" w:hAnsi="sans-serif"/>
          <w:sz w:val="22"/>
        </w:rPr>
        <w:t>masterbatches and conductive compounds</w:t>
      </w:r>
      <w:r>
        <w:rPr>
          <w:rFonts w:ascii="sans-serif" w:hAnsi="sans-serif"/>
          <w:color w:val="000000"/>
          <w:sz w:val="22"/>
        </w:rPr>
        <w:t xml:space="preserve">, </w:t>
      </w:r>
      <w:r>
        <w:rPr>
          <w:rFonts w:ascii="sans-serif" w:hAnsi="sans-serif"/>
          <w:sz w:val="22"/>
        </w:rPr>
        <w:t>fumed metal oxides</w:t>
      </w:r>
      <w:r>
        <w:rPr>
          <w:rFonts w:ascii="Times New Roman" w:hAnsi="Times New Roman"/>
          <w:color w:val="000000"/>
          <w:sz w:val="20"/>
        </w:rPr>
        <w:t xml:space="preserve"> </w:t>
      </w:r>
      <w:r>
        <w:rPr>
          <w:rFonts w:ascii="sans-serif" w:hAnsi="sans-serif"/>
          <w:color w:val="000000"/>
          <w:sz w:val="22"/>
        </w:rPr>
        <w:t xml:space="preserve">and </w:t>
      </w:r>
      <w:r>
        <w:rPr>
          <w:rFonts w:ascii="sans-serif" w:hAnsi="sans-serif"/>
          <w:sz w:val="22"/>
        </w:rPr>
        <w:t>aerogel</w:t>
      </w:r>
      <w:r>
        <w:rPr>
          <w:rFonts w:ascii="sans-serif" w:hAnsi="sans-serif"/>
          <w:color w:val="000000"/>
          <w:sz w:val="22"/>
        </w:rPr>
        <w: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Page 3 of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For more information on Cabot, please visit the company’s website at </w:t>
      </w:r>
      <w:r>
        <w:rPr>
          <w:rFonts w:ascii="sans-serif" w:hAnsi="sans-serif"/>
          <w:sz w:val="22"/>
        </w:rPr>
        <w:t>cabotcorp.com</w:t>
      </w:r>
      <w:r>
        <w:rPr>
          <w:rFonts w:ascii="sans-serif" w:hAnsi="sans-serif"/>
          <w:color w:val="000000"/>
          <w:sz w:val="22"/>
        </w:rPr>
        <w:t>. The Company regularly posts important information on its website and encourages investors and potential investors to consult the Cabot website regularly.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Forward-Looking Statements –</w:t>
      </w:r>
      <w:r>
        <w:rPr>
          <w:rFonts w:ascii="Times New Roman" w:hAnsi="Times New Roman"/>
          <w:color w:val="000000"/>
          <w:sz w:val="20"/>
        </w:rPr>
        <w:t xml:space="preserve"> </w:t>
      </w:r>
      <w:r>
        <w:rPr>
          <w:rFonts w:ascii="sans-serif" w:hAnsi="sans-serif"/>
          <w:color w:val="000000"/>
          <w:sz w:val="22"/>
        </w:rPr>
        <w:t>This earnings release contains forward-looking statements. All statements that address expectations or projections about the future, including with respect to our expectations for our performance in fiscal year 2026, including our expectations for Adjusted EPS for fiscal 2026, our expectations for capital allocation and operating cash flow for fiscal 2026, our expectations for asset rationalizations and anticipated benefits we expect to achieve including for cost savings from those actions, our expected operating tax rate for fiscal 2026, and our assumptions underlying those expectations are forward-looking statements. These statements are not guarantees of future performance and are subject to risks, uncertainties, potentially inaccurate assumptions, and other factors, some of which are beyond our control and difficult to predict. If known or unknown risks materialize, or should underlying assumptions prove inaccurate, our actual results could differ materially from past results and from those expressed or implied by forward-looking statements. Important factors that could cause our results to differ materially from those expressed or implied in the forward-looking statements include, but are not limited to, industry capacity utilization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and conflict in the Middle East; a significant adverse change in a customer relationship or the failure of a customer to perform its obligations under agreements with us; failure to achieve growth expectations from new products, applications and technology developments; failure to realize benefits from acquisitions, alliances, or joint ventures or achieve our portfolio management objectives; unanticipated delays in, or increased cost of site development projects; negative or uncertain worldwide or regional economic conditions and market opportunities, including from trade relations, global health matters or geo-political conflicts; litigation or legal proceedings; interest rates, tax rates, currency exchange controls, tariffs and fluctuations in foreign currency rates; and the accuracy of the assumptions we used in establishing reserves for our share of liability for respirator claims. These factors are discussed more fully in the reports we file with the Securities and Exchange Commission (“SEC”), particularly under the heading “Risk Factors” in our annual report on Form 10-K for our fiscal year ended September 30, 2025, which are filed with the SEC at www.sec.gov. We assume no obligation to provide revisions to any forward-looking statements should circumstances change, except as otherwise required by securities and other applicable laws.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Use of Non-GAAP Financial Measures</w:t>
      </w:r>
    </w:p>
    <w:p>
      <w:pPr>
        <w:pStyle w:val="TextBody"/>
        <w:bidi w:val="0"/>
        <w:jc w:val="left"/>
        <w:rPr>
          <w:rFonts w:ascii="Times New Roman" w:hAnsi="Times New Roman"/>
          <w:sz w:val="20"/>
        </w:rPr>
      </w:pPr>
      <w:r>
        <w:rPr>
          <w:rFonts w:ascii="sans-serif" w:hAnsi="sans-serif"/>
          <w:color w:val="000000"/>
          <w:sz w:val="22"/>
        </w:rPr>
        <w:t>To supplement Cabot’s consolidated financial statements presented on a generally accepted accounting principle (“GAAP”) basis, the preceding discussion of our results and the accompanying financial tables report Adjusted EPS, Adjusted EBITDA, our operating tax rate, Free Cash Flow and Discretionary Free Cash Flow, all of which are non-GAAP financial measures. These non-GAAP financial measures are not computed in accordance with, or as an alternative to, GAAP, and the definitions of these measures may not be comparable to those used by other companies. Reconciliations of Adjusted EPS to net income (loss) per share attributable to Cabot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Page 4 of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Corporation, the most directly comparable GAAP financial measure, Adjusted EBITDA to Income (loss) from operations before income taxes and equity in earnings of affiliated companies, the most directly comparable GAAP financial measure of each such non-GAAP measure, operating tax rate to effective tax rate, the most directly comparable GAAP financial measure and Free Cash Flow and Discretionary Free Cash Flow to Cash flow provided by (used in) operating activities, the most directly comparable GAAP financial measure, are provided in the tables titled “Cabot Corporation Certain Items and Reconciliation of Adjusted EPS and Operating Tax Rate” and “Cabot Corporation Reconciliation of 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Management believes these non-GAAP measures provide investors with greater transparency to the information used by Cabot management in its financial and operational decision-making, allow investors to see Cabot’s results through the eyes of management, and better enable Cabot’s investors to understand Cabot’s operating performance and financial condition.</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Adjusted EPS</w:t>
      </w:r>
      <w:r>
        <w:rPr>
          <w:rFonts w:ascii="sans-serif" w:hAnsi="sans-serif"/>
          <w:color w:val="000000"/>
          <w:sz w:val="22"/>
        </w:rPr>
        <w:t>. In calculating Adjusted EPS, we exclude from our net income (loss) attributable to Cabot Corporation items of expense and income that management does not consider representative of the Company’s business operations. Accordingly, reporting earnings on an adjusted basis supplements the GAAP measure of performance and provides additional information related to the underlying performance of the business. For example, certain of the items we exclude are items that we are required by GAAP to recognize in one period that relate to activities extending over several periods or relate to single events that management considers to be unusual and infrequent, although not necessarily non-recurring. We refer to these items as “certain items.” Management believes excluding these items facilitates operating performance comparisons from period to period by eliminating differences caused by the existence and timing of certain expense and income items that would not otherwise be apparent on a GAAP basis and evaluates the Company’s operating performance without the impact of these costs or benefits. Management also uses Adjusted EPS as a key measure in evaluating management performance for incentive compensation purposes.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The items of income and expense that we exclude from our calculations of Adjusted EPS but that are included in our GAAP net income (loss) per share, as applicable in a particular reporting period, include, but are not limited to, the following:</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Global restructuring activities, which include costs or benefits associated with cost reduction initiatives or plant closures and are primarily related to (i) employee termination costs, (ii) asset impairment charges associated with restructuring actions, (iii) costs to close facilities, including environmental costs and contract termination penalties, and (iv) gains realized on the sale of land or equipment associated with restructured plants or locations.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Legal and environmental matters and reserves, which consist of costs or benefits for matters typically related to former businesses or that are otherwise incurred outside of the ordinary course of business.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Acquisition and integration-related charges, which include transaction costs, redundant costs incurred during the period of integration, and costs associated with transitioning certain management and business processes to Cabot’s processes.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 xml:space="preserve">Employee benefit plan settlements, which consist of either charges or benefits associated with the termination of a pension plan </w:t>
      </w:r>
    </w:p>
    <w:p>
      <w:pPr>
        <w:pStyle w:val="TextBody"/>
        <w:bidi w:val="0"/>
        <w:jc w:val="left"/>
        <w:rPr>
          <w:rFonts w:ascii="Times New Roman" w:hAnsi="Times New Roman"/>
          <w:color w:val="000000"/>
          <w:sz w:val="20"/>
        </w:rPr>
      </w:pPr>
      <w:r>
        <w:rPr>
          <w:rFonts w:ascii="Times New Roman" w:hAnsi="Times New Roman"/>
          <w:color w:val="000000"/>
          <w:sz w:val="20"/>
        </w:rPr>
        <w:t>Page 5 of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2"/>
        </w:rPr>
      </w:pPr>
      <w:r>
        <w:rPr>
          <w:rFonts w:ascii="sans-serif" w:hAnsi="sans-serif"/>
          <w:color w:val="000000"/>
          <w:sz w:val="22"/>
        </w:rPr>
        <w:t>Argentina controlled currency devaluation loss related to the foreign exchange loss from government-controlled currency devaluations on our net monetary assets denominated in the Argentine peso and investment losses related to the utilization of government bond programs established for the settlement of certain foreign payables.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Cabot does not provide an expected GAAP EPS range or reconciliation of the Adjusted EPS range with an expected GAAP EPS range because, without unreasonable effort, we are unable to predict with reasonable certainty the matters we would allocate to “certain items,” including unusual gains and losses, costs associated with future restructurings, acquisition-related expenses and litigation outcomes. These items are uncertain, depend on various factors, and could have a material impact on GAAP EPS in future periods.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b/>
          <w:color w:val="000000"/>
          <w:sz w:val="22"/>
        </w:rPr>
        <w:t>Adjusted EBITDA</w:t>
      </w:r>
      <w:r>
        <w:rPr>
          <w:rFonts w:ascii="sans-serif" w:hAnsi="sans-serif"/>
          <w:color w:val="000000"/>
          <w:sz w:val="22"/>
        </w:rPr>
        <w:t>. Adjusted EBITDA reflects Income (loss) from operations before income taxes and equity in earnings of affiliated companies adjusted for certain items, interest expense, depreciation and amortization, equity in earnings of affiliated companies, and unallocated corporate costs, which include unallocated corporate overhead expenses such as certain corporate salaries and headquarters expenses, plus costs related to corporate projects and initiatives.</w:t>
      </w:r>
    </w:p>
    <w:p>
      <w:pPr>
        <w:pStyle w:val="TextBody"/>
        <w:bidi w:val="0"/>
        <w:spacing w:before="240" w:after="283"/>
        <w:jc w:val="left"/>
        <w:rPr>
          <w:rFonts w:ascii="Times New Roman" w:hAnsi="Times New Roman"/>
          <w:sz w:val="20"/>
        </w:rPr>
      </w:pPr>
      <w:r>
        <w:rPr>
          <w:rFonts w:ascii="sans-serif" w:hAnsi="sans-serif"/>
          <w:b/>
          <w:color w:val="000000"/>
          <w:sz w:val="22"/>
        </w:rPr>
        <w:t>Free Cash Flow.</w:t>
      </w:r>
      <w:r>
        <w:rPr>
          <w:rFonts w:ascii="Times New Roman" w:hAnsi="Times New Roman"/>
          <w:color w:val="000000"/>
          <w:sz w:val="20"/>
        </w:rPr>
        <w:t xml:space="preserve"> </w:t>
      </w:r>
      <w:r>
        <w:rPr>
          <w:rFonts w:ascii="sans-serif" w:hAnsi="sans-serif"/>
          <w:color w:val="000000"/>
          <w:sz w:val="22"/>
        </w:rPr>
        <w:t>To calculate “Free Cash Flow” we deduct Additions to property, plant and equipment from cash flow provided by (used in) operating activities.</w:t>
      </w:r>
    </w:p>
    <w:p>
      <w:pPr>
        <w:pStyle w:val="TextBody"/>
        <w:bidi w:val="0"/>
        <w:spacing w:before="240" w:after="283"/>
        <w:jc w:val="left"/>
        <w:rPr>
          <w:rFonts w:ascii="Times New Roman" w:hAnsi="Times New Roman"/>
          <w:sz w:val="20"/>
        </w:rPr>
      </w:pPr>
      <w:r>
        <w:rPr>
          <w:rFonts w:ascii="sans-serif" w:hAnsi="sans-serif"/>
          <w:b/>
          <w:color w:val="000000"/>
          <w:sz w:val="22"/>
        </w:rPr>
        <w:t xml:space="preserve">Discretionary Free Cash Flow. </w:t>
      </w:r>
      <w:r>
        <w:rPr>
          <w:rFonts w:ascii="sans-serif" w:hAnsi="sans-serif"/>
          <w:color w:val="000000"/>
          <w:sz w:val="22"/>
        </w:rPr>
        <w:t>To calculate “Discretionary Free Cash Flow” we deduct sustaining and compliance capital expenditures and changes in Net Working Capital from cash flow provided by (used in) operating activities.</w:t>
      </w:r>
    </w:p>
    <w:p>
      <w:pPr>
        <w:pStyle w:val="TextBody"/>
        <w:bidi w:val="0"/>
        <w:spacing w:before="240" w:after="283"/>
        <w:jc w:val="left"/>
        <w:rPr>
          <w:rFonts w:ascii="Times New Roman" w:hAnsi="Times New Roman"/>
          <w:sz w:val="20"/>
        </w:rPr>
      </w:pPr>
      <w:r>
        <w:rPr>
          <w:rFonts w:ascii="sans-serif" w:hAnsi="sans-serif"/>
          <w:b/>
          <w:color w:val="000000"/>
          <w:sz w:val="22"/>
        </w:rPr>
        <w:t>Operating Tax Rate</w:t>
      </w:r>
      <w:r>
        <w:rPr>
          <w:rFonts w:ascii="sans-serif" w:hAnsi="sans-serif"/>
          <w:color w:val="000000"/>
          <w:sz w:val="22"/>
        </w:rPr>
        <w:t>. Our “operating tax rate” is calculated based upon management's forecast of the annual operating tax rate for the fiscal year applied to adjusted pre-tax earnings. The operating tax rate excludes income tax (expense) benefit on certain items, discrete tax items and, on a quarterly basis the timing of losses in certain jurisdictions. The income tax (expense) benefit on certain items is determined using the applicable rates in the taxing jurisdictions in which the certain items occurred and includes both current and deferred income tax (expense) benefit based on the nature of the certain items. Discrete tax items include, but are not limited to, changes in valuation allowance, uncertain tax positions, and other tax items, such as the tax impact of legislative changes and tax accruals on historic earnings due to changes in indefinite reinvestment assertions. Management believes that this non-GAAP financial measure is useful supplemental information because it helps our investors compare our tax rate year to year on a consistent basis and to understand what our tax rate on current operations would be without the impact of these items.</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Cabot does not provide a forward-looking reconciliation of the operating tax rate range with an effective tax rate range because, without unreasonable effort, we are unable to predict with reasonable certainty the matters we would allocate to “certain items,” including unusual gains and losses, costs associated with future restructurings, acquisition-related expenses and litigation outcomes. These items are uncertain, depend on various factors, and could have a material impact on the effective tax rate in future periods.</w:t>
      </w:r>
    </w:p>
    <w:p>
      <w:pPr>
        <w:pStyle w:val="TextBody"/>
        <w:bidi w:val="0"/>
        <w:jc w:val="left"/>
        <w:rPr>
          <w:rFonts w:ascii="sans-serif" w:hAnsi="sans-serif"/>
          <w:b/>
          <w:color w:val="000000"/>
          <w:sz w:val="22"/>
        </w:rPr>
      </w:pPr>
      <w:r>
        <w:rPr>
          <w:rFonts w:ascii="sans-serif" w:hAnsi="sans-serif"/>
          <w:b/>
          <w:color w:val="000000"/>
          <w:sz w:val="22"/>
        </w:rPr>
        <w:t>Explanation of Terms Used</w:t>
      </w:r>
    </w:p>
    <w:p>
      <w:pPr>
        <w:pStyle w:val="TextBody"/>
        <w:bidi w:val="0"/>
        <w:jc w:val="left"/>
        <w:rPr>
          <w:rFonts w:ascii="Times New Roman" w:hAnsi="Times New Roman"/>
          <w:color w:val="000000"/>
          <w:sz w:val="20"/>
        </w:rPr>
      </w:pPr>
      <w:r>
        <w:rPr>
          <w:rFonts w:ascii="Times New Roman" w:hAnsi="Times New Roman"/>
          <w:color w:val="000000"/>
          <w:sz w:val="20"/>
        </w:rPr>
        <w:t>Page 6 of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Product Mix.</w:t>
      </w:r>
      <w:r>
        <w:rPr>
          <w:rFonts w:ascii="Times New Roman" w:hAnsi="Times New Roman"/>
          <w:color w:val="000000"/>
          <w:sz w:val="20"/>
        </w:rPr>
        <w:t xml:space="preserve"> </w:t>
      </w:r>
      <w:r>
        <w:rPr>
          <w:rFonts w:ascii="sans-serif" w:hAnsi="sans-serif"/>
          <w:color w:val="000000"/>
          <w:sz w:val="22"/>
        </w:rPr>
        <w:t>The term “product mix” refers to the mix of types and grade of products sold or the mix of geographic regions where products are sold, and the positive or negative impact this has on the revenue or profitability of the business or segment.</w:t>
      </w:r>
    </w:p>
    <w:p>
      <w:pPr>
        <w:pStyle w:val="TextBody"/>
        <w:bidi w:val="0"/>
        <w:jc w:val="left"/>
        <w:rPr>
          <w:rFonts w:ascii="Times New Roman" w:hAnsi="Times New Roman"/>
          <w:sz w:val="20"/>
        </w:rPr>
      </w:pPr>
      <w:r>
        <w:rPr>
          <w:rFonts w:ascii="sans-serif" w:hAnsi="sans-serif"/>
          <w:b/>
          <w:color w:val="000000"/>
          <w:sz w:val="22"/>
        </w:rPr>
        <w:t>Net Working Capital.</w:t>
      </w:r>
      <w:r>
        <w:rPr>
          <w:rFonts w:ascii="Times New Roman" w:hAnsi="Times New Roman"/>
          <w:color w:val="000000"/>
          <w:sz w:val="20"/>
        </w:rPr>
        <w:t xml:space="preserve"> </w:t>
      </w:r>
      <w:r>
        <w:rPr>
          <w:rFonts w:ascii="sans-serif" w:hAnsi="sans-serif"/>
          <w:color w:val="000000"/>
          <w:sz w:val="22"/>
        </w:rPr>
        <w:t>The term “net working capital” includes accounts receivable, inventory and accounts payable and accrued expenses.</w:t>
      </w:r>
    </w:p>
    <w:p>
      <w:pPr>
        <w:pStyle w:val="TextBody"/>
        <w:bidi w:val="0"/>
        <w:jc w:val="left"/>
        <w:rPr>
          <w:rFonts w:ascii="Times New Roman" w:hAnsi="Times New Roman"/>
          <w:color w:val="000000"/>
          <w:sz w:val="20"/>
        </w:rPr>
      </w:pPr>
      <w:r>
        <w:rPr>
          <w:rFonts w:ascii="Times New Roman" w:hAnsi="Times New Roman"/>
          <w:color w:val="000000"/>
          <w:sz w:val="20"/>
        </w:rPr>
        <w:t>Page 7 of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sans-serif" w:hAnsi="sans-serif"/>
          <w:b/>
          <w:color w:val="000000"/>
          <w:sz w:val="20"/>
        </w:rPr>
      </w:pPr>
      <w:r>
        <w:rPr>
          <w:rFonts w:ascii="sans-serif" w:hAnsi="sans-serif"/>
          <w:b/>
          <w:color w:val="000000"/>
          <w:sz w:val="20"/>
        </w:rPr>
        <w:t>Exhibit 99.1</w:t>
      </w:r>
    </w:p>
    <w:p>
      <w:pPr>
        <w:pStyle w:val="TextBody"/>
        <w:bidi w:val="0"/>
        <w:jc w:val="left"/>
        <w:rPr/>
      </w:pPr>
      <w:r>
        <w:rPr/>
        <w:t> </w:t>
      </w:r>
    </w:p>
    <w:p>
      <w:pPr>
        <w:pStyle w:val="TextBody"/>
        <w:bidi w:val="0"/>
        <w:jc w:val="left"/>
        <w:rPr/>
      </w:pPr>
      <w:r>
        <w:rPr/>
        <w:t> </w:t>
      </w:r>
    </w:p>
    <w:tbl>
      <w:tblPr>
        <w:tblW w:w="12086" w:type="dxa"/>
        <w:jc w:val="left"/>
        <w:tblInd w:w="0" w:type="dxa"/>
        <w:tblLayout w:type="fixed"/>
        <w:tblCellMar>
          <w:top w:w="28" w:type="dxa"/>
          <w:left w:w="28" w:type="dxa"/>
          <w:bottom w:w="28" w:type="dxa"/>
          <w:right w:w="28" w:type="dxa"/>
        </w:tblCellMar>
      </w:tblPr>
      <w:tblGrid>
        <w:gridCol w:w="3169"/>
        <w:gridCol w:w="2864"/>
        <w:gridCol w:w="1348"/>
        <w:gridCol w:w="387"/>
        <w:gridCol w:w="885"/>
        <w:gridCol w:w="166"/>
        <w:gridCol w:w="146"/>
        <w:gridCol w:w="211"/>
        <w:gridCol w:w="481"/>
        <w:gridCol w:w="166"/>
        <w:gridCol w:w="146"/>
        <w:gridCol w:w="211"/>
        <w:gridCol w:w="586"/>
        <w:gridCol w:w="166"/>
        <w:gridCol w:w="146"/>
        <w:gridCol w:w="211"/>
        <w:gridCol w:w="586"/>
        <w:gridCol w:w="211"/>
      </w:tblGrid>
      <w:tr>
        <w:trPr/>
        <w:tc>
          <w:tcPr>
            <w:tcW w:w="3169"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9"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2864"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348"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27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8653" w:type="dxa"/>
            <w:gridSpan w:val="5"/>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CONSOLIDATED STATEMENTS OF OPERATIONS</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2864"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3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March 31</w:t>
            </w:r>
          </w:p>
        </w:tc>
        <w:tc>
          <w:tcPr>
            <w:tcW w:w="258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19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except per share amounts (unaudited)</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 and other operating revenues...............................................................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Gross profit..................................................................................................</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and administrative expenses....................................................................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technical expenses......................................................................</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Income (loss) from operations....................................................................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and dividend income..............................................................................</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(loss) from operations before income taxes and equity in</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of affiliated companies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benefit for income taxes.....................................................................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of affiliated companies, net of tax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noncontrolling interests, net of tax.......................</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 attributable to Cabot Corporation..........................................................................................................................</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Weighted-average common shares outstanding</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Basic...........................................................................................................</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Diluted.........................................................................................................</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(loss) per common share:</w:t>
            </w:r>
          </w:p>
        </w:tc>
        <w:tc>
          <w:tcPr>
            <w:tcW w:w="12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Basic...........................................................................................................</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Diluted.........................................................................................................</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1506" w:type="dxa"/>
        <w:jc w:val="left"/>
        <w:tblInd w:w="0" w:type="dxa"/>
        <w:tblLayout w:type="fixed"/>
        <w:tblCellMar>
          <w:top w:w="28" w:type="dxa"/>
          <w:left w:w="28" w:type="dxa"/>
          <w:bottom w:w="28" w:type="dxa"/>
          <w:right w:w="28" w:type="dxa"/>
        </w:tblCellMar>
      </w:tblPr>
      <w:tblGrid>
        <w:gridCol w:w="330"/>
        <w:gridCol w:w="301"/>
        <w:gridCol w:w="6750"/>
        <w:gridCol w:w="211"/>
        <w:gridCol w:w="481"/>
        <w:gridCol w:w="166"/>
        <w:gridCol w:w="146"/>
        <w:gridCol w:w="211"/>
        <w:gridCol w:w="481"/>
        <w:gridCol w:w="166"/>
        <w:gridCol w:w="146"/>
        <w:gridCol w:w="211"/>
        <w:gridCol w:w="586"/>
        <w:gridCol w:w="166"/>
        <w:gridCol w:w="146"/>
        <w:gridCol w:w="211"/>
        <w:gridCol w:w="586"/>
        <w:gridCol w:w="211"/>
      </w:tblGrid>
      <w:tr>
        <w:trPr/>
        <w:tc>
          <w:tcPr>
            <w:tcW w:w="3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30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75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97"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SUMMARY RESULTS BY SEGMENT</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75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March 31</w:t>
            </w:r>
          </w:p>
        </w:tc>
        <w:tc>
          <w:tcPr>
            <w:tcW w:w="16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except per share amounts (unaudited)</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Sales</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Segment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Unallocated and other </w:t>
            </w:r>
            <w:r>
              <w:rPr>
                <w:rFonts w:ascii="Arial" w:hAnsi="Arial"/>
                <w:color w:val="000000"/>
                <w:sz w:val="13"/>
              </w:rPr>
              <w:t>(A)</w:t>
            </w:r>
            <w:r>
              <w:rPr>
                <w:rFonts w:ascii="Arial" w:hAnsi="Arial"/>
                <w:color w:val="000000"/>
                <w:sz w:val="20"/>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Net sales and other operating 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Segment Earnings Before Interest and Taxes </w:t>
            </w:r>
            <w:r>
              <w:rPr>
                <w:rFonts w:ascii="Arial" w:hAnsi="Arial"/>
                <w:b/>
                <w:color w:val="000000"/>
                <w:sz w:val="13"/>
              </w:rPr>
              <w:t>(B)</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Unallocated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Certain items </w:t>
            </w:r>
            <w:r>
              <w:rPr>
                <w:rFonts w:ascii="Arial" w:hAnsi="Arial"/>
                <w:color w:val="000000"/>
                <w:sz w:val="13"/>
              </w:rPr>
              <w:t>(C)</w:t>
            </w: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Unallocated corporate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General unallocated income (expense) </w:t>
            </w:r>
            <w:r>
              <w:rPr>
                <w:rFonts w:ascii="Arial" w:hAnsi="Arial"/>
                <w:color w:val="000000"/>
                <w:sz w:val="13"/>
              </w:rPr>
              <w:t>(D)</w:t>
            </w: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Equity in earnings of affiliated companies,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Income (loss) from operations before income taxes and equity in</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earnings of affiliated companies...............................................................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benefit for income taxes (including tax certain items)............................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of affiliated companies,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noncontrolling interests,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 attributable to Cabot Corporation..................................</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earnings (loss) per share of common stock</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attributable to Cabot Corporation..........................................................................................................................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earnings (loss) per share</w:t>
            </w:r>
            <w:r>
              <w:rPr>
                <w:rFonts w:ascii="Times New Roman" w:hAnsi="Times New Roman"/>
                <w:color w:val="000000"/>
                <w:sz w:val="20"/>
              </w:rPr>
              <w:t> </w:t>
            </w:r>
            <w:r>
              <w:rPr>
                <w:rFonts w:ascii="Arial" w:hAnsi="Arial"/>
                <w:b/>
                <w:color w:val="000000"/>
                <w:sz w:val="13"/>
              </w:rPr>
              <w:t>(E)</w:t>
            </w:r>
            <w:r>
              <w:rPr>
                <w:rFonts w:ascii="Arial" w:hAnsi="Arial"/>
                <w:b/>
                <w:color w:val="000000"/>
                <w:sz w:val="2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956" w:type="dxa"/>
        <w:jc w:val="left"/>
        <w:tblInd w:w="0" w:type="dxa"/>
        <w:tblLayout w:type="fixed"/>
        <w:tblCellMar>
          <w:top w:w="28" w:type="dxa"/>
          <w:left w:w="28" w:type="dxa"/>
          <w:bottom w:w="28" w:type="dxa"/>
          <w:right w:w="28" w:type="dxa"/>
        </w:tblCellMar>
      </w:tblPr>
      <w:tblGrid>
        <w:gridCol w:w="2168"/>
        <w:gridCol w:w="3246"/>
        <w:gridCol w:w="1967"/>
        <w:gridCol w:w="146"/>
        <w:gridCol w:w="481"/>
        <w:gridCol w:w="146"/>
        <w:gridCol w:w="146"/>
        <w:gridCol w:w="146"/>
        <w:gridCol w:w="481"/>
        <w:gridCol w:w="146"/>
        <w:gridCol w:w="146"/>
        <w:gridCol w:w="146"/>
        <w:gridCol w:w="481"/>
        <w:gridCol w:w="146"/>
        <w:gridCol w:w="146"/>
        <w:gridCol w:w="146"/>
        <w:gridCol w:w="481"/>
        <w:gridCol w:w="191"/>
      </w:tblGrid>
      <w:tr>
        <w:trPr/>
        <w:tc>
          <w:tcPr>
            <w:tcW w:w="2168"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Unallocated and other reflects external shipping and handling fees, the impact of unearned revenue, and discounting charges for certain Notes receivable.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EBIT is a measure used by Cabot's Chief Operating Decision-Maker to assess segment performance and allocate resources. Segment EBIT includes Equity in earnings of affiliated companies, net of tax, Net income attributable to noncontrolling interests, net of tax, and discounting charges for certain Notes receivable.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Details of Certain items are presented in the Certain Items and Reconciliation of Adjusted EPS and Operating Tax Rate table.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(D)</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from the items that are separately treated as Certain items.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(E)</w:t>
            </w:r>
          </w:p>
        </w:tc>
        <w:tc>
          <w:tcPr>
            <w:tcW w:w="5351"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EPS is a non-GAAP measure, and a reconciliation of Adjusted EPS to GAAP EPS is presented in the Certain Items and Reconciliation of Adjusted EPS and Operating Tax Rate table.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930" w:type="dxa"/>
        <w:jc w:val="left"/>
        <w:tblInd w:w="0" w:type="dxa"/>
        <w:tblLayout w:type="fixed"/>
        <w:tblCellMar>
          <w:top w:w="28" w:type="dxa"/>
          <w:left w:w="28" w:type="dxa"/>
          <w:bottom w:w="28" w:type="dxa"/>
          <w:right w:w="28" w:type="dxa"/>
        </w:tblCellMar>
      </w:tblPr>
      <w:tblGrid>
        <w:gridCol w:w="4776"/>
        <w:gridCol w:w="1815"/>
        <w:gridCol w:w="1390"/>
        <w:gridCol w:w="338"/>
        <w:gridCol w:w="1037"/>
        <w:gridCol w:w="166"/>
        <w:gridCol w:w="146"/>
        <w:gridCol w:w="258"/>
        <w:gridCol w:w="793"/>
        <w:gridCol w:w="211"/>
      </w:tblGrid>
      <w:tr>
        <w:trPr/>
        <w:tc>
          <w:tcPr>
            <w:tcW w:w="4776"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6"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1815"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39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375"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051"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9356" w:type="dxa"/>
            <w:gridSpan w:val="5"/>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CONSOLIDATED STATEMENTS OF FINANCIAL POSITION</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6"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1815"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375"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4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(unaudited)</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and cash equivalents....................................................................................................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Accounts and notes receivable, net of reserve for doubtful accounts of $5 and $5</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Inventories:</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Raw materials.................................................................................................................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Finished goods................................................................................................................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inventories..........................................................................................................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Prepaid expenses and other current assets.............................................................................</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current assets...............................................................................................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plant and equipment....................................................................................................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Depreciation</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Net property, plant and equipment.......................................................................................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affiliates..........................................................................................................................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356" w:type="dxa"/>
        <w:jc w:val="left"/>
        <w:tblInd w:w="0" w:type="dxa"/>
        <w:tblLayout w:type="fixed"/>
        <w:tblCellMar>
          <w:top w:w="28" w:type="dxa"/>
          <w:left w:w="28" w:type="dxa"/>
          <w:bottom w:w="28" w:type="dxa"/>
          <w:right w:w="28" w:type="dxa"/>
        </w:tblCellMar>
      </w:tblPr>
      <w:tblGrid>
        <w:gridCol w:w="3097"/>
        <w:gridCol w:w="2508"/>
        <w:gridCol w:w="1836"/>
        <w:gridCol w:w="354"/>
        <w:gridCol w:w="987"/>
        <w:gridCol w:w="166"/>
        <w:gridCol w:w="146"/>
        <w:gridCol w:w="278"/>
        <w:gridCol w:w="773"/>
        <w:gridCol w:w="211"/>
      </w:tblGrid>
      <w:tr>
        <w:trPr/>
        <w:tc>
          <w:tcPr>
            <w:tcW w:w="3097"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7"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2508"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83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341"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051"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8782" w:type="dxa"/>
            <w:gridSpan w:val="5"/>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CONSOLIDATED STATEMENTS OF FINANCIAL POSITION</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7"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2508"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83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3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except share and per share amounts (unaudited)</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Short-term borrowings.................................................................................................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Accounts payable and accrued liabilities................................................................................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Income taxes payable.................................................................................................</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Current portion of long-term debt...................................................................................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current liabilities.............................................................................................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Preferred stock:</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Authorized: 2,000,000 shares of $1 par value</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Issued and Outstanding: None and none</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Common stock:</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 xml:space="preserve">Authorized: 200,000,000 shares of $1 par value </w:t>
              <w:br/>
              <w:t>          Issued: 51,694,096 and 52,962,353 shares</w:t>
              <w:br/>
              <w:t>          Outstanding: 51,579,624 and 52,842,481 shares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Less cost of 115,063 and 119,872 shares of common treasury stock</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Retained earnings............................................................................................................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other comprehensive income (loss)................................................................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Cabot Corporation stockholders' equity.................................................................</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Noncontrolling interests...............................................................................................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stockholders' equity..................................................................................</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1473" w:type="dxa"/>
        <w:jc w:val="left"/>
        <w:tblInd w:w="0" w:type="dxa"/>
        <w:tblLayout w:type="fixed"/>
        <w:tblCellMar>
          <w:top w:w="28" w:type="dxa"/>
          <w:left w:w="28" w:type="dxa"/>
          <w:bottom w:w="28" w:type="dxa"/>
          <w:right w:w="28" w:type="dxa"/>
        </w:tblCellMar>
      </w:tblPr>
      <w:tblGrid>
        <w:gridCol w:w="2590"/>
        <w:gridCol w:w="1240"/>
        <w:gridCol w:w="1241"/>
        <w:gridCol w:w="1057"/>
        <w:gridCol w:w="526"/>
        <w:gridCol w:w="526"/>
        <w:gridCol w:w="571"/>
        <w:gridCol w:w="691"/>
        <w:gridCol w:w="146"/>
        <w:gridCol w:w="526"/>
        <w:gridCol w:w="526"/>
        <w:gridCol w:w="526"/>
        <w:gridCol w:w="571"/>
        <w:gridCol w:w="736"/>
      </w:tblGrid>
      <w:tr>
        <w:trPr/>
        <w:tc>
          <w:tcPr>
            <w:tcW w:w="259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590"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124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24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057"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right w:val="single" w:sz="4" w:space="0" w:color="000000"/>
            </w:tcBorders>
            <w:shd w:fill="C0C0C0" w:val="clear"/>
            <w:tcMar>
              <w:left w:w="0" w:type="dxa"/>
              <w:bottom w:w="0" w:type="dxa"/>
            </w:tcMar>
            <w:vAlign w:val="center"/>
          </w:tcPr>
          <w:p>
            <w:pPr>
              <w:pStyle w:val="TableContents"/>
              <w:bidi w:val="0"/>
              <w:spacing w:before="0" w:after="283"/>
              <w:jc w:val="left"/>
              <w:rPr/>
            </w:pPr>
            <w:r>
              <w:rPr/>
              <w:t> </w:t>
            </w:r>
          </w:p>
        </w:tc>
      </w:tr>
      <w:tr>
        <w:trPr/>
        <w:tc>
          <w:tcPr>
            <w:tcW w:w="6128" w:type="dxa"/>
            <w:gridSpan w:val="4"/>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QUARTERLY RESULTS BY SEGMENT</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right w:val="single" w:sz="4" w:space="0" w:color="000000"/>
            </w:tcBorders>
            <w:shd w:fill="C0C0C0" w:val="clear"/>
            <w:tcMar>
              <w:top w:w="0" w:type="dxa"/>
              <w:left w:w="0" w:type="dxa"/>
              <w:bottom w:w="0" w:type="dxa"/>
            </w:tcMar>
            <w:vAlign w:val="center"/>
          </w:tcPr>
          <w:p>
            <w:pPr>
              <w:pStyle w:val="TableContents"/>
              <w:bidi w:val="0"/>
              <w:spacing w:before="0" w:after="283"/>
              <w:jc w:val="left"/>
              <w:rPr/>
            </w:pPr>
            <w:r>
              <w:rPr/>
              <w:t> </w:t>
            </w:r>
          </w:p>
        </w:tc>
      </w:tr>
      <w:tr>
        <w:trPr/>
        <w:tc>
          <w:tcPr>
            <w:tcW w:w="2590"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right w:val="single" w:sz="4" w:space="0" w:color="000000"/>
            </w:tcBorders>
            <w:shd w:fill="C0C0C0" w:val="clear"/>
            <w:tcMar>
              <w:top w:w="0" w:type="dxa"/>
              <w:left w:w="0" w:type="dxa"/>
            </w:tcMar>
            <w:vAlign w:val="center"/>
          </w:tcPr>
          <w:p>
            <w:pPr>
              <w:pStyle w:val="TableContents"/>
              <w:bidi w:val="0"/>
              <w:spacing w:before="0" w:after="283"/>
              <w:jc w:val="left"/>
              <w:rPr/>
            </w:pPr>
            <w:r>
              <w:rPr/>
              <w:t> </w:t>
            </w:r>
          </w:p>
        </w:tc>
      </w:tr>
      <w:tr>
        <w:trPr/>
        <w:tc>
          <w:tcPr>
            <w:tcW w:w="2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2026</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except per share amounts (unaudited)</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FY</w:t>
            </w:r>
          </w:p>
        </w:tc>
      </w:tr>
      <w:tr>
        <w:trPr/>
        <w:tc>
          <w:tcPr>
            <w:tcW w:w="2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Sales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$1,064</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Segment sales................................................................................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Unallocated and other</w:t>
            </w:r>
            <w:r>
              <w:rPr>
                <w:rFonts w:ascii="Times New Roman" w:hAnsi="Times New Roman"/>
                <w:color w:val="000000"/>
                <w:sz w:val="20"/>
              </w:rPr>
              <w:t> </w:t>
            </w:r>
            <w:r>
              <w:rPr>
                <w:rFonts w:ascii="Arial" w:hAnsi="Arial"/>
                <w:color w:val="000000"/>
                <w:sz w:val="13"/>
              </w:rPr>
              <w:t>(A)</w:t>
            </w:r>
            <w:r>
              <w:rPr>
                <w:rFonts w:ascii="Arial" w:hAnsi="Arial"/>
                <w:color w:val="000000"/>
                <w:sz w:val="20"/>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 and other operating revenues..................................................</w:t>
            </w:r>
          </w:p>
        </w:tc>
        <w:tc>
          <w:tcPr>
            <w:tcW w:w="10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$923</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$899</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$3,713</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$1,753</w:t>
            </w:r>
          </w:p>
        </w:tc>
      </w:tr>
      <w:tr>
        <w:trPr/>
        <w:tc>
          <w:tcPr>
            <w:tcW w:w="2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Segment Earnings Before Interest and Taxes </w:t>
            </w:r>
            <w:r>
              <w:rPr>
                <w:rFonts w:ascii="Arial" w:hAnsi="Arial"/>
                <w:b/>
                <w:color w:val="000000"/>
                <w:sz w:val="13"/>
              </w:rPr>
              <w:t>(B)</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Unallocated and Other</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Certain items</w:t>
            </w:r>
            <w:r>
              <w:rPr>
                <w:rFonts w:ascii="Times New Roman" w:hAnsi="Times New Roman"/>
                <w:color w:val="000000"/>
                <w:sz w:val="20"/>
              </w:rPr>
              <w:t> </w:t>
            </w:r>
            <w:r>
              <w:rPr>
                <w:rFonts w:ascii="Arial" w:hAnsi="Arial"/>
                <w:color w:val="000000"/>
                <w:sz w:val="13"/>
              </w:rPr>
              <w:t>(C)</w:t>
            </w:r>
            <w:r>
              <w:rPr>
                <w:rFonts w:ascii="Arial" w:hAnsi="Arial"/>
                <w:color w:val="000000"/>
                <w:sz w:val="20"/>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Unallocated corporate costs..................................................................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General unallocated income (expense) </w:t>
            </w:r>
            <w:r>
              <w:rPr>
                <w:rFonts w:ascii="Arial" w:hAnsi="Arial"/>
                <w:color w:val="000000"/>
                <w:sz w:val="13"/>
              </w:rPr>
              <w:t>(D)</w:t>
            </w:r>
            <w:r>
              <w:rPr>
                <w:rFonts w:ascii="Arial" w:hAnsi="Arial"/>
                <w:color w:val="000000"/>
                <w:sz w:val="20"/>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Equity in earnings of affiliated companies, net of tax.......................</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operations before income taxes and</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equity in earnings of affiliated companies..........................................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benefit for income taxes (including tax certain items)...............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in earnings of affiliated companies, net of tax................................</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noncontrolling interests, net of tax..........</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Net income (loss) attributable to Cabot Corporation.....................</w:t>
            </w:r>
          </w:p>
        </w:tc>
        <w:tc>
          <w:tcPr>
            <w:tcW w:w="105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6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5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r>
      <w:tr>
        <w:trPr/>
        <w:tc>
          <w:tcPr>
            <w:tcW w:w="507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earnings (loss) per share of common stock</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2952" w:type="dxa"/>
        <w:jc w:val="left"/>
        <w:tblInd w:w="0" w:type="dxa"/>
        <w:tblLayout w:type="fixed"/>
        <w:tblCellMar>
          <w:top w:w="28" w:type="dxa"/>
          <w:left w:w="28" w:type="dxa"/>
          <w:bottom w:w="28" w:type="dxa"/>
          <w:right w:w="28" w:type="dxa"/>
        </w:tblCellMar>
      </w:tblPr>
      <w:tblGrid>
        <w:gridCol w:w="2168"/>
        <w:gridCol w:w="3246"/>
        <w:gridCol w:w="1967"/>
        <w:gridCol w:w="586"/>
        <w:gridCol w:w="586"/>
        <w:gridCol w:w="586"/>
        <w:gridCol w:w="586"/>
        <w:gridCol w:w="586"/>
        <w:gridCol w:w="146"/>
        <w:gridCol w:w="586"/>
        <w:gridCol w:w="586"/>
        <w:gridCol w:w="346"/>
        <w:gridCol w:w="346"/>
        <w:gridCol w:w="631"/>
      </w:tblGrid>
      <w:tr>
        <w:trPr/>
        <w:tc>
          <w:tcPr>
            <w:tcW w:w="2168"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20"/>
              </w:rPr>
              <w:t>attributable to Cabot Corporation..........................................................................................................................</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$0.79</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Adjusted earnings (loss) per share</w:t>
            </w:r>
            <w:r>
              <w:rPr>
                <w:rFonts w:ascii="Times New Roman" w:hAnsi="Times New Roman"/>
                <w:color w:val="000000"/>
                <w:sz w:val="20"/>
              </w:rPr>
              <w:t> </w:t>
            </w:r>
            <w:r>
              <w:rPr>
                <w:rFonts w:ascii="Arial" w:hAnsi="Arial"/>
                <w:b/>
                <w:color w:val="000000"/>
                <w:sz w:val="13"/>
              </w:rPr>
              <w:t>(E)</w:t>
            </w:r>
            <w:r>
              <w:rPr>
                <w:rFonts w:ascii="Arial" w:hAnsi="Arial"/>
                <w:b/>
                <w:color w:val="000000"/>
                <w:sz w:val="20"/>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Diluted weighted average common shares outstanding..........................................................................................................................</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753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Unallocated and other reflects external shipping and handling fees, the impact of unearned revenue, and discounting charges for certain Notes receivable.</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753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EBIT is a measure used by Cabot's Chief Operating Decision-Maker to assess segment performance and allocate resources. Segment EBIT includes Equity in earnings of affiliated companies, net of tax, Net income attributable to noncontrolling interests, net of tax, and discounting charges for certain Notes receivable.</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w:t>
            </w:r>
          </w:p>
        </w:tc>
        <w:tc>
          <w:tcPr>
            <w:tcW w:w="753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Details of certain items are presented in the Certain Items and Reconciliation of Adjusted EPS and Operating Tax Rate table.</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(D)</w:t>
            </w:r>
          </w:p>
        </w:tc>
        <w:tc>
          <w:tcPr>
            <w:tcW w:w="753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from the items that are separately treated as Certain items.</w:t>
            </w:r>
          </w:p>
        </w:tc>
      </w:tr>
      <w:tr>
        <w:trPr/>
        <w:tc>
          <w:tcPr>
            <w:tcW w:w="2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(E)</w:t>
            </w:r>
          </w:p>
        </w:tc>
        <w:tc>
          <w:tcPr>
            <w:tcW w:w="7538"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EPS is a non-GAAP measure, and a reconciliation of Adjusted EPS to GAAP EPS is presented in the Certain Items and Reconciliation of Adjusted EPS and Operating Tax Rate table.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468" w:type="dxa"/>
        <w:jc w:val="left"/>
        <w:tblInd w:w="0" w:type="dxa"/>
        <w:tblLayout w:type="fixed"/>
        <w:tblCellMar>
          <w:top w:w="28" w:type="dxa"/>
          <w:left w:w="28" w:type="dxa"/>
          <w:bottom w:w="28" w:type="dxa"/>
          <w:right w:w="28" w:type="dxa"/>
        </w:tblCellMar>
      </w:tblPr>
      <w:tblGrid>
        <w:gridCol w:w="4740"/>
        <w:gridCol w:w="930"/>
        <w:gridCol w:w="931"/>
        <w:gridCol w:w="212"/>
        <w:gridCol w:w="483"/>
        <w:gridCol w:w="166"/>
        <w:gridCol w:w="146"/>
        <w:gridCol w:w="212"/>
        <w:gridCol w:w="429"/>
        <w:gridCol w:w="166"/>
        <w:gridCol w:w="146"/>
        <w:gridCol w:w="211"/>
        <w:gridCol w:w="481"/>
        <w:gridCol w:w="166"/>
        <w:gridCol w:w="146"/>
        <w:gridCol w:w="211"/>
        <w:gridCol w:w="481"/>
        <w:gridCol w:w="211"/>
      </w:tblGrid>
      <w:tr>
        <w:trPr/>
        <w:tc>
          <w:tcPr>
            <w:tcW w:w="47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0"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93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5"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41"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2" w:type="dxa"/>
            <w:gridSpan w:val="2"/>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r>
      <w:tr>
        <w:trPr/>
        <w:tc>
          <w:tcPr>
            <w:tcW w:w="8249" w:type="dxa"/>
            <w:gridSpan w:val="9"/>
            <w:tcBorders>
              <w:left w:val="single" w:sz="4" w:space="0" w:color="000000"/>
            </w:tcBorders>
            <w:shd w:fill="C0C0C0"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CONDENSED CONSOLIDATED STATEMENTS OF CASH FLOWS</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0"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5"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41"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0C0C0"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r>
      <w:tr>
        <w:trPr/>
        <w:tc>
          <w:tcPr>
            <w:tcW w:w="4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March 31</w:t>
            </w:r>
          </w:p>
        </w:tc>
        <w:tc>
          <w:tcPr>
            <w:tcW w:w="16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(unaudited)</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Net income (loss)....................................................................................................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Adjustments to reconcile net income to cash provided by operating activities:</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Depreciation and amortization................................................................................</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non-cash charges (gains), net.......................................................................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Cash dividends received from equity affiliates...........................................................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Changes in assets and liabilities:</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Arial" w:hAnsi="Arial"/>
                <w:color w:val="000000"/>
                <w:sz w:val="20"/>
              </w:rPr>
              <w:t xml:space="preserve">Changes in net working capital </w:t>
            </w:r>
            <w:r>
              <w:rPr>
                <w:rFonts w:ascii="Arial" w:hAnsi="Arial"/>
                <w:color w:val="000000"/>
                <w:sz w:val="13"/>
              </w:rPr>
              <w:t>(A)</w:t>
            </w:r>
            <w:r>
              <w:rPr>
                <w:rFonts w:ascii="Arial" w:hAnsi="Arial"/>
                <w:color w:val="000000"/>
                <w:sz w:val="2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Changes in other assets and liabilities, net.............................................................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provided by (used in) operating activities.................................................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Additions to property, plant and equipment.................................................................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paid for acquisition of business, net of cash acquired $2.....................................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paid for asset acquisition.................................................................................</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investing activities, net....................................................................................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provided by (used in) investing activities..................................................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Change in debt, net..................................................................................................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dividends paid to common 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financing activities, net....................................................................................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Cash provided by (used in) financing activities.................................................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(decrease) in cash and cash equivalents............................................................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8730" w:type="dxa"/>
        <w:jc w:val="left"/>
        <w:tblInd w:w="0" w:type="dxa"/>
        <w:tblLayout w:type="fixed"/>
        <w:tblCellMar>
          <w:top w:w="28" w:type="dxa"/>
          <w:left w:w="28" w:type="dxa"/>
          <w:bottom w:w="28" w:type="dxa"/>
          <w:right w:w="28" w:type="dxa"/>
        </w:tblCellMar>
      </w:tblPr>
      <w:tblGrid>
        <w:gridCol w:w="161"/>
        <w:gridCol w:w="271"/>
        <w:gridCol w:w="737"/>
        <w:gridCol w:w="737"/>
        <w:gridCol w:w="737"/>
        <w:gridCol w:w="737"/>
        <w:gridCol w:w="737"/>
        <w:gridCol w:w="737"/>
        <w:gridCol w:w="737"/>
        <w:gridCol w:w="737"/>
        <w:gridCol w:w="737"/>
        <w:gridCol w:w="737"/>
        <w:gridCol w:w="737"/>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7"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7"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7"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8107"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Includes Accounts and notes receivable, Inventories, and Accounts payable and accrued liabilities.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27"/>
        <w:gridCol w:w="206"/>
        <w:gridCol w:w="3393"/>
        <w:gridCol w:w="168"/>
        <w:gridCol w:w="2236"/>
        <w:gridCol w:w="695"/>
        <w:gridCol w:w="2236"/>
        <w:gridCol w:w="695"/>
        <w:gridCol w:w="150"/>
        <w:gridCol w:w="199"/>
      </w:tblGrid>
      <w:tr>
        <w:trPr/>
        <w:tc>
          <w:tcPr>
            <w:tcW w:w="22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7" w:type="dxa"/>
            <w:tcBorders>
              <w:top w:val="single" w:sz="4" w:space="0" w:color="000000"/>
              <w:left w:val="single" w:sz="4" w:space="0" w:color="000000"/>
            </w:tcBorders>
            <w:shd w:fill="C0C0C0" w:val="clear"/>
            <w:tcMar>
              <w:bottom w:w="0" w:type="dxa"/>
              <w:right w:w="0" w:type="dxa"/>
            </w:tcMar>
            <w:vAlign w:val="center"/>
          </w:tcPr>
          <w:p>
            <w:pPr>
              <w:pStyle w:val="TableContents"/>
              <w:bidi w:val="0"/>
              <w:spacing w:before="0" w:after="283"/>
              <w:jc w:val="left"/>
              <w:rPr/>
            </w:pPr>
            <w:r>
              <w:rPr/>
              <w:t> </w:t>
            </w:r>
          </w:p>
        </w:tc>
        <w:tc>
          <w:tcPr>
            <w:tcW w:w="20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3393"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68"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23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5"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2236"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695"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50" w:type="dxa"/>
            <w:tcBorders>
              <w:top w:val="single" w:sz="4" w:space="0" w:color="000000"/>
            </w:tcBorders>
            <w:shd w:fill="C0C0C0" w:val="clear"/>
            <w:tcMar>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right w:val="single" w:sz="4" w:space="0" w:color="000000"/>
            </w:tcBorders>
            <w:shd w:fill="C0C0C0" w:val="clear"/>
            <w:tcMar>
              <w:left w:w="0" w:type="dxa"/>
              <w:bottom w:w="0" w:type="dxa"/>
            </w:tcMar>
            <w:vAlign w:val="center"/>
          </w:tcPr>
          <w:p>
            <w:pPr>
              <w:pStyle w:val="TableContents"/>
              <w:bidi w:val="0"/>
              <w:spacing w:before="0" w:after="283"/>
              <w:jc w:val="left"/>
              <w:rPr/>
            </w:pPr>
            <w:r>
              <w:rPr/>
              <w:t> </w:t>
            </w:r>
          </w:p>
        </w:tc>
      </w:tr>
      <w:tr>
        <w:trPr/>
        <w:tc>
          <w:tcPr>
            <w:tcW w:w="10205" w:type="dxa"/>
            <w:gridSpan w:val="10"/>
            <w:tcBorders>
              <w:left w:val="single" w:sz="4" w:space="0" w:color="000000"/>
              <w:right w:val="single" w:sz="4" w:space="0" w:color="000000"/>
            </w:tcBorders>
            <w:shd w:fill="C0C0C0" w:val="clear"/>
            <w:tcMar>
              <w:top w:w="0" w:type="dxa"/>
              <w:bottom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CERTAIN ITEMS AND RECONCILIATION OF ADJUSTED EPS AND OPERATING TAX RATE</w:t>
            </w:r>
          </w:p>
        </w:tc>
      </w:tr>
      <w:tr>
        <w:trPr/>
        <w:tc>
          <w:tcPr>
            <w:tcW w:w="227" w:type="dxa"/>
            <w:tcBorders>
              <w:left w:val="single" w:sz="4" w:space="0" w:color="000000"/>
              <w:bottom w:val="single" w:sz="4" w:space="0" w:color="000000"/>
            </w:tcBorders>
            <w:shd w:fill="C0C0C0" w:val="clear"/>
            <w:tcMar>
              <w:top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0C0C0"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right w:val="single" w:sz="4" w:space="0" w:color="000000"/>
            </w:tcBorders>
            <w:shd w:fill="C0C0C0" w:val="clear"/>
            <w:tcMar>
              <w:top w:w="0" w:type="dxa"/>
              <w:left w:w="0" w:type="dxa"/>
            </w:tcMar>
            <w:vAlign w:val="center"/>
          </w:tcPr>
          <w:p>
            <w:pPr>
              <w:pStyle w:val="TableContents"/>
              <w:bidi w:val="0"/>
              <w:spacing w:before="0" w:after="283"/>
              <w:jc w:val="left"/>
              <w:rPr/>
            </w:pPr>
            <w:r>
              <w:rPr/>
              <w:t> </w:t>
            </w:r>
          </w:p>
        </w:tc>
      </w:tr>
      <w:tr>
        <w:trPr/>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gridSpan w:val="3"/>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TABLE 1: DETAIL OF CERTAIN ITEMS</w:t>
            </w:r>
          </w:p>
        </w:tc>
        <w:tc>
          <w:tcPr>
            <w:tcW w:w="168"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March 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except per share amounts (unaudited)</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Certain items before and after income taxes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Global restructuring activities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Acquisition and integration-related charges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and environmental matters and reserves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certain items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certain items, pre-tax</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Non-GAAP tax adjustments</w:t>
            </w:r>
            <w:r>
              <w:rPr>
                <w:rFonts w:ascii="Arial" w:hAnsi="Arial"/>
                <w:color w:val="000000"/>
                <w:sz w:val="13"/>
              </w:rPr>
              <w:t>(A)</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certain items after tax</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certain items after tax per share</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$(0.34)</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$(0.21)</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$(0.50)</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$(0.30)</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4" w:type="dxa"/>
            <w:gridSpan w:val="4"/>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TABLE 2: CERTAIN ITEMS STATEMENT OF OPERATIONS LINE ITEM</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March 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Three Months</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Six Months</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Pre-Tax (unaudited)</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u w:val="single"/>
              </w:rPr>
              <w:t xml:space="preserve">Statement of Operations Line Item </w:t>
            </w:r>
            <w:r>
              <w:rPr>
                <w:rFonts w:ascii="Arial" w:hAnsi="Arial"/>
                <w:color w:val="000000"/>
                <w:sz w:val="13"/>
                <w:u w:val="single"/>
              </w:rPr>
              <w:t>(B)</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and administrative expenses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technical expenses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certain items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0" w:type="dxa"/>
            <w:gridSpan w:val="5"/>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TABLE 3: RECONCILIATION OF EFFECTIVE TAX RATE TO OPERATING TAX RATE</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Three months ended March 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(unaudited)</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(Provision) / Benefit for Income Taxes</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Rate</w:t>
            </w:r>
          </w:p>
        </w:tc>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(Provision) / Benefit for Income Taxes</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Rate</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Tax Rate</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w:t>
            </w:r>
          </w:p>
        </w:tc>
        <w:tc>
          <w:tcPr>
            <w:tcW w:w="22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567"/>
        <w:gridCol w:w="660"/>
        <w:gridCol w:w="908"/>
        <w:gridCol w:w="206"/>
        <w:gridCol w:w="2655"/>
        <w:gridCol w:w="890"/>
        <w:gridCol w:w="2331"/>
        <w:gridCol w:w="853"/>
        <w:gridCol w:w="193"/>
        <w:gridCol w:w="942"/>
      </w:tblGrid>
      <w:tr>
        <w:trPr/>
        <w:tc>
          <w:tcPr>
            <w:tcW w:w="56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Less: Non-GAAP tax adjustments</w:t>
            </w:r>
            <w:r>
              <w:rPr>
                <w:rFonts w:ascii="Arial" w:hAnsi="Arial"/>
                <w:color w:val="000000"/>
                <w:sz w:val="13"/>
              </w:rPr>
              <w:t>(A)</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Operating tax rate</w:t>
            </w:r>
            <w:r>
              <w:rPr>
                <w:rFonts w:ascii="Times New Roman" w:hAnsi="Times New Roman"/>
                <w:color w:val="000000"/>
                <w:sz w:val="20"/>
              </w:rPr>
              <w:t> </w:t>
            </w:r>
            <w:r>
              <w:rPr>
                <w:rFonts w:ascii="Arial" w:hAnsi="Arial"/>
                <w:color w:val="000000"/>
                <w:sz w:val="13"/>
              </w:rPr>
              <w:t>(C) (D)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Six months ended March 31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3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 (unaudited)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(Provision) / Benefit for Income Taxes</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Rate</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(Provision) / Benefit for Income Taxes</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Rate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Tax Rate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Less: Non-GAAP tax adjustments</w:t>
            </w:r>
            <w:r>
              <w:rPr>
                <w:rFonts w:ascii="Arial" w:hAnsi="Arial"/>
                <w:color w:val="000000"/>
                <w:sz w:val="13"/>
              </w:rPr>
              <w:t>(A)</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Operating tax rate</w:t>
            </w:r>
            <w:r>
              <w:rPr>
                <w:rFonts w:ascii="Times New Roman" w:hAnsi="Times New Roman"/>
                <w:color w:val="000000"/>
                <w:sz w:val="20"/>
              </w:rPr>
              <w:t> </w:t>
            </w:r>
            <w:r>
              <w:rPr>
                <w:rFonts w:ascii="Arial" w:hAnsi="Arial"/>
                <w:color w:val="000000"/>
                <w:sz w:val="13"/>
              </w:rPr>
              <w:t>(C) (D)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6" w:type="dxa"/>
            <w:gridSpan w:val="6"/>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TABLE 4: RECONCILIATION OF ADJUSTED EPS BY QUARTER FOR FISCAL 2026 and FISCAL 2025</w:t>
            </w:r>
          </w:p>
        </w:tc>
        <w:tc>
          <w:tcPr>
            <w:tcW w:w="2331"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Fiscal 2026 </w:t>
            </w:r>
            <w:r>
              <w:rPr>
                <w:rFonts w:ascii="Arial" w:hAnsi="Arial"/>
                <w:b/>
                <w:color w:val="000000"/>
                <w:sz w:val="13"/>
              </w:rPr>
              <w:t>(E)</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(unaudited)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Reconciliation of Adjusted EPS to GAAP EPS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per share attributable to Cabot Corporation</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Certain items after tax per share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(loss) per share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r>
      <w:tr>
        <w:trPr/>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Fiscal 2025 </w:t>
            </w:r>
            <w:r>
              <w:rPr>
                <w:rFonts w:ascii="Arial" w:hAnsi="Arial"/>
                <w:b/>
                <w:color w:val="000000"/>
                <w:sz w:val="13"/>
              </w:rPr>
              <w:t>(E)</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Periods ended (unaudited)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2025</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Reconciliation of Adjusted EPS to GAAP EPS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per share attributable to Cabot Corporation</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Certain items after tax per share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(0.21)</w:t>
            </w:r>
          </w:p>
        </w:tc>
        <w:tc>
          <w:tcPr>
            <w:tcW w:w="2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(loss) per share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w:t>
            </w:r>
          </w:p>
        </w:tc>
      </w:tr>
      <w:tr>
        <w:trPr/>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897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tax adjustments are made to arrive at the operating tax provision. It includes the income tax (expense) benefit on certain items, discrete tax items, and, on a quarterly basis the timing of losses in certain jurisdictions. The income tax (expense) benefit on certain items is determined using the applicable rates in the taxing jurisdictions in which the certain items occurred and includes both current and deferred income tax (expense) benefit based on the nature of the certain items. Discrete tax items include, but are not limited to, changes in valuation allowance, uncertain tax positions, and other tax items, such as the tax impact of legislative changes and tax accruals on historic earnings due to changes in indefinite reinvestment assertions.</w:t>
            </w:r>
          </w:p>
        </w:tc>
      </w:tr>
      <w:tr>
        <w:trPr/>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897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This table indicates the line items where certain items are recorded in the Consolidated Statements of Operations.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88"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w:t>
            </w:r>
          </w:p>
        </w:tc>
        <w:tc>
          <w:tcPr>
            <w:tcW w:w="97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The operating tax rate is calculated based upon management's forecast of the annual operating tax rate for the fiscal year applied to adjusted pre-tax earnings. The operating tax rate excludes income tax (expense) benefit on certain items, discrete tax items and, on a quarterly basis the timing of losses in certain jurisdictions.</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(D)</w:t>
            </w:r>
          </w:p>
        </w:tc>
        <w:tc>
          <w:tcPr>
            <w:tcW w:w="97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Our operating tax rate for fiscal 2026 is expected to be in the range of 27% to 29%.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(E)</w:t>
            </w:r>
          </w:p>
        </w:tc>
        <w:tc>
          <w:tcPr>
            <w:tcW w:w="97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 share amounts are calculated after tax.</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846"/>
        <w:gridCol w:w="1923"/>
        <w:gridCol w:w="1230"/>
        <w:gridCol w:w="1604"/>
        <w:gridCol w:w="1608"/>
        <w:gridCol w:w="633"/>
        <w:gridCol w:w="647"/>
        <w:gridCol w:w="714"/>
      </w:tblGrid>
      <w:tr>
        <w:trPr/>
        <w:tc>
          <w:tcPr>
            <w:tcW w:w="184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846" w:type="dxa"/>
            <w:tcBorders>
              <w:top w:val="single" w:sz="4" w:space="0" w:color="000000"/>
              <w:left w:val="single" w:sz="4" w:space="0" w:color="000000"/>
            </w:tcBorders>
            <w:shd w:fill="BFBFBF" w:val="clear"/>
            <w:tcMar>
              <w:bottom w:w="0" w:type="dxa"/>
              <w:right w:w="0" w:type="dxa"/>
            </w:tcMar>
            <w:vAlign w:val="center"/>
          </w:tcPr>
          <w:p>
            <w:pPr>
              <w:pStyle w:val="TableContents"/>
              <w:bidi w:val="0"/>
              <w:spacing w:before="0" w:after="283"/>
              <w:jc w:val="left"/>
              <w:rPr/>
            </w:pPr>
            <w:r>
              <w:rPr/>
              <w:t> </w:t>
            </w:r>
          </w:p>
        </w:tc>
        <w:tc>
          <w:tcPr>
            <w:tcW w:w="1923"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1230"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1604"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1608"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633"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647" w:type="dxa"/>
            <w:tcBorders>
              <w:top w:val="single" w:sz="4" w:space="0" w:color="000000"/>
            </w:tcBorders>
            <w:shd w:fill="BFBFBF" w:val="clear"/>
            <w:tcMar>
              <w:left w:w="0" w:type="dxa"/>
              <w:bottom w:w="0" w:type="dxa"/>
              <w:right w:w="0" w:type="dxa"/>
            </w:tcMar>
            <w:vAlign w:val="center"/>
          </w:tcPr>
          <w:p>
            <w:pPr>
              <w:pStyle w:val="TableContents"/>
              <w:bidi w:val="0"/>
              <w:spacing w:before="0" w:after="283"/>
              <w:jc w:val="left"/>
              <w:rPr/>
            </w:pPr>
            <w:r>
              <w:rPr/>
              <w:t> </w:t>
            </w:r>
          </w:p>
        </w:tc>
        <w:tc>
          <w:tcPr>
            <w:tcW w:w="714" w:type="dxa"/>
            <w:tcBorders>
              <w:top w:val="single" w:sz="4" w:space="0" w:color="000000"/>
              <w:right w:val="single" w:sz="4" w:space="0" w:color="000000"/>
            </w:tcBorders>
            <w:shd w:fill="BFBFBF" w:val="clear"/>
            <w:tcMar>
              <w:left w:w="0" w:type="dxa"/>
              <w:bottom w:w="0" w:type="dxa"/>
            </w:tcMar>
            <w:vAlign w:val="center"/>
          </w:tcPr>
          <w:p>
            <w:pPr>
              <w:pStyle w:val="TableContents"/>
              <w:bidi w:val="0"/>
              <w:spacing w:before="0" w:after="283"/>
              <w:jc w:val="left"/>
              <w:rPr/>
            </w:pPr>
            <w:r>
              <w:rPr/>
              <w:t> </w:t>
            </w:r>
          </w:p>
        </w:tc>
      </w:tr>
      <w:tr>
        <w:trPr/>
        <w:tc>
          <w:tcPr>
            <w:tcW w:w="8211" w:type="dxa"/>
            <w:gridSpan w:val="5"/>
            <w:tcBorders>
              <w:left w:val="single" w:sz="4" w:space="0" w:color="000000"/>
            </w:tcBorders>
            <w:shd w:fill="BFBFBF"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CABOT CORPORATION RECONCILIATION OF NON-GAAP FINANCIAL MEASURES</w:t>
            </w:r>
          </w:p>
        </w:tc>
        <w:tc>
          <w:tcPr>
            <w:tcW w:w="633"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BFBFBF" w:val="clear"/>
            <w:tcMar>
              <w:top w:w="0" w:type="dxa"/>
              <w:left w:w="0" w:type="dxa"/>
              <w:bottom w:w="0" w:type="dxa"/>
            </w:tcMar>
            <w:vAlign w:val="center"/>
          </w:tcPr>
          <w:p>
            <w:pPr>
              <w:pStyle w:val="TableContents"/>
              <w:bidi w:val="0"/>
              <w:spacing w:before="0" w:after="283"/>
              <w:jc w:val="left"/>
              <w:rPr/>
            </w:pPr>
            <w:r>
              <w:rPr/>
              <w:t> </w:t>
            </w:r>
          </w:p>
        </w:tc>
      </w:tr>
      <w:tr>
        <w:trPr/>
        <w:tc>
          <w:tcPr>
            <w:tcW w:w="1846" w:type="dxa"/>
            <w:tcBorders>
              <w:left w:val="single" w:sz="4" w:space="0" w:color="000000"/>
              <w:bottom w:val="single" w:sz="4" w:space="0" w:color="000000"/>
            </w:tcBorders>
            <w:shd w:fill="BFBFBF" w:val="clear"/>
            <w:tcMar>
              <w:top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right w:val="single" w:sz="4"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6"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Fiscal 2026 </w:t>
            </w:r>
            <w:r>
              <w:rPr>
                <w:rFonts w:ascii="Arial" w:hAnsi="Arial"/>
                <w:b/>
                <w:color w:val="000000"/>
                <w:sz w:val="13"/>
              </w:rPr>
              <w:t>(A)</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sans-serif" w:hAnsi="ARIAL;sans-serif"/>
                <w:b/>
                <w:color w:val="000000"/>
                <w:sz w:val="20"/>
                <w:u w:val="single"/>
              </w:rPr>
            </w:pPr>
            <w:r>
              <w:rPr>
                <w:rFonts w:ascii="ARIAL;sans-serif" w:hAnsi="ARIAL;sans-serif"/>
                <w:b/>
                <w:color w:val="000000"/>
                <w:sz w:val="20"/>
                <w:u w:val="single"/>
              </w:rPr>
              <w:t>Reconciliation of Adjusted EPS to GAAP EPS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per share attributable to Cabot Corporation</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Certain items after tax per share</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(loss) per share</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6"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 xml:space="preserve">Fiscal 2025 </w:t>
            </w:r>
            <w:r>
              <w:rPr>
                <w:rFonts w:ascii="Arial" w:hAnsi="Arial"/>
                <w:b/>
                <w:color w:val="000000"/>
                <w:sz w:val="13"/>
              </w:rPr>
              <w:t>(A)</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2025</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sans-serif" w:hAnsi="ARIAL;sans-serif"/>
                <w:b/>
                <w:color w:val="000000"/>
                <w:sz w:val="20"/>
                <w:u w:val="single"/>
              </w:rPr>
            </w:pPr>
            <w:r>
              <w:rPr>
                <w:rFonts w:ascii="ARIAL;sans-serif" w:hAnsi="ARIAL;sans-serif"/>
                <w:b/>
                <w:color w:val="000000"/>
                <w:sz w:val="20"/>
                <w:u w:val="single"/>
              </w:rPr>
              <w:t>Reconciliation of Adjusted EPS to GAAP EPS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per share attributable to Cabot Corporation</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$0.79</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Certain items after tax per share</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(0.09)</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(0.21)</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(0.04)</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(0.91)</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(loss) per share</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8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(A)</w:t>
            </w:r>
          </w:p>
        </w:tc>
        <w:tc>
          <w:tcPr>
            <w:tcW w:w="6436" w:type="dxa"/>
            <w:gridSpan w:val="6"/>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 share amounts are calculated after tax.</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5206"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2026</w:t>
            </w:r>
          </w:p>
        </w:tc>
      </w:tr>
      <w:tr>
        <w:trPr/>
        <w:tc>
          <w:tcPr>
            <w:tcW w:w="18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sans-serif" w:hAnsi="ARIAL;sans-serif"/>
                <w:b/>
                <w:color w:val="000000"/>
                <w:sz w:val="20"/>
                <w:u w:val="single"/>
              </w:rPr>
            </w:pPr>
            <w:r>
              <w:rPr>
                <w:rFonts w:ascii="ARIAL;sans-serif" w:hAnsi="ARIAL;sans-serif"/>
                <w:b/>
                <w:color w:val="000000"/>
                <w:sz w:val="20"/>
                <w:u w:val="single"/>
              </w:rPr>
              <w:t>Reconciliation of Adjusted EBITDA to Income (loss) from operations before income taxes and equity in earnings of affiliated companies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(loss) from operations before income taxes and equity in earnings of affiliated companies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$238</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Certain items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unallocated (income) expense</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Equity in earnings of affiliated companies</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4999" w:type="dxa"/>
            <w:gridSpan w:val="3"/>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EBITDA</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$181</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$360</w:t>
            </w:r>
          </w:p>
        </w:tc>
      </w:tr>
      <w:tr>
        <w:trPr/>
        <w:tc>
          <w:tcPr>
            <w:tcW w:w="184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Reinforcement Materials EBIT</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 Depreciation and amortization</w:t>
            </w:r>
          </w:p>
        </w:tc>
        <w:tc>
          <w:tcPr>
            <w:tcW w:w="1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4999"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Reinforcement Materials EBITDA</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$121</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18"/>
        <w:gridCol w:w="366"/>
        <w:gridCol w:w="6108"/>
        <w:gridCol w:w="652"/>
        <w:gridCol w:w="644"/>
        <w:gridCol w:w="660"/>
        <w:gridCol w:w="707"/>
        <w:gridCol w:w="850"/>
      </w:tblGrid>
      <w:tr>
        <w:trPr/>
        <w:tc>
          <w:tcPr>
            <w:tcW w:w="2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10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Reinforcement Materials Sales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$1,064</w:t>
            </w:r>
          </w:p>
        </w:tc>
      </w:tr>
      <w:tr>
        <w:trPr/>
        <w:tc>
          <w:tcPr>
            <w:tcW w:w="6692" w:type="dxa"/>
            <w:gridSpan w:val="3"/>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Reinforcement Materials EBITDA Margin</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Arial" w:hAnsi="Arial"/>
                <w:b/>
                <w:color w:val="000000"/>
                <w:sz w:val="2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Arial" w:hAnsi="Arial"/>
                <w:b/>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w:t>
            </w:r>
          </w:p>
        </w:tc>
      </w:tr>
      <w:tr>
        <w:trPr/>
        <w:tc>
          <w:tcPr>
            <w:tcW w:w="218"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Performance Chemicals EBIT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$107</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 Depreciation and amortization</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Performance Chemicals EBITDA</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Performance Chemicals Sales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r>
      <w:tr>
        <w:trPr/>
        <w:tc>
          <w:tcPr>
            <w:tcW w:w="6692" w:type="dxa"/>
            <w:gridSpan w:val="3"/>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Performance Chemicals EBITDA Margin</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Arial" w:hAnsi="Arial"/>
                <w:b/>
                <w:color w:val="000000"/>
                <w:sz w:val="2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Arial" w:hAnsi="Arial"/>
                <w:b/>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r>
      <w:tr>
        <w:trPr/>
        <w:tc>
          <w:tcPr>
            <w:tcW w:w="218"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Dollars in millions</w:t>
            </w:r>
          </w:p>
        </w:tc>
        <w:tc>
          <w:tcPr>
            <w:tcW w:w="3513"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Fiscal 2026</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sans-serif" w:hAnsi="ARIAL;sans-serif"/>
                <w:b/>
                <w:color w:val="000000"/>
                <w:sz w:val="20"/>
                <w:u w:val="single"/>
              </w:rPr>
            </w:pPr>
            <w:r>
              <w:rPr>
                <w:rFonts w:ascii="ARIAL;sans-serif" w:hAnsi="ARIAL;sans-serif"/>
                <w:b/>
                <w:color w:val="000000"/>
                <w:sz w:val="20"/>
                <w:u w:val="single"/>
              </w:rPr>
              <w:t>Reconciliation of Free Cash Flow and Discretionary Free Cash Flow to Cash provided by (used in) operating activities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 Q</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 Q</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Q</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 Q</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FY 2026</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Cash provided by (used in) operating activities </w:t>
            </w:r>
            <w:r>
              <w:rPr>
                <w:rFonts w:ascii="Arial" w:hAnsi="Arial"/>
                <w:b/>
                <w:color w:val="000000"/>
                <w:sz w:val="13"/>
              </w:rPr>
              <w:t>(B)</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$126</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Additions to property, plant and equipment</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Free cash flow</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 Additions to property, plant and equipment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Less: Changes in net working capital </w:t>
            </w:r>
            <w:r>
              <w:rPr>
                <w:rFonts w:ascii="Arial" w:hAnsi="Arial"/>
                <w:color w:val="000000"/>
                <w:sz w:val="13"/>
              </w:rPr>
              <w:t>(C)</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Sustaining and compliance capital expenditures</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r>
      <w:tr>
        <w:trPr/>
        <w:tc>
          <w:tcPr>
            <w:tcW w:w="6692"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Discretionary free cash flow</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85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w:t>
            </w:r>
          </w:p>
        </w:tc>
      </w:tr>
      <w:tr>
        <w:trPr/>
        <w:tc>
          <w:tcPr>
            <w:tcW w:w="218"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18"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(B)</w:t>
            </w:r>
          </w:p>
        </w:tc>
        <w:tc>
          <w:tcPr>
            <w:tcW w:w="610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provided in the Condensed Consolidated Statements of Cash Flows.</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218"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2"/>
              </w:rPr>
            </w:pPr>
            <w:r>
              <w:rPr>
                <w:rFonts w:ascii="Arial" w:hAnsi="Arial"/>
                <w:color w:val="000000"/>
                <w:sz w:val="12"/>
              </w:rPr>
              <w:t>(C)</w:t>
            </w:r>
          </w:p>
        </w:tc>
        <w:tc>
          <w:tcPr>
            <w:tcW w:w="9621" w:type="dxa"/>
            <w:gridSpan w:val="6"/>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Defined as changes in Accounts and notes receivable, Inventories, and Accounts payable and accrued liabilities as presented on the Condensed Consolidated Statements of Cash Flows.</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6243</Words>
  <Characters>41655</Characters>
  <CharactersWithSpaces>49264</CharactersWithSpaces>
  <Paragraphs>3636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