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2935d8k.htm"/>
      <w:bookmarkStart w:id="1" w:name="ksd729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 PURSUANT</w:t>
      </w:r>
    </w:p>
    <w:p>
      <w:pPr>
        <w:pStyle w:val="TextBody"/>
        <w:bidi w:val="0"/>
        <w:spacing w:before="0" w:after="0"/>
        <w:jc w:val="center"/>
        <w:rPr>
          <w:rFonts w:ascii="Times New Roman" w:hAnsi="Times New Roman"/>
          <w:b/>
          <w:sz w:val="24"/>
        </w:rPr>
      </w:pPr>
      <w:r>
        <w:rPr>
          <w:rFonts w:ascii="Times New Roman" w:hAnsi="Times New Roman"/>
          <w:b/>
          <w:sz w:val="24"/>
        </w:rPr>
        <w:t>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CABOT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caps/>
          <w:sz w:val="20"/>
        </w:rPr>
      </w:pPr>
      <w:r>
        <w:rPr>
          <w:rFonts w:ascii="Times New Roman" w:hAnsi="Times New Roman"/>
          <w:b/>
          <w:caps/>
          <w:sz w:val="20"/>
        </w:rPr>
        <w:t>Delaware</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 of Incorporation)</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995"/>
        <w:gridCol w:w="60"/>
        <w:gridCol w:w="188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1-5667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04-2271897</w:t>
            </w:r>
          </w:p>
        </w:tc>
      </w:tr>
      <w:tr>
        <w:trPr/>
        <w:tc>
          <w:tcPr>
            <w:tcW w:w="99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4070"/>
        <w:gridCol w:w="60"/>
        <w:gridCol w:w="119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TWO SEAPORT LANE, SUITE 1400,</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 xml:space="preserve">BOSTON, </w:t>
            </w:r>
            <w:r>
              <w:rPr>
                <w:b/>
                <w:caps/>
              </w:rPr>
              <w:t>Massachusetts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02210-2019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(617) 345-0100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7680" w:type="dxa"/>
        <w:jc w:val="left"/>
        <w:tblInd w:w="0" w:type="dxa"/>
        <w:tblLayout w:type="fixed"/>
        <w:tblCellMar>
          <w:top w:w="0" w:type="dxa"/>
          <w:left w:w="0" w:type="dxa"/>
          <w:bottom w:w="0" w:type="dxa"/>
          <w:right w:w="0" w:type="dxa"/>
        </w:tblCellMar>
      </w:tblPr>
      <w:tblGrid>
        <w:gridCol w:w="3725"/>
        <w:gridCol w:w="60"/>
        <w:gridCol w:w="740"/>
        <w:gridCol w:w="60"/>
        <w:gridCol w:w="3095"/>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725"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11, 2026, the Board of Directors elected Steven J. Delahunt, the Company’s Vice President and Treasurer, Chief Financial Officer of the Company, effective October 1, 2026, replacing Erica McLaughlin who, as previously reported, has been elected President and Chief Executive Officer of the Company, effective October 1, 2026. Mr. Delahunt will serve in an interim capacity while the Company continues its search process to identify a new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Mr. Delahunt joined Cabot in 2010 as Vice President and Treasurer and from July 2016 through January 2026 he also held the position of Vice President of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While Mr. Delahunt serves as interim Chief Financial Officer, he will receive additional compensation in the form of a monthly cash stipend in the amount of $35,000 per month.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Delahunt and any other person pursuant to which he was appointed interim Chief Financial Officer. There are no transactions involving Mr. Delahunt requiring disclosure under Item 404(a) of Regulation S-K of the SEC.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025"/>
        <w:gridCol w:w="2390"/>
      </w:tblGrid>
      <w:tr>
        <w:trPr/>
        <w:tc>
          <w:tcPr>
            <w:tcW w:w="1025" w:type="dxa"/>
            <w:tcBorders/>
            <w:vAlign w:val="center"/>
          </w:tcPr>
          <w:p>
            <w:pPr>
              <w:pStyle w:val="TableContents"/>
              <w:bidi w:val="0"/>
              <w:spacing w:before="0" w:after="283"/>
              <w:jc w:val="left"/>
              <w:rPr>
                <w:b/>
              </w:rPr>
            </w:pPr>
            <w:r>
              <w:rPr>
                <w:b/>
              </w:rPr>
              <w:t>Item 7.01.</w:t>
            </w:r>
          </w:p>
        </w:tc>
        <w:tc>
          <w:tcPr>
            <w:tcW w:w="23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7.01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the Company issued a press release regarding the Company’s management transition.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72935dex991.htm">
              <w:r>
                <w:rPr>
                  <w:rStyle w:val="InternetLink"/>
                </w:rPr>
                <w:t>Press release issued by Cabot Corporation on September 15, 2026</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665"/>
        <w:gridCol w:w="60"/>
        <w:gridCol w:w="41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vAlign w:val="center"/>
          </w:tcPr>
          <w:p>
            <w:pPr>
              <w:pStyle w:val="TableContents"/>
              <w:bidi w:val="0"/>
              <w:spacing w:before="0" w:after="283"/>
              <w:jc w:val="left"/>
              <w:rPr>
                <w:b/>
              </w:rPr>
            </w:pPr>
            <w:r>
              <w:rPr>
                <w:b/>
              </w:rPr>
              <w:t>CABOT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Karen A. Kalita</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pPr>
            <w:r>
              <w:rPr/>
              <w:t>Karen A. Kalita</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pPr>
            <w:r>
              <w:rPr/>
              <w:t>Senior Vice President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15, 2026 </w:t>
      </w:r>
    </w:p>
    <w:p>
      <w:pPr>
        <w:pStyle w:val="TextBody"/>
        <w:bidi w:val="0"/>
        <w:spacing w:before="0" w:after="0"/>
        <w:jc w:val="right"/>
        <w:rPr>
          <w:rFonts w:ascii="Times New Roman" w:hAnsi="Times New Roman"/>
          <w:b/>
          <w:sz w:val="20"/>
        </w:rPr>
      </w:pPr>
      <w:bookmarkStart w:id="2" w:name="d72935dex991.htm"/>
      <w:bookmarkStart w:id="3" w:name="ksd7293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001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390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Cabot Corporation Appoints Steve Delahunt as Interim Chief Financial Officer </w:t>
      </w:r>
    </w:p>
    <w:p>
      <w:pPr>
        <w:pStyle w:val="TextBody"/>
        <w:bidi w:val="0"/>
        <w:spacing w:before="240" w:after="0"/>
        <w:jc w:val="left"/>
        <w:rPr>
          <w:rFonts w:ascii="Times New Roman" w:hAnsi="Times New Roman"/>
          <w:sz w:val="20"/>
        </w:rPr>
      </w:pPr>
      <w:r>
        <w:rPr>
          <w:rFonts w:ascii="Times New Roman" w:hAnsi="Times New Roman"/>
          <w:b/>
          <w:sz w:val="20"/>
        </w:rPr>
        <w:t>BOSTON – Sept. 15, 2026</w:t>
      </w:r>
      <w:r>
        <w:rPr>
          <w:rFonts w:ascii="Times New Roman" w:hAnsi="Times New Roman"/>
          <w:sz w:val="20"/>
        </w:rPr>
        <w:t xml:space="preserve"> — </w:t>
      </w:r>
      <w:r>
        <w:rPr>
          <w:rFonts w:ascii="Times New Roman" w:hAnsi="Times New Roman"/>
          <w:sz w:val="20"/>
          <w:u w:val="single"/>
        </w:rPr>
        <w:t>Cabot Corporation</w:t>
      </w:r>
      <w:r>
        <w:rPr>
          <w:rFonts w:ascii="Times New Roman" w:hAnsi="Times New Roman"/>
          <w:sz w:val="20"/>
        </w:rPr>
        <w:t xml:space="preserve"> (NYSE: CBT) today announced that it has appointed Steve Delahunt, Vice President and Corporate Treasurer, to serve as Chief Financial Officer on an interim basis, effective October 1, 2026. Delahunt will serve in the role while the company continues its search process for a new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Erica McLaughlin, currently Executive Vice President, Chief Financial Officer and Head of Corporate Strategy, has been elected President and Chief Executive Officer of Cabot, effective October 1, 2026, succeeding Sean Keohane. McLaughlin will step down from her position as Chief Financial Officer at that time. </w:t>
      </w:r>
    </w:p>
    <w:p>
      <w:pPr>
        <w:pStyle w:val="TextBody"/>
        <w:bidi w:val="0"/>
        <w:spacing w:before="240" w:after="0"/>
        <w:jc w:val="left"/>
        <w:rPr/>
      </w:pPr>
      <w:r>
        <w:rPr/>
        <w:t>“</w:t>
      </w:r>
      <w:r>
        <w:rPr>
          <w:rFonts w:ascii="Times New Roman" w:hAnsi="Times New Roman"/>
          <w:sz w:val="20"/>
        </w:rPr>
        <w:t xml:space="preserve">Steve is a highly respected finance leader with deep knowledge of our business, strong relationships across our global organization and a proven track record of disciplined financial leadership,” said Erica McLaughlin, incoming President and Chief Executive Officer. “As we continue executing our strategy and building on our strong financial position, Steve’s experience, judgment and understanding of our business make him exceptionally well suited to lead our finance organization while the Company conducts its search for our next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Delahunt has more than 30 years of finance and treasury experience and in the last nine years until January 2026 also led Cabot’s investor relations function. As Corporate Treasurer, he is responsible for the Company’s global treasury activities, capital markets strategy, liquidity management, banking relationships, risk management and pension investment oversight. Over his tenure at Cabot, he has played an integral role in the Company’s capital allocation strategy, financing activities, investor engagement and execution of strategic growth initiatives. As Vice President of investor relations, Delahunt strengthened the Company’s engagement with shareholders and the investment community. </w:t>
      </w:r>
    </w:p>
    <w:p>
      <w:pPr>
        <w:pStyle w:val="TextBody"/>
        <w:bidi w:val="0"/>
        <w:spacing w:before="360" w:after="0"/>
        <w:jc w:val="left"/>
        <w:rPr>
          <w:rFonts w:ascii="Times New Roman" w:hAnsi="Times New Roman"/>
          <w:b/>
          <w:sz w:val="20"/>
        </w:rPr>
      </w:pPr>
      <w:r>
        <w:rPr>
          <w:rFonts w:ascii="Times New Roman" w:hAnsi="Times New Roman"/>
          <w:b/>
          <w:sz w:val="20"/>
        </w:rPr>
        <w:t xml:space="preserve">ABOUT CABOT CORPORATION </w:t>
      </w:r>
    </w:p>
    <w:p>
      <w:pPr>
        <w:pStyle w:val="TextBody"/>
        <w:bidi w:val="0"/>
        <w:spacing w:before="120" w:after="0"/>
        <w:jc w:val="left"/>
        <w:rPr>
          <w:rFonts w:ascii="Times New Roman" w:hAnsi="Times New Roman"/>
          <w:sz w:val="20"/>
        </w:rPr>
      </w:pPr>
      <w:r>
        <w:rPr>
          <w:rFonts w:ascii="Times New Roman" w:hAnsi="Times New Roman"/>
          <w:sz w:val="20"/>
        </w:rPr>
        <w:t>Cabot Corporation (NYSE: CBT) is a global specialty chemicals and performance materials company headquartered in Boston, Massachusetts. The company is a leading provider of </w:t>
      </w:r>
      <w:r>
        <w:rPr>
          <w:rFonts w:ascii="Times New Roman" w:hAnsi="Times New Roman"/>
          <w:sz w:val="20"/>
          <w:u w:val="single"/>
        </w:rPr>
        <w:t>reinforcing carbons</w:t>
      </w:r>
      <w:r>
        <w:rPr>
          <w:rFonts w:ascii="Times New Roman" w:hAnsi="Times New Roman"/>
          <w:sz w:val="20"/>
        </w:rPr>
        <w:t>, </w:t>
      </w:r>
      <w:r>
        <w:rPr>
          <w:rFonts w:ascii="Times New Roman" w:hAnsi="Times New Roman"/>
          <w:sz w:val="20"/>
          <w:u w:val="single"/>
        </w:rPr>
        <w:t>specialty carbons</w:t>
      </w:r>
      <w:r>
        <w:rPr>
          <w:rFonts w:ascii="Times New Roman" w:hAnsi="Times New Roman"/>
          <w:sz w:val="20"/>
        </w:rPr>
        <w:t>, </w:t>
      </w:r>
      <w:r>
        <w:rPr>
          <w:rFonts w:ascii="Times New Roman" w:hAnsi="Times New Roman"/>
          <w:sz w:val="20"/>
          <w:u w:val="single"/>
        </w:rPr>
        <w:t>battery materials</w:t>
      </w:r>
      <w:r>
        <w:rPr>
          <w:rFonts w:ascii="Times New Roman" w:hAnsi="Times New Roman"/>
          <w:sz w:val="20"/>
        </w:rPr>
        <w:t>, </w:t>
      </w:r>
      <w:r>
        <w:rPr>
          <w:rFonts w:ascii="Times New Roman" w:hAnsi="Times New Roman"/>
          <w:sz w:val="20"/>
          <w:u w:val="single"/>
        </w:rPr>
        <w:t>engineered elastomer composites</w:t>
      </w:r>
      <w:r>
        <w:rPr>
          <w:rFonts w:ascii="Times New Roman" w:hAnsi="Times New Roman"/>
          <w:sz w:val="20"/>
        </w:rPr>
        <w:t>, </w:t>
      </w:r>
      <w:r>
        <w:rPr>
          <w:rFonts w:ascii="Times New Roman" w:hAnsi="Times New Roman"/>
          <w:sz w:val="20"/>
          <w:u w:val="single"/>
        </w:rPr>
        <w:t>inkjet colorants</w:t>
      </w:r>
      <w:r>
        <w:rPr>
          <w:rFonts w:ascii="Times New Roman" w:hAnsi="Times New Roman"/>
          <w:sz w:val="20"/>
        </w:rPr>
        <w:t>, </w:t>
      </w:r>
      <w:r>
        <w:rPr>
          <w:rFonts w:ascii="Times New Roman" w:hAnsi="Times New Roman"/>
          <w:sz w:val="20"/>
          <w:u w:val="single"/>
        </w:rPr>
        <w:t>masterbatches and conductive compounds</w:t>
      </w:r>
      <w:r>
        <w:rPr>
          <w:rFonts w:ascii="Times New Roman" w:hAnsi="Times New Roman"/>
          <w:sz w:val="20"/>
        </w:rPr>
        <w:t>, </w:t>
      </w:r>
      <w:r>
        <w:rPr>
          <w:rFonts w:ascii="Times New Roman" w:hAnsi="Times New Roman"/>
          <w:sz w:val="20"/>
          <w:u w:val="single"/>
        </w:rPr>
        <w:t>fumed metal oxides</w:t>
      </w:r>
      <w:r>
        <w:rPr>
          <w:rFonts w:ascii="Times New Roman" w:hAnsi="Times New Roman"/>
          <w:sz w:val="20"/>
        </w:rPr>
        <w:t> and </w:t>
      </w:r>
      <w:r>
        <w:rPr>
          <w:rFonts w:ascii="Times New Roman" w:hAnsi="Times New Roman"/>
          <w:sz w:val="20"/>
          <w:u w:val="single"/>
        </w:rPr>
        <w:t>aerogel</w:t>
      </w:r>
      <w:r>
        <w:rPr>
          <w:rFonts w:ascii="Times New Roman" w:hAnsi="Times New Roman"/>
          <w:sz w:val="20"/>
        </w:rPr>
        <w:t>. For more information on Cabot, please visit the company’s website at </w:t>
      </w:r>
      <w:r>
        <w:rPr>
          <w:rFonts w:ascii="Times New Roman" w:hAnsi="Times New Roman"/>
          <w:sz w:val="20"/>
          <w:u w:val="single"/>
        </w:rPr>
        <w:t>cabotcorp.com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This press release contains forward-looking statements. All statements that address expectations or projections about the future, including with respect to the planned leadership transition and expectations for future performance, growth and value creation for stockholders, are forward-looking statements. These statements are not guarantees of future performance and are subject to risks, uncertainties, potentially inaccurate assumptions, and other factors, some of which are beyond our control and difficult to predict. If known or unknown risks materialize, or should underlying assumptions prove inaccurate, our actual results could differ materially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from past results and from those expressed or implied by forward-looking statements. Important factors that could cause our results to differ materially from those expressed or implied in the forward-looking statements include, but are not limited to: the inherent uncertainty of management transitions and the ability of the Company to successfully execute its planned leadership transition; industry capacity utilization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negative or uncertain worldwide or regional economic conditions and market opportunities, including from trade relations, global health matters or geo-political conflicts; failure to achieve growth expectations from new products, applications and technology developments; failure to realize benefits from acquisitions, alliances, or joint ventures or achieve our portfolio management objectives; litigation or legal proceedings; interest rates, tax rates, currency exchange controls, tariffs and fluctuations in foreign currency rates; and other risks and uncertainties described in the reports we file with the Securities and Exchange Commission (“SEC”). These factors are discussed more fully in the reports we file with the SEC, particularly under the heading “Risk Factors” in our annual report on Form 10-K for our fiscal year ended September 30, 2025, which is filed with the SEC and available at </w:t>
      </w:r>
      <w:r>
        <w:rPr>
          <w:rFonts w:ascii="Times New Roman" w:hAnsi="Times New Roman"/>
          <w:sz w:val="20"/>
          <w:u w:val="single"/>
        </w:rPr>
        <w:t>www.sec.gov</w:t>
      </w:r>
      <w:r>
        <w:rPr>
          <w:rFonts w:ascii="Times New Roman" w:hAnsi="Times New Roman"/>
          <w:sz w:val="20"/>
        </w:rPr>
        <w:t xml:space="preserve">. We assume no obligation to provide revisions to any forward-looking statements should circumstances change, except as otherwise required by securities and other applicable laws.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4"/>
        <w:gridCol w:w="213"/>
        <w:gridCol w:w="9148"/>
      </w:tblGrid>
      <w:tr>
        <w:trPr/>
        <w:tc>
          <w:tcPr>
            <w:tcW w:w="844"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9148" w:type="dxa"/>
            <w:tcBorders/>
            <w:vAlign w:val="center"/>
          </w:tcPr>
          <w:p>
            <w:pPr>
              <w:pStyle w:val="TableContents"/>
              <w:bidi w:val="0"/>
              <w:spacing w:before="0" w:after="283"/>
              <w:jc w:val="left"/>
              <w:rPr>
                <w:sz w:val="4"/>
                <w:szCs w:val="4"/>
              </w:rPr>
            </w:pPr>
            <w:r>
              <w:rPr>
                <w:sz w:val="4"/>
                <w:szCs w:val="4"/>
              </w:rPr>
            </w:r>
          </w:p>
        </w:tc>
      </w:tr>
      <w:tr>
        <w:trPr/>
        <w:tc>
          <w:tcPr>
            <w:tcW w:w="844" w:type="dxa"/>
            <w:tcBorders/>
          </w:tcPr>
          <w:p>
            <w:pPr>
              <w:pStyle w:val="TableContents"/>
              <w:bidi w:val="0"/>
              <w:spacing w:before="0" w:after="283"/>
              <w:jc w:val="left"/>
              <w:rPr>
                <w:b/>
              </w:rPr>
            </w:pPr>
            <w:r>
              <w:rPr>
                <w:b/>
              </w:rPr>
              <w:t>Contact:</w:t>
            </w:r>
          </w:p>
        </w:tc>
        <w:tc>
          <w:tcPr>
            <w:tcW w:w="213" w:type="dxa"/>
            <w:tcBorders/>
            <w:vAlign w:val="bottom"/>
          </w:tcPr>
          <w:p>
            <w:pPr>
              <w:pStyle w:val="TableContents"/>
              <w:bidi w:val="0"/>
              <w:spacing w:before="0" w:after="283"/>
              <w:jc w:val="left"/>
              <w:rPr/>
            </w:pPr>
            <w:r>
              <w:rPr/>
              <w:t>  </w:t>
            </w:r>
          </w:p>
        </w:tc>
        <w:tc>
          <w:tcPr>
            <w:tcW w:w="9148" w:type="dxa"/>
            <w:tcBorders/>
          </w:tcPr>
          <w:p>
            <w:pPr>
              <w:pStyle w:val="TableContents"/>
              <w:bidi w:val="0"/>
              <w:spacing w:before="0" w:after="283"/>
              <w:jc w:val="left"/>
              <w:rPr/>
            </w:pPr>
            <w:r>
              <w:rPr/>
              <w:t>Vanessa Craigie</w:t>
            </w:r>
          </w:p>
        </w:tc>
      </w:tr>
      <w:tr>
        <w:trPr/>
        <w:tc>
          <w:tcPr>
            <w:tcW w:w="844"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Corporate Communications</w:t>
            </w:r>
          </w:p>
        </w:tc>
      </w:tr>
      <w:tr>
        <w:trPr/>
        <w:tc>
          <w:tcPr>
            <w:tcW w:w="844"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283"/>
              <w:jc w:val="left"/>
              <w:rPr>
                <w:u w:val="single"/>
              </w:rPr>
            </w:pPr>
            <w:r>
              <w:rPr>
                <w:u w:val="single"/>
              </w:rPr>
              <w:t>vanessa.craigie@cabotcorp.com</w:t>
            </w:r>
          </w:p>
        </w:tc>
      </w:tr>
      <w:tr>
        <w:trPr/>
        <w:tc>
          <w:tcPr>
            <w:tcW w:w="844"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(617) 342-6015</w:t>
            </w:r>
          </w:p>
        </w:tc>
      </w:tr>
      <w:tr>
        <w:trPr>
          <w:trHeight w:val="240" w:hRule="atLeast"/>
        </w:trPr>
        <w:tc>
          <w:tcPr>
            <w:tcW w:w="844" w:type="dxa"/>
            <w:tcBorders/>
            <w:vAlign w:val="center"/>
          </w:tcPr>
          <w:p>
            <w:pPr>
              <w:pStyle w:val="TableContents"/>
              <w:bidi w:val="0"/>
              <w:spacing w:before="0" w:after="283"/>
              <w:jc w:val="left"/>
              <w:rPr>
                <w:sz w:val="4"/>
                <w:szCs w:val="4"/>
              </w:rPr>
            </w:pPr>
            <w:r>
              <w:rPr>
                <w:sz w:val="4"/>
                <w:szCs w:val="4"/>
              </w:rPr>
            </w:r>
          </w:p>
        </w:tc>
        <w:tc>
          <w:tcPr>
            <w:tcW w:w="9361" w:type="dxa"/>
            <w:gridSpan w:val="2"/>
            <w:tcBorders/>
            <w:vAlign w:val="center"/>
          </w:tcPr>
          <w:p>
            <w:pPr>
              <w:pStyle w:val="TableContents"/>
              <w:bidi w:val="0"/>
              <w:spacing w:before="0" w:after="283"/>
              <w:jc w:val="left"/>
              <w:rPr>
                <w:sz w:val="4"/>
                <w:szCs w:val="4"/>
              </w:rPr>
            </w:pPr>
            <w:r>
              <w:rPr>
                <w:sz w:val="4"/>
                <w:szCs w:val="4"/>
              </w:rPr>
            </w:r>
          </w:p>
        </w:tc>
      </w:tr>
      <w:tr>
        <w:trPr/>
        <w:tc>
          <w:tcPr>
            <w:tcW w:w="844"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Robert Rist</w:t>
            </w:r>
          </w:p>
        </w:tc>
      </w:tr>
      <w:tr>
        <w:trPr/>
        <w:tc>
          <w:tcPr>
            <w:tcW w:w="844"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283"/>
              <w:jc w:val="left"/>
              <w:rPr/>
            </w:pPr>
            <w:r>
              <w:rPr/>
              <w:t>Investor Relations</w:t>
            </w:r>
          </w:p>
        </w:tc>
      </w:tr>
      <w:tr>
        <w:trPr/>
        <w:tc>
          <w:tcPr>
            <w:tcW w:w="844"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robert.rist@cabotcorp.com</w:t>
            </w:r>
          </w:p>
        </w:tc>
      </w:tr>
      <w:tr>
        <w:trPr/>
        <w:tc>
          <w:tcPr>
            <w:tcW w:w="844" w:type="dxa"/>
            <w:tcBorders/>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148" w:type="dxa"/>
            <w:tcBorders/>
          </w:tcPr>
          <w:p>
            <w:pPr>
              <w:pStyle w:val="TableContents"/>
              <w:bidi w:val="0"/>
              <w:spacing w:before="0" w:after="283"/>
              <w:jc w:val="left"/>
              <w:rPr/>
            </w:pPr>
            <w:r>
              <w:rPr/>
              <w:t>(617) 342-6374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1410</Words>
  <Characters>8311</Characters>
  <CharactersWithSpaces>9723</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